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785C" w14:textId="77777777" w:rsidR="001315B1" w:rsidRDefault="001315B1" w:rsidP="001315B1">
      <w:pPr>
        <w:autoSpaceDE w:val="0"/>
        <w:autoSpaceDN w:val="0"/>
        <w:adjustRightInd w:val="0"/>
        <w:spacing w:after="120" w:line="283" w:lineRule="auto"/>
        <w:jc w:val="right"/>
        <w:rPr>
          <w:rFonts w:eastAsia="Oswald-Light" w:cstheme="minorHAnsi"/>
        </w:rPr>
      </w:pPr>
      <w:r w:rsidRPr="003D31A0">
        <w:rPr>
          <w:rFonts w:eastAsia="Oswald-Light" w:cstheme="minorHAnsi"/>
        </w:rPr>
        <w:t xml:space="preserve">Warszawa, </w:t>
      </w:r>
      <w:r>
        <w:rPr>
          <w:rFonts w:eastAsia="Oswald-Light" w:cstheme="minorHAnsi"/>
        </w:rPr>
        <w:t>31</w:t>
      </w:r>
      <w:r w:rsidRPr="003D31A0">
        <w:rPr>
          <w:rFonts w:eastAsia="Oswald-Light" w:cstheme="minorHAnsi"/>
        </w:rPr>
        <w:t xml:space="preserve"> stycznia 2022 r.</w:t>
      </w:r>
    </w:p>
    <w:p w14:paraId="27FD0936" w14:textId="77777777" w:rsidR="001315B1" w:rsidRPr="003D31A0" w:rsidRDefault="001315B1" w:rsidP="001315B1">
      <w:pPr>
        <w:autoSpaceDE w:val="0"/>
        <w:autoSpaceDN w:val="0"/>
        <w:adjustRightInd w:val="0"/>
        <w:spacing w:after="120" w:line="283" w:lineRule="auto"/>
        <w:jc w:val="right"/>
        <w:rPr>
          <w:rFonts w:eastAsia="Oswald-Light" w:cstheme="minorHAnsi"/>
        </w:rPr>
      </w:pPr>
    </w:p>
    <w:p w14:paraId="31572167" w14:textId="77777777" w:rsidR="001315B1" w:rsidRPr="00666757" w:rsidRDefault="001315B1" w:rsidP="001315B1">
      <w:pPr>
        <w:autoSpaceDE w:val="0"/>
        <w:autoSpaceDN w:val="0"/>
        <w:adjustRightInd w:val="0"/>
        <w:spacing w:after="120" w:line="283" w:lineRule="auto"/>
        <w:jc w:val="center"/>
        <w:rPr>
          <w:rFonts w:eastAsia="Oswald-Light" w:cstheme="minorHAnsi"/>
          <w:b/>
          <w:bCs/>
          <w:sz w:val="28"/>
          <w:szCs w:val="28"/>
        </w:rPr>
      </w:pPr>
      <w:r>
        <w:rPr>
          <w:rFonts w:eastAsia="Oswald-Light" w:cstheme="minorHAnsi"/>
          <w:b/>
          <w:bCs/>
          <w:sz w:val="28"/>
          <w:szCs w:val="28"/>
        </w:rPr>
        <w:t xml:space="preserve">Nowy impuls </w:t>
      </w:r>
      <w:r w:rsidRPr="00666757">
        <w:rPr>
          <w:rFonts w:eastAsia="Oswald-Light" w:cstheme="minorHAnsi"/>
          <w:b/>
          <w:bCs/>
          <w:sz w:val="28"/>
          <w:szCs w:val="28"/>
        </w:rPr>
        <w:t>dla badań klinicznych w Europie</w:t>
      </w:r>
      <w:r>
        <w:rPr>
          <w:rFonts w:eastAsia="Oswald-Light" w:cstheme="minorHAnsi"/>
          <w:b/>
          <w:bCs/>
          <w:sz w:val="28"/>
          <w:szCs w:val="28"/>
        </w:rPr>
        <w:t>.</w:t>
      </w:r>
      <w:r w:rsidRPr="00666757">
        <w:rPr>
          <w:rFonts w:eastAsia="Oswald-Light" w:cstheme="minorHAnsi"/>
          <w:b/>
          <w:bCs/>
          <w:sz w:val="28"/>
          <w:szCs w:val="28"/>
        </w:rPr>
        <w:t xml:space="preserve"> </w:t>
      </w:r>
      <w:r>
        <w:rPr>
          <w:rFonts w:eastAsia="Oswald-Light" w:cstheme="minorHAnsi"/>
          <w:b/>
          <w:bCs/>
          <w:sz w:val="28"/>
          <w:szCs w:val="28"/>
        </w:rPr>
        <w:t>R</w:t>
      </w:r>
      <w:r w:rsidRPr="00666757">
        <w:rPr>
          <w:rFonts w:eastAsia="Oswald-Light" w:cstheme="minorHAnsi"/>
          <w:b/>
          <w:bCs/>
          <w:sz w:val="28"/>
          <w:szCs w:val="28"/>
        </w:rPr>
        <w:t>ozporządzenie Parlamentu Europejskiego</w:t>
      </w:r>
      <w:r>
        <w:rPr>
          <w:rFonts w:eastAsia="Oswald-Light" w:cstheme="minorHAnsi"/>
          <w:b/>
          <w:bCs/>
          <w:sz w:val="28"/>
          <w:szCs w:val="28"/>
        </w:rPr>
        <w:t xml:space="preserve"> wchodzi w życie</w:t>
      </w:r>
    </w:p>
    <w:p w14:paraId="76A93C83" w14:textId="71DC48B0" w:rsidR="001315B1" w:rsidRPr="003F02F3" w:rsidRDefault="001315B1" w:rsidP="001315B1">
      <w:pPr>
        <w:autoSpaceDE w:val="0"/>
        <w:autoSpaceDN w:val="0"/>
        <w:adjustRightInd w:val="0"/>
        <w:spacing w:after="120" w:line="283" w:lineRule="auto"/>
        <w:rPr>
          <w:rFonts w:eastAsia="Oswald-Light" w:cstheme="minorHAnsi"/>
          <w:b/>
          <w:bCs/>
        </w:rPr>
      </w:pPr>
      <w:r w:rsidRPr="003F02F3">
        <w:rPr>
          <w:rFonts w:eastAsia="Oswald-Light" w:cstheme="minorHAnsi"/>
          <w:b/>
          <w:bCs/>
        </w:rPr>
        <w:t xml:space="preserve">31 stycznia 2022 r. zacznie obowiązywać wyczekiwane </w:t>
      </w:r>
      <w:r w:rsidRPr="00A33E62">
        <w:rPr>
          <w:rFonts w:eastAsia="Oswald-Light" w:cstheme="minorHAnsi"/>
          <w:b/>
          <w:bCs/>
        </w:rPr>
        <w:t>Rozporządzenie Parlamentu Europejskiego i Rady (UE) NR 536/2014 z dnia 16 kwietnia 2014 r. w sprawie badań klinicznych produktów leczniczych stosowanych u ludzi oraz uchylenia Dyrektywy</w:t>
      </w:r>
      <w:r w:rsidRPr="003F02F3">
        <w:rPr>
          <w:rFonts w:eastAsia="Oswald-Light" w:cstheme="minorHAnsi"/>
          <w:b/>
          <w:bCs/>
        </w:rPr>
        <w:t xml:space="preserve"> 2001/20/WE. Rozwiązania zawarte w tym akcie prawnym </w:t>
      </w:r>
      <w:r>
        <w:rPr>
          <w:rFonts w:eastAsia="Oswald-Light" w:cstheme="minorHAnsi"/>
          <w:b/>
          <w:bCs/>
        </w:rPr>
        <w:t>mają przyczynić się do ułatwienia</w:t>
      </w:r>
      <w:r w:rsidR="000E58C8">
        <w:rPr>
          <w:rFonts w:eastAsia="Oswald-Light" w:cstheme="minorHAnsi"/>
          <w:b/>
          <w:bCs/>
        </w:rPr>
        <w:t xml:space="preserve"> </w:t>
      </w:r>
      <w:r w:rsidRPr="003F02F3">
        <w:rPr>
          <w:rFonts w:eastAsia="Oswald-Light" w:cstheme="minorHAnsi"/>
          <w:b/>
          <w:bCs/>
        </w:rPr>
        <w:t xml:space="preserve">prowadzenie badań klinicznych </w:t>
      </w:r>
      <w:r w:rsidR="0078783D">
        <w:rPr>
          <w:rFonts w:eastAsia="Oswald-Light" w:cstheme="minorHAnsi"/>
          <w:b/>
          <w:bCs/>
        </w:rPr>
        <w:t xml:space="preserve">i </w:t>
      </w:r>
      <w:r w:rsidRPr="003F02F3">
        <w:rPr>
          <w:rFonts w:eastAsia="Oswald-Light" w:cstheme="minorHAnsi"/>
          <w:b/>
          <w:bCs/>
        </w:rPr>
        <w:t>podnie</w:t>
      </w:r>
      <w:r>
        <w:rPr>
          <w:rFonts w:eastAsia="Oswald-Light" w:cstheme="minorHAnsi"/>
          <w:b/>
          <w:bCs/>
        </w:rPr>
        <w:t>sienia</w:t>
      </w:r>
      <w:r w:rsidRPr="003F02F3">
        <w:rPr>
          <w:rFonts w:eastAsia="Oswald-Light" w:cstheme="minorHAnsi"/>
          <w:b/>
          <w:bCs/>
        </w:rPr>
        <w:t xml:space="preserve"> ich efektywnoś</w:t>
      </w:r>
      <w:r>
        <w:rPr>
          <w:rFonts w:eastAsia="Oswald-Light" w:cstheme="minorHAnsi"/>
          <w:b/>
          <w:bCs/>
        </w:rPr>
        <w:t xml:space="preserve">ci, również w Polsce – zwracają uwagę eksperci INFARMA </w:t>
      </w:r>
      <w:r>
        <w:rPr>
          <w:rFonts w:eastAsia="Oswald-Light" w:cstheme="minorHAnsi"/>
          <w:b/>
          <w:bCs/>
        </w:rPr>
        <w:br/>
        <w:t>i POLCRO.</w:t>
      </w:r>
    </w:p>
    <w:p w14:paraId="55837476" w14:textId="2E2E1B6E" w:rsidR="001315B1" w:rsidRPr="00A33E62" w:rsidRDefault="001315B1" w:rsidP="001315B1">
      <w:pPr>
        <w:spacing w:after="120" w:line="283" w:lineRule="auto"/>
        <w:rPr>
          <w:rFonts w:cstheme="minorHAnsi"/>
        </w:rPr>
      </w:pPr>
      <w:r w:rsidRPr="00164C6D">
        <w:rPr>
          <w:rFonts w:cstheme="minorHAnsi"/>
        </w:rPr>
        <w:t>W ostatnich latach kraje Unii Europejskiej doświadczały spadku efektywności badań klinicznych i </w:t>
      </w:r>
      <w:r>
        <w:rPr>
          <w:rFonts w:cstheme="minorHAnsi"/>
        </w:rPr>
        <w:t>utraty</w:t>
      </w:r>
      <w:r w:rsidRPr="00164C6D">
        <w:rPr>
          <w:rFonts w:cstheme="minorHAnsi"/>
        </w:rPr>
        <w:t xml:space="preserve"> konkurencyjnoś</w:t>
      </w:r>
      <w:r>
        <w:rPr>
          <w:rFonts w:cstheme="minorHAnsi"/>
        </w:rPr>
        <w:t>ci</w:t>
      </w:r>
      <w:r w:rsidRPr="00164C6D">
        <w:rPr>
          <w:rFonts w:cstheme="minorHAnsi"/>
        </w:rPr>
        <w:t xml:space="preserve"> na tle </w:t>
      </w:r>
      <w:r>
        <w:rPr>
          <w:rFonts w:cstheme="minorHAnsi"/>
        </w:rPr>
        <w:t>innych światowych rynków. S</w:t>
      </w:r>
      <w:r w:rsidRPr="00164C6D">
        <w:rPr>
          <w:rFonts w:cstheme="minorHAnsi"/>
        </w:rPr>
        <w:t xml:space="preserve">tosowanie Dyrektywy 2001/20/WE </w:t>
      </w:r>
      <w:r>
        <w:rPr>
          <w:rFonts w:cstheme="minorHAnsi"/>
        </w:rPr>
        <w:t xml:space="preserve">w praktyce </w:t>
      </w:r>
      <w:r w:rsidRPr="00164C6D">
        <w:rPr>
          <w:rFonts w:cstheme="minorHAnsi"/>
        </w:rPr>
        <w:t>doprowadziło do</w:t>
      </w:r>
      <w:r>
        <w:rPr>
          <w:rFonts w:cstheme="minorHAnsi"/>
        </w:rPr>
        <w:t xml:space="preserve"> </w:t>
      </w:r>
      <w:r w:rsidRPr="00164C6D">
        <w:rPr>
          <w:rFonts w:cstheme="minorHAnsi"/>
        </w:rPr>
        <w:t xml:space="preserve">rozbieżności </w:t>
      </w:r>
      <w:r w:rsidRPr="00CD703A">
        <w:rPr>
          <w:rFonts w:cstheme="minorHAnsi"/>
        </w:rPr>
        <w:t xml:space="preserve">w </w:t>
      </w:r>
      <w:r>
        <w:rPr>
          <w:rFonts w:cstheme="minorHAnsi"/>
        </w:rPr>
        <w:t>zakresie</w:t>
      </w:r>
      <w:r w:rsidRPr="00CD703A">
        <w:rPr>
          <w:rFonts w:cstheme="minorHAnsi"/>
        </w:rPr>
        <w:t xml:space="preserve"> regulacji dotyczących badań klinicznych</w:t>
      </w:r>
      <w:r>
        <w:rPr>
          <w:rFonts w:cstheme="minorHAnsi"/>
        </w:rPr>
        <w:t xml:space="preserve"> </w:t>
      </w:r>
      <w:r w:rsidRPr="00164C6D">
        <w:rPr>
          <w:rFonts w:cstheme="minorHAnsi"/>
        </w:rPr>
        <w:t>między krajami członkowskimi</w:t>
      </w:r>
      <w:r>
        <w:rPr>
          <w:rFonts w:cstheme="minorHAnsi"/>
        </w:rPr>
        <w:t>.</w:t>
      </w:r>
      <w:r w:rsidRPr="00164C6D">
        <w:rPr>
          <w:rFonts w:cstheme="minorHAnsi"/>
        </w:rPr>
        <w:t xml:space="preserve"> Było to szczególnie widoczne w obszarze uzyskiwania pozwoleń na prowadzenie badań, zgłaszania danych dotyczących bezpieczeństwa czy oznakowania badanych produktów leczniczych</w:t>
      </w:r>
      <w:r>
        <w:rPr>
          <w:rFonts w:cstheme="minorHAnsi"/>
        </w:rPr>
        <w:t xml:space="preserve">. W ostatnich latach </w:t>
      </w:r>
      <w:r w:rsidRPr="00832B94">
        <w:rPr>
          <w:rFonts w:cstheme="minorHAnsi"/>
        </w:rPr>
        <w:t>normą</w:t>
      </w:r>
      <w:r w:rsidRPr="00000EF8" w:rsidDel="00E53318">
        <w:rPr>
          <w:rFonts w:cstheme="minorHAnsi"/>
        </w:rPr>
        <w:t xml:space="preserve"> </w:t>
      </w:r>
      <w:r>
        <w:rPr>
          <w:rFonts w:cstheme="minorHAnsi"/>
        </w:rPr>
        <w:t xml:space="preserve">stało się </w:t>
      </w:r>
      <w:r w:rsidRPr="00164C6D">
        <w:rPr>
          <w:rFonts w:cstheme="minorHAnsi"/>
        </w:rPr>
        <w:t>prowadzenie badań klinicznych w</w:t>
      </w:r>
      <w:r>
        <w:rPr>
          <w:rFonts w:cstheme="minorHAnsi"/>
        </w:rPr>
        <w:t> </w:t>
      </w:r>
      <w:r w:rsidRPr="00164C6D">
        <w:rPr>
          <w:rFonts w:cstheme="minorHAnsi"/>
        </w:rPr>
        <w:t>ramach międzynarodowych zespołów badawczych w kilku krajach jednocześnie</w:t>
      </w:r>
      <w:r>
        <w:rPr>
          <w:rFonts w:cstheme="minorHAnsi"/>
        </w:rPr>
        <w:t>, dlatego</w:t>
      </w:r>
      <w:r w:rsidRPr="00164C6D">
        <w:rPr>
          <w:rFonts w:cstheme="minorHAnsi"/>
        </w:rPr>
        <w:t xml:space="preserve"> </w:t>
      </w:r>
      <w:r>
        <w:rPr>
          <w:rFonts w:cstheme="minorHAnsi"/>
        </w:rPr>
        <w:t xml:space="preserve">też </w:t>
      </w:r>
      <w:r w:rsidRPr="00EE36FD">
        <w:rPr>
          <w:rFonts w:eastAsia="Oswald-Light" w:cstheme="minorHAnsi"/>
        </w:rPr>
        <w:t>Dyrektyw</w:t>
      </w:r>
      <w:r>
        <w:rPr>
          <w:rFonts w:eastAsia="Oswald-Light" w:cstheme="minorHAnsi"/>
        </w:rPr>
        <w:t>a</w:t>
      </w:r>
      <w:r w:rsidRPr="00EE36FD">
        <w:rPr>
          <w:rFonts w:eastAsia="Oswald-Light" w:cstheme="minorHAnsi"/>
        </w:rPr>
        <w:t xml:space="preserve"> 2001/83/WE </w:t>
      </w:r>
      <w:r>
        <w:rPr>
          <w:rFonts w:cstheme="minorHAnsi"/>
        </w:rPr>
        <w:t xml:space="preserve">istotnie </w:t>
      </w:r>
      <w:r w:rsidRPr="00164C6D">
        <w:rPr>
          <w:rFonts w:cstheme="minorHAnsi"/>
        </w:rPr>
        <w:t>spowalniała prowadzenie badań na terenie całej Unii Europejskiej</w:t>
      </w:r>
      <w:r>
        <w:rPr>
          <w:rFonts w:cstheme="minorHAnsi"/>
        </w:rPr>
        <w:t xml:space="preserve">. </w:t>
      </w:r>
      <w:r>
        <w:rPr>
          <w:rFonts w:eastAsia="Oswald-Light" w:cstheme="minorHAnsi"/>
        </w:rPr>
        <w:t>J</w:t>
      </w:r>
      <w:r w:rsidRPr="00EE36FD">
        <w:rPr>
          <w:rFonts w:eastAsia="Oswald-Light" w:cstheme="minorHAnsi"/>
        </w:rPr>
        <w:t>ak wynika z</w:t>
      </w:r>
      <w:r w:rsidR="000E58C8">
        <w:rPr>
          <w:rFonts w:eastAsia="Oswald-Light" w:cstheme="minorHAnsi"/>
        </w:rPr>
        <w:t> </w:t>
      </w:r>
      <w:r w:rsidRPr="00EE36FD">
        <w:rPr>
          <w:rFonts w:eastAsia="Oswald-Light" w:cstheme="minorHAnsi"/>
        </w:rPr>
        <w:t>przeprowadzonych przez Komisję Europejską analiz</w:t>
      </w:r>
      <w:r>
        <w:rPr>
          <w:rFonts w:eastAsia="Oswald-Light" w:cstheme="minorHAnsi"/>
        </w:rPr>
        <w:t>,</w:t>
      </w:r>
      <w:r w:rsidRPr="00EE36FD">
        <w:rPr>
          <w:rFonts w:eastAsia="Oswald-Light" w:cstheme="minorHAnsi"/>
        </w:rPr>
        <w:t xml:space="preserve"> </w:t>
      </w:r>
      <w:r>
        <w:rPr>
          <w:rFonts w:eastAsia="Oswald-Light" w:cstheme="minorHAnsi"/>
        </w:rPr>
        <w:t>p</w:t>
      </w:r>
      <w:r w:rsidRPr="00EE36FD">
        <w:rPr>
          <w:rFonts w:eastAsia="Oswald-Light" w:cstheme="minorHAnsi"/>
        </w:rPr>
        <w:t xml:space="preserve">o wejściu w życie </w:t>
      </w:r>
      <w:r w:rsidR="0078783D">
        <w:rPr>
          <w:rFonts w:eastAsia="Oswald-Light" w:cstheme="minorHAnsi"/>
        </w:rPr>
        <w:t>D</w:t>
      </w:r>
      <w:r>
        <w:rPr>
          <w:rFonts w:eastAsia="Oswald-Light" w:cstheme="minorHAnsi"/>
        </w:rPr>
        <w:t xml:space="preserve">yrektywy </w:t>
      </w:r>
      <w:r w:rsidRPr="00EE36FD">
        <w:rPr>
          <w:rFonts w:eastAsia="Oswald-Light" w:cstheme="minorHAnsi"/>
        </w:rPr>
        <w:t>czas potrzebny na rozpoczęcie badania klinicznego wydłużył się o 90% (średnio do 152 dni)</w:t>
      </w:r>
      <w:r>
        <w:rPr>
          <w:rFonts w:eastAsia="Oswald-Light" w:cstheme="minorHAnsi"/>
        </w:rPr>
        <w:t>. Z</w:t>
      </w:r>
      <w:r w:rsidRPr="00EE36FD">
        <w:rPr>
          <w:rFonts w:eastAsia="Oswald-Light" w:cstheme="minorHAnsi"/>
        </w:rPr>
        <w:t>nacz</w:t>
      </w:r>
      <w:r>
        <w:rPr>
          <w:rFonts w:eastAsia="Oswald-Light" w:cstheme="minorHAnsi"/>
        </w:rPr>
        <w:t>ąco wzrosły również</w:t>
      </w:r>
      <w:r w:rsidRPr="00EE36FD">
        <w:rPr>
          <w:rFonts w:eastAsia="Oswald-Light" w:cstheme="minorHAnsi"/>
        </w:rPr>
        <w:t xml:space="preserve"> koszty prowadzenia </w:t>
      </w:r>
      <w:r>
        <w:rPr>
          <w:rFonts w:eastAsia="Oswald-Light" w:cstheme="minorHAnsi"/>
        </w:rPr>
        <w:t>projektów R&amp;D</w:t>
      </w:r>
      <w:r w:rsidRPr="00EE36FD">
        <w:rPr>
          <w:rFonts w:eastAsia="Oswald-Light" w:cstheme="minorHAnsi"/>
        </w:rPr>
        <w:t xml:space="preserve"> w Unii</w:t>
      </w:r>
      <w:r>
        <w:rPr>
          <w:rFonts w:eastAsia="Oswald-Light" w:cstheme="minorHAnsi"/>
        </w:rPr>
        <w:t xml:space="preserve"> Europejskiej, co skutkowało</w:t>
      </w:r>
      <w:r w:rsidRPr="00EE36FD">
        <w:rPr>
          <w:rFonts w:eastAsia="Oswald-Light" w:cstheme="minorHAnsi"/>
        </w:rPr>
        <w:t xml:space="preserve"> zmniejsz</w:t>
      </w:r>
      <w:r>
        <w:rPr>
          <w:rFonts w:eastAsia="Oswald-Light" w:cstheme="minorHAnsi"/>
        </w:rPr>
        <w:t>eniem</w:t>
      </w:r>
      <w:r w:rsidRPr="00EE36FD">
        <w:rPr>
          <w:rFonts w:eastAsia="Oswald-Light" w:cstheme="minorHAnsi"/>
        </w:rPr>
        <w:t xml:space="preserve"> liczb</w:t>
      </w:r>
      <w:r>
        <w:rPr>
          <w:rFonts w:eastAsia="Oswald-Light" w:cstheme="minorHAnsi"/>
        </w:rPr>
        <w:t>y</w:t>
      </w:r>
      <w:r w:rsidRPr="00EE36FD">
        <w:rPr>
          <w:rFonts w:eastAsia="Oswald-Light" w:cstheme="minorHAnsi"/>
        </w:rPr>
        <w:t xml:space="preserve"> nowo rejestrowanych badań w regionie.</w:t>
      </w:r>
    </w:p>
    <w:p w14:paraId="2F17AAE9" w14:textId="77777777" w:rsidR="001315B1" w:rsidRPr="00666757" w:rsidRDefault="001315B1" w:rsidP="001315B1">
      <w:pPr>
        <w:spacing w:after="120" w:line="283" w:lineRule="auto"/>
        <w:rPr>
          <w:rFonts w:cstheme="minorHAnsi"/>
          <w:b/>
          <w:bCs/>
          <w:i/>
          <w:iCs/>
        </w:rPr>
      </w:pPr>
      <w:r w:rsidRPr="00666757">
        <w:rPr>
          <w:rFonts w:cstheme="minorHAnsi"/>
          <w:b/>
          <w:bCs/>
          <w:i/>
          <w:iCs/>
        </w:rPr>
        <w:t>Jakie szanse tworzą nowe regulacje?</w:t>
      </w:r>
    </w:p>
    <w:p w14:paraId="7D1BF81E" w14:textId="5A78BEE2" w:rsidR="00B77617" w:rsidRPr="00832835" w:rsidRDefault="001315B1" w:rsidP="001315B1">
      <w:pPr>
        <w:spacing w:after="120" w:line="283" w:lineRule="auto"/>
        <w:rPr>
          <w:rFonts w:cstheme="minorHAnsi"/>
          <w:i/>
          <w:iCs/>
        </w:rPr>
      </w:pPr>
      <w:r>
        <w:rPr>
          <w:rFonts w:cstheme="minorHAnsi"/>
          <w:i/>
          <w:iCs/>
        </w:rPr>
        <w:t xml:space="preserve">– Medycyna, w tym badania kliniczne, rozwijają się bardzo dynamicznie. Rynek badań klinicznych podlega silnym regulacjom i okresowe aktualizacje prawa w zakresie badań klinicznych są konieczne. Rozporządzenie nr 536/2014 wprowadzając nowe definicje i rozwiązania prawne, usuwa wiele barier blokujących </w:t>
      </w:r>
      <w:r w:rsidR="00A01DC1">
        <w:rPr>
          <w:rFonts w:cstheme="minorHAnsi"/>
          <w:i/>
          <w:iCs/>
        </w:rPr>
        <w:t xml:space="preserve">dalszy </w:t>
      </w:r>
      <w:r>
        <w:rPr>
          <w:rFonts w:cstheme="minorHAnsi"/>
          <w:i/>
          <w:iCs/>
        </w:rPr>
        <w:t>rozwój badań klinicznych</w:t>
      </w:r>
      <w:r w:rsidR="00A01DC1">
        <w:rPr>
          <w:rFonts w:cstheme="minorHAnsi"/>
          <w:i/>
          <w:iCs/>
        </w:rPr>
        <w:t xml:space="preserve"> w Europie</w:t>
      </w:r>
      <w:r>
        <w:rPr>
          <w:rFonts w:cstheme="minorHAnsi"/>
          <w:i/>
          <w:iCs/>
        </w:rPr>
        <w:t xml:space="preserve">, otwierając nowe szanse również dla </w:t>
      </w:r>
      <w:r w:rsidR="00A01DC1">
        <w:rPr>
          <w:rFonts w:cstheme="minorHAnsi"/>
          <w:i/>
          <w:iCs/>
        </w:rPr>
        <w:t xml:space="preserve">polskiego </w:t>
      </w:r>
      <w:r>
        <w:rPr>
          <w:rFonts w:cstheme="minorHAnsi"/>
          <w:i/>
          <w:iCs/>
        </w:rPr>
        <w:t>rynku badań</w:t>
      </w:r>
      <w:r w:rsidR="0078783D">
        <w:rPr>
          <w:rFonts w:cstheme="minorHAnsi"/>
          <w:i/>
          <w:iCs/>
        </w:rPr>
        <w:t>. Mam</w:t>
      </w:r>
      <w:r w:rsidR="00B77617">
        <w:rPr>
          <w:rFonts w:cstheme="minorHAnsi"/>
          <w:i/>
          <w:iCs/>
        </w:rPr>
        <w:t>y</w:t>
      </w:r>
      <w:r w:rsidR="0078783D">
        <w:rPr>
          <w:rFonts w:cstheme="minorHAnsi"/>
          <w:i/>
          <w:iCs/>
        </w:rPr>
        <w:t xml:space="preserve"> nadzieję, że zainicjuje też kolejne zmiany, </w:t>
      </w:r>
      <w:r w:rsidR="00A01DC1">
        <w:rPr>
          <w:rFonts w:cstheme="minorHAnsi"/>
          <w:i/>
          <w:iCs/>
        </w:rPr>
        <w:t xml:space="preserve">które są </w:t>
      </w:r>
      <w:r w:rsidR="0078783D">
        <w:rPr>
          <w:rFonts w:cstheme="minorHAnsi"/>
          <w:i/>
          <w:iCs/>
        </w:rPr>
        <w:t xml:space="preserve">niezbędne, aby </w:t>
      </w:r>
      <w:r w:rsidR="00A01DC1">
        <w:rPr>
          <w:rFonts w:cstheme="minorHAnsi"/>
          <w:i/>
          <w:iCs/>
        </w:rPr>
        <w:t>kraje europejskie pozostawały konkurencyjne</w:t>
      </w:r>
      <w:r w:rsidR="00523DBF">
        <w:rPr>
          <w:rFonts w:cstheme="minorHAnsi"/>
          <w:i/>
          <w:iCs/>
        </w:rPr>
        <w:t>,</w:t>
      </w:r>
      <w:r w:rsidR="00B77617">
        <w:rPr>
          <w:rFonts w:cstheme="minorHAnsi"/>
          <w:i/>
          <w:iCs/>
        </w:rPr>
        <w:t xml:space="preserve"> umożliwiając wykorzystanie nowych rozwiązań i</w:t>
      </w:r>
      <w:r w:rsidR="0078783D">
        <w:rPr>
          <w:rFonts w:cstheme="minorHAnsi"/>
          <w:i/>
          <w:iCs/>
        </w:rPr>
        <w:t xml:space="preserve"> technologii</w:t>
      </w:r>
      <w:r>
        <w:rPr>
          <w:rFonts w:cstheme="minorHAnsi"/>
          <w:i/>
          <w:iCs/>
        </w:rPr>
        <w:t xml:space="preserve"> – </w:t>
      </w:r>
      <w:r w:rsidRPr="00A62A6C">
        <w:rPr>
          <w:rFonts w:eastAsia="Oswald-Light" w:cstheme="minorHAnsi"/>
        </w:rPr>
        <w:t xml:space="preserve">wyjaśnia </w:t>
      </w:r>
      <w:r w:rsidRPr="00523DBF">
        <w:rPr>
          <w:rFonts w:eastAsia="Oswald-Light" w:cstheme="minorHAnsi"/>
          <w:b/>
          <w:bCs/>
        </w:rPr>
        <w:t>Agnieszka Skoczylas, prezes Polskiego Związku Pracodawców Firm Prowadzących Badania Kliniczne na Zlecenie POLCRO</w:t>
      </w:r>
      <w:r w:rsidRPr="002C728C">
        <w:rPr>
          <w:rFonts w:eastAsia="Oswald-Light" w:cstheme="minorHAnsi"/>
        </w:rPr>
        <w:t>.</w:t>
      </w:r>
      <w:r w:rsidR="000E58C8">
        <w:rPr>
          <w:rFonts w:cstheme="minorHAnsi"/>
        </w:rPr>
        <w:t xml:space="preserve"> </w:t>
      </w:r>
    </w:p>
    <w:p w14:paraId="575DDA9C" w14:textId="5F580EAE" w:rsidR="001315B1" w:rsidRDefault="001315B1" w:rsidP="001315B1">
      <w:pPr>
        <w:spacing w:after="120" w:line="283" w:lineRule="auto"/>
      </w:pPr>
      <w:r>
        <w:t>Rewolucyjną zmianą</w:t>
      </w:r>
      <w:r w:rsidR="0078783D">
        <w:t xml:space="preserve"> wprowadzaną przez Rozporządzenie 536/2014</w:t>
      </w:r>
      <w:r>
        <w:t xml:space="preserve">, która uprości procedury rekrutacji pacjentów do badań, jest składanie jednego wniosku o pozwolenie na prowadzenie badania klinicznego, przesyłane </w:t>
      </w:r>
      <w:r w:rsidRPr="00231238">
        <w:rPr>
          <w:b/>
          <w:bCs/>
        </w:rPr>
        <w:t>za pośrednictwem portalu elektronicznego UE</w:t>
      </w:r>
      <w:r>
        <w:t xml:space="preserve"> (zastąpi to konieczność wielokrotnego przedkładania informacji w każdym państwie członkowskim uczestniczącym w tym samym badaniu klinicznym). Można więc spodziewać się, że uproszczenie tej procedury znacznie skróci czas konieczny do uruchomienia badania. Portal prowadzić będzie Europejska Agencja Leków we</w:t>
      </w:r>
      <w:r w:rsidR="00523DBF">
        <w:t xml:space="preserve"> </w:t>
      </w:r>
      <w:r>
        <w:t xml:space="preserve">współpracy z państwami członkowskimi oraz Komisją Europejską, a dane przekazywane za jego pośrednictwem będą przechowywane w bazach UE. </w:t>
      </w:r>
    </w:p>
    <w:p w14:paraId="46987E45" w14:textId="5B96B118" w:rsidR="001315B1" w:rsidRDefault="001315B1" w:rsidP="001315B1">
      <w:pPr>
        <w:spacing w:after="120" w:line="283" w:lineRule="auto"/>
      </w:pPr>
      <w:r>
        <w:t xml:space="preserve">Rozporządzenie zmienia również definicję badania klinicznego zgodnie z wytycznymi międzynarodowymi oraz prawem unijnym regulującym kwestie produktów leczniczych. </w:t>
      </w:r>
      <w:r>
        <w:rPr>
          <w:b/>
          <w:bCs/>
        </w:rPr>
        <w:t>Obowiązywać będzie</w:t>
      </w:r>
      <w:r w:rsidRPr="00231238">
        <w:rPr>
          <w:b/>
          <w:bCs/>
        </w:rPr>
        <w:t xml:space="preserve"> szersze pojęcie badania biomedycznego, którego kategorię stanowi badanie kliniczne</w:t>
      </w:r>
      <w:r>
        <w:t>. Z</w:t>
      </w:r>
      <w:r w:rsidR="00DF6471">
        <w:t> </w:t>
      </w:r>
      <w:r>
        <w:t xml:space="preserve">kolei </w:t>
      </w:r>
      <w:r w:rsidRPr="00231238">
        <w:rPr>
          <w:b/>
          <w:bCs/>
        </w:rPr>
        <w:t>wprowadzenie definicji badania o niskim stopniu interwencji</w:t>
      </w:r>
      <w:r>
        <w:t xml:space="preserve"> </w:t>
      </w:r>
      <w:r w:rsidRPr="00666757">
        <w:rPr>
          <w:b/>
          <w:bCs/>
        </w:rPr>
        <w:t>ułatwi prowadzenie badań o</w:t>
      </w:r>
      <w:r w:rsidR="00DF6471">
        <w:rPr>
          <w:b/>
          <w:bCs/>
        </w:rPr>
        <w:t> </w:t>
      </w:r>
      <w:r w:rsidRPr="00666757">
        <w:rPr>
          <w:b/>
          <w:bCs/>
        </w:rPr>
        <w:t>dużym znaczeniu dla oceny standardowych metod leczenia i diagnostyki</w:t>
      </w:r>
      <w:r>
        <w:t xml:space="preserve">. Badania tego typu podlegają mniej restrykcyjnym przepisom, co w końcowym efekcie działa na rzecz wysokiego poziomu zdrowia publicznego. Kolejnym nowo zdefiniowanym pojęciem jest </w:t>
      </w:r>
      <w:r w:rsidRPr="00666757">
        <w:rPr>
          <w:b/>
          <w:bCs/>
        </w:rPr>
        <w:t>kategoria produktów leczniczych pomocniczych</w:t>
      </w:r>
      <w:r>
        <w:t xml:space="preserve">, dotychczas kwalifikowanych jako tzw. produkty niebadane. </w:t>
      </w:r>
    </w:p>
    <w:p w14:paraId="11F64316" w14:textId="77777777" w:rsidR="00523DBF" w:rsidRDefault="00523DBF" w:rsidP="001315B1">
      <w:pPr>
        <w:spacing w:after="120" w:line="283" w:lineRule="auto"/>
        <w:rPr>
          <w:b/>
          <w:bCs/>
          <w:i/>
          <w:iCs/>
        </w:rPr>
      </w:pPr>
    </w:p>
    <w:p w14:paraId="6330F09C" w14:textId="50381123" w:rsidR="001315B1" w:rsidRPr="00666757" w:rsidRDefault="001315B1" w:rsidP="001315B1">
      <w:pPr>
        <w:spacing w:after="120" w:line="283" w:lineRule="auto"/>
        <w:rPr>
          <w:b/>
          <w:bCs/>
          <w:i/>
          <w:iCs/>
        </w:rPr>
      </w:pPr>
      <w:r w:rsidRPr="00666757">
        <w:rPr>
          <w:b/>
          <w:bCs/>
          <w:i/>
          <w:iCs/>
        </w:rPr>
        <w:lastRenderedPageBreak/>
        <w:t xml:space="preserve">Nowe formy zgody pacjenta </w:t>
      </w:r>
    </w:p>
    <w:p w14:paraId="678B7ED0" w14:textId="2F784E87" w:rsidR="001315B1" w:rsidRDefault="001315B1" w:rsidP="001315B1">
      <w:pPr>
        <w:spacing w:after="120" w:line="283" w:lineRule="auto"/>
      </w:pPr>
      <w:r>
        <w:t xml:space="preserve">Bardzo istotną zmianą, a jednocześnie ułatwieniem dla zespołów badawczych są </w:t>
      </w:r>
      <w:r w:rsidRPr="009C38E7">
        <w:rPr>
          <w:b/>
          <w:bCs/>
        </w:rPr>
        <w:t xml:space="preserve">rozwiązania dotyczące </w:t>
      </w:r>
      <w:r>
        <w:rPr>
          <w:b/>
          <w:bCs/>
        </w:rPr>
        <w:t xml:space="preserve">wyrażania </w:t>
      </w:r>
      <w:r w:rsidRPr="009C38E7">
        <w:rPr>
          <w:b/>
          <w:bCs/>
        </w:rPr>
        <w:t>świadomej zgody</w:t>
      </w:r>
      <w:r>
        <w:rPr>
          <w:b/>
          <w:bCs/>
        </w:rPr>
        <w:t xml:space="preserve"> przez uczestnika badania</w:t>
      </w:r>
      <w:r>
        <w:t>. Rozporządzenie wprowadza w</w:t>
      </w:r>
      <w:r w:rsidR="00DF6471">
        <w:t> </w:t>
      </w:r>
      <w:r>
        <w:t xml:space="preserve">tym zakresie nowe możliwości wyrażania zgody na badanie – nie tylko w formie pisemnej, ale też oświadczenia np. w formie audio lub wideo, gdy uczestnik nie jest w stanie pisać. Odrębną formą wyrażenia zgody na udział w badaniach, jakie uwzględnia nowy akt prawny, jest świadoma zgoda w sytuacjach nagłych. Jest to szczególnie ważne w badaniach z udziałem pacjentów nieprzytomnych np. z zawałem serca lub po udarze mózgu. </w:t>
      </w:r>
      <w:r w:rsidRPr="00666757">
        <w:rPr>
          <w:b/>
          <w:bCs/>
        </w:rPr>
        <w:t>W takich przypadkach świadomą zgodę uzyskuje się oraz udziela się informacji dotyczących badania klinicznego po przeprowadzeniu interwencji medycznej</w:t>
      </w:r>
      <w:r>
        <w:t xml:space="preserve"> pod warunkiem, że decyzja ta jest podejmowana w czasie pierwszej interwencji dotyczącej danego pacjenta.</w:t>
      </w:r>
    </w:p>
    <w:p w14:paraId="6D8CF236" w14:textId="77777777" w:rsidR="001315B1" w:rsidRDefault="001315B1" w:rsidP="001315B1">
      <w:pPr>
        <w:spacing w:after="120" w:line="283" w:lineRule="auto"/>
      </w:pPr>
      <w:r>
        <w:t xml:space="preserve">Na etapie inicjowania i finansowania badań klinicznych nowością jest </w:t>
      </w:r>
      <w:r w:rsidRPr="00D67286">
        <w:rPr>
          <w:b/>
          <w:bCs/>
        </w:rPr>
        <w:t>ustanowienie możliwości współsponsorowania</w:t>
      </w:r>
      <w:r>
        <w:t xml:space="preserve">. W tym przypadku rozporządzenie określa obowiązki sponsora, którym podlegają wszyscy współsponsorzy. Wciąż jednak mogą oni dzielić elastycznie obowiązki między siebie na mocy pisemnej umowy. Dla zapewnienia sprawnych działań egzekucyjnych oraz możliwości wszczęcia postępowań sądowych i administracyjnych służy funkcja prawnego przedstawiciela w Unii Europejskiej. Podmiot ten odpowiada za zapewnienie wypełniania obowiązków sponsora. Państwa członkowskie mogą pominąć ustanowienie prawnego przedstawiciela, jeśli wyznaczą na ich terytorium przynajmniej osobę do kontaktu, która będzie odpowiadać za komunikację ze sponsorem badania klinicznego. </w:t>
      </w:r>
    </w:p>
    <w:p w14:paraId="5334FD19" w14:textId="77777777" w:rsidR="001315B1" w:rsidRPr="00666757" w:rsidRDefault="001315B1" w:rsidP="001315B1">
      <w:pPr>
        <w:spacing w:after="120" w:line="283" w:lineRule="auto"/>
        <w:rPr>
          <w:b/>
          <w:bCs/>
          <w:i/>
          <w:iCs/>
        </w:rPr>
      </w:pPr>
      <w:r w:rsidRPr="00666757">
        <w:rPr>
          <w:b/>
          <w:bCs/>
          <w:i/>
          <w:iCs/>
        </w:rPr>
        <w:t xml:space="preserve">Polskie środowisko medyczne czeka na ustawę </w:t>
      </w:r>
    </w:p>
    <w:p w14:paraId="32DE8F1C" w14:textId="5C99E65E" w:rsidR="001315B1" w:rsidRPr="00CF5AB3" w:rsidRDefault="001315B1" w:rsidP="001315B1">
      <w:pPr>
        <w:spacing w:after="120" w:line="283" w:lineRule="auto"/>
      </w:pPr>
      <w:r>
        <w:t xml:space="preserve">Rozwiązania te usuwają szereg barier w prowadzeniu badań, zwłaszcza w kwestiach proceduralnych. Ich implementacja </w:t>
      </w:r>
      <w:r w:rsidR="00A01DC1">
        <w:t>wprowadza</w:t>
      </w:r>
      <w:r>
        <w:t xml:space="preserve"> nowe narzędzia zwiększające efektywność badań. </w:t>
      </w:r>
      <w:r w:rsidRPr="00693EB7">
        <w:t>Rozporządzenie pozostawia jednak uregulowanie części rozwiązań w kompetencjach władz krajowych.</w:t>
      </w:r>
      <w:r w:rsidRPr="00CF5AB3">
        <w:t xml:space="preserve"> </w:t>
      </w:r>
      <w:r w:rsidRPr="00197E90">
        <w:rPr>
          <w:b/>
          <w:bCs/>
        </w:rPr>
        <w:t xml:space="preserve">17 stycznia </w:t>
      </w:r>
      <w:r>
        <w:rPr>
          <w:b/>
          <w:bCs/>
        </w:rPr>
        <w:t>br.</w:t>
      </w:r>
      <w:r w:rsidRPr="00197E90">
        <w:rPr>
          <w:b/>
          <w:bCs/>
        </w:rPr>
        <w:t xml:space="preserve"> opublikowana została nowa wersja projektu ustawy o </w:t>
      </w:r>
      <w:bookmarkStart w:id="0" w:name="_Hlk94265544"/>
      <w:r w:rsidRPr="00197E90">
        <w:rPr>
          <w:b/>
          <w:bCs/>
        </w:rPr>
        <w:t>badaniach klinicznych produktów leczniczych stosowanych u ludzi</w:t>
      </w:r>
      <w:bookmarkEnd w:id="0"/>
      <w:r w:rsidRPr="00197E90">
        <w:rPr>
          <w:b/>
          <w:bCs/>
        </w:rPr>
        <w:t>, która ma zapewnić właściwe stosowanie Rozporządzenia Parlamentu Europejskiego i Rady (UE) nr 536/2014</w:t>
      </w:r>
      <w:r w:rsidRPr="00CF5AB3">
        <w:t xml:space="preserve">. Projekt Ustawy </w:t>
      </w:r>
      <w:r>
        <w:t>uwzględnia wiele</w:t>
      </w:r>
      <w:r w:rsidRPr="00CF5AB3">
        <w:t xml:space="preserve"> propozycji zgłaszanych dotychczas </w:t>
      </w:r>
      <w:r>
        <w:t>przez</w:t>
      </w:r>
      <w:r w:rsidRPr="00CF5AB3">
        <w:t xml:space="preserve"> INFARMA i POLCRO</w:t>
      </w:r>
      <w:r>
        <w:t xml:space="preserve"> oraz środowisko prowadzenia bada</w:t>
      </w:r>
      <w:r w:rsidR="00467E0F">
        <w:t>ń</w:t>
      </w:r>
      <w:r>
        <w:t xml:space="preserve"> klinicznych</w:t>
      </w:r>
      <w:r w:rsidRPr="00CF5AB3">
        <w:t xml:space="preserve">, które pozytywnie </w:t>
      </w:r>
      <w:r>
        <w:t xml:space="preserve">wpłyną </w:t>
      </w:r>
      <w:r w:rsidRPr="00CF5AB3">
        <w:t xml:space="preserve">na praktykę </w:t>
      </w:r>
      <w:r>
        <w:t>pro</w:t>
      </w:r>
      <w:r w:rsidRPr="00CF5AB3">
        <w:t>wadz</w:t>
      </w:r>
      <w:r>
        <w:t>e</w:t>
      </w:r>
      <w:r w:rsidRPr="00CF5AB3">
        <w:t xml:space="preserve">nia badań klinicznych. </w:t>
      </w:r>
    </w:p>
    <w:p w14:paraId="1F24F5A6" w14:textId="5DF2C3D8" w:rsidR="001315B1" w:rsidRDefault="001315B1" w:rsidP="001315B1">
      <w:pPr>
        <w:spacing w:after="120" w:line="283" w:lineRule="auto"/>
      </w:pPr>
      <w:r>
        <w:rPr>
          <w:rFonts w:cstheme="minorHAnsi"/>
          <w:i/>
          <w:iCs/>
        </w:rPr>
        <w:t xml:space="preserve">– </w:t>
      </w:r>
      <w:r w:rsidRPr="00CF5AB3">
        <w:rPr>
          <w:rFonts w:cstheme="minorHAnsi"/>
          <w:i/>
          <w:iCs/>
        </w:rPr>
        <w:t>C</w:t>
      </w:r>
      <w:r w:rsidRPr="00CF5AB3">
        <w:rPr>
          <w:i/>
          <w:iCs/>
        </w:rPr>
        <w:t xml:space="preserve">ieszymy się, że uwzględnione zostały propozycje wprowadzenia do polskiego porządku prawnego </w:t>
      </w:r>
      <w:r>
        <w:rPr>
          <w:i/>
          <w:iCs/>
        </w:rPr>
        <w:t>długo oczekiwanej procedury indywidualnego zastosowania leku (tzw. „</w:t>
      </w:r>
      <w:r w:rsidRPr="00CF5AB3">
        <w:rPr>
          <w:i/>
          <w:iCs/>
        </w:rPr>
        <w:t>compassionate use"</w:t>
      </w:r>
      <w:r>
        <w:rPr>
          <w:i/>
          <w:iCs/>
        </w:rPr>
        <w:t>)</w:t>
      </w:r>
      <w:r w:rsidRPr="00CF5AB3">
        <w:rPr>
          <w:i/>
          <w:iCs/>
        </w:rPr>
        <w:t>, dzięki któr</w:t>
      </w:r>
      <w:r>
        <w:rPr>
          <w:i/>
          <w:iCs/>
        </w:rPr>
        <w:t>ej</w:t>
      </w:r>
      <w:r w:rsidRPr="00CF5AB3">
        <w:rPr>
          <w:i/>
          <w:iCs/>
        </w:rPr>
        <w:t xml:space="preserve"> możliwy będzie szybszy dostęp pacjentów </w:t>
      </w:r>
      <w:r>
        <w:rPr>
          <w:i/>
          <w:iCs/>
        </w:rPr>
        <w:t>do</w:t>
      </w:r>
      <w:r w:rsidRPr="00CF5AB3">
        <w:rPr>
          <w:i/>
          <w:iCs/>
        </w:rPr>
        <w:t xml:space="preserve"> leków po</w:t>
      </w:r>
      <w:r>
        <w:rPr>
          <w:i/>
          <w:iCs/>
        </w:rPr>
        <w:t> </w:t>
      </w:r>
      <w:r w:rsidRPr="00CF5AB3">
        <w:rPr>
          <w:i/>
          <w:iCs/>
        </w:rPr>
        <w:t>zakończeniu badania klinicznego.</w:t>
      </w:r>
      <w:r>
        <w:rPr>
          <w:i/>
          <w:iCs/>
        </w:rPr>
        <w:t xml:space="preserve"> Wprowadzenie tego rozwiązania </w:t>
      </w:r>
      <w:r w:rsidRPr="00FD3692">
        <w:rPr>
          <w:i/>
          <w:iCs/>
        </w:rPr>
        <w:t>ma na celu ochronę życia i zdrowia pacjentów oraz uczestników badań klinicznych w sytuacji, kiedy nie biorą już oni udziału w badaniu a na rynku brak jest innych opcji terapeutycznych.</w:t>
      </w:r>
      <w:r>
        <w:rPr>
          <w:i/>
          <w:iCs/>
        </w:rPr>
        <w:t xml:space="preserve"> </w:t>
      </w:r>
      <w:r w:rsidRPr="00CF5AB3">
        <w:rPr>
          <w:i/>
          <w:iCs/>
        </w:rPr>
        <w:t xml:space="preserve">Należy natomiast </w:t>
      </w:r>
      <w:r>
        <w:rPr>
          <w:i/>
          <w:iCs/>
        </w:rPr>
        <w:t>zwrócić uwagę na potrzebę uwzględnienia</w:t>
      </w:r>
      <w:r w:rsidRPr="00CF5AB3">
        <w:rPr>
          <w:i/>
          <w:iCs/>
        </w:rPr>
        <w:t xml:space="preserve"> rozwiąza</w:t>
      </w:r>
      <w:r>
        <w:rPr>
          <w:i/>
          <w:iCs/>
        </w:rPr>
        <w:t>ń</w:t>
      </w:r>
      <w:r w:rsidRPr="00CF5AB3">
        <w:rPr>
          <w:i/>
          <w:iCs/>
        </w:rPr>
        <w:t xml:space="preserve"> związa</w:t>
      </w:r>
      <w:r>
        <w:rPr>
          <w:i/>
          <w:iCs/>
        </w:rPr>
        <w:t>nych</w:t>
      </w:r>
      <w:r w:rsidRPr="00CF5AB3">
        <w:rPr>
          <w:i/>
          <w:iCs/>
        </w:rPr>
        <w:t xml:space="preserve"> z</w:t>
      </w:r>
      <w:r w:rsidR="00467E0F">
        <w:rPr>
          <w:i/>
          <w:iCs/>
        </w:rPr>
        <w:t> </w:t>
      </w:r>
      <w:r w:rsidRPr="00CF5AB3">
        <w:rPr>
          <w:i/>
          <w:iCs/>
        </w:rPr>
        <w:t>procesem digitalizacji prowadzenia badań klinicznych</w:t>
      </w:r>
      <w:r>
        <w:rPr>
          <w:i/>
          <w:iCs/>
        </w:rPr>
        <w:t xml:space="preserve">, co może wpłynąć na poprawę </w:t>
      </w:r>
      <w:r w:rsidR="00A01DC1">
        <w:rPr>
          <w:i/>
          <w:iCs/>
        </w:rPr>
        <w:t xml:space="preserve">efektywności </w:t>
      </w:r>
      <w:r>
        <w:rPr>
          <w:i/>
          <w:iCs/>
        </w:rPr>
        <w:t>prowadzenia badań w Polsce</w:t>
      </w:r>
      <w:r w:rsidRPr="00CF5AB3">
        <w:rPr>
          <w:i/>
          <w:iCs/>
        </w:rPr>
        <w:t>. Jak pokazuje doświadczenie w prowadzeniu badań klinicznych w trakcie pandemii COVID</w:t>
      </w:r>
      <w:r>
        <w:rPr>
          <w:i/>
          <w:iCs/>
        </w:rPr>
        <w:t>-19</w:t>
      </w:r>
      <w:r w:rsidRPr="00CF5AB3">
        <w:rPr>
          <w:i/>
          <w:iCs/>
        </w:rPr>
        <w:t xml:space="preserve">, jak również działania KE zmierzające do usprawnienia </w:t>
      </w:r>
      <w:r>
        <w:rPr>
          <w:i/>
          <w:iCs/>
        </w:rPr>
        <w:t xml:space="preserve">i przyspieszenia </w:t>
      </w:r>
      <w:r w:rsidRPr="00CF5AB3">
        <w:rPr>
          <w:i/>
          <w:iCs/>
        </w:rPr>
        <w:t xml:space="preserve">tego procesu, </w:t>
      </w:r>
      <w:r>
        <w:rPr>
          <w:i/>
          <w:iCs/>
        </w:rPr>
        <w:t>aktualna pozostaje</w:t>
      </w:r>
      <w:r w:rsidRPr="00CF5AB3">
        <w:rPr>
          <w:i/>
          <w:iCs/>
        </w:rPr>
        <w:t xml:space="preserve"> potrzeb</w:t>
      </w:r>
      <w:r>
        <w:rPr>
          <w:i/>
          <w:iCs/>
        </w:rPr>
        <w:t>a</w:t>
      </w:r>
      <w:r w:rsidRPr="00CF5AB3">
        <w:rPr>
          <w:i/>
          <w:iCs/>
        </w:rPr>
        <w:t xml:space="preserve"> włączenia do ustawy</w:t>
      </w:r>
      <w:r w:rsidR="000E58C8">
        <w:rPr>
          <w:i/>
          <w:iCs/>
        </w:rPr>
        <w:t xml:space="preserve"> </w:t>
      </w:r>
      <w:r w:rsidRPr="00CF5AB3">
        <w:rPr>
          <w:i/>
          <w:iCs/>
        </w:rPr>
        <w:t>takich rozwiązań jak możliwość wyrażania zgody pacjenta w wersji elektronicznej</w:t>
      </w:r>
      <w:r>
        <w:rPr>
          <w:i/>
          <w:iCs/>
        </w:rPr>
        <w:t xml:space="preserve"> (tzw.</w:t>
      </w:r>
      <w:r w:rsidRPr="00CF5AB3">
        <w:rPr>
          <w:i/>
          <w:iCs/>
        </w:rPr>
        <w:t xml:space="preserve"> e-</w:t>
      </w:r>
      <w:proofErr w:type="spellStart"/>
      <w:r w:rsidRPr="00CF5AB3">
        <w:rPr>
          <w:i/>
          <w:iCs/>
        </w:rPr>
        <w:t>Consent</w:t>
      </w:r>
      <w:proofErr w:type="spellEnd"/>
      <w:r>
        <w:rPr>
          <w:i/>
          <w:iCs/>
        </w:rPr>
        <w:t>)</w:t>
      </w:r>
      <w:r w:rsidRPr="00CF5AB3">
        <w:rPr>
          <w:i/>
          <w:iCs/>
        </w:rPr>
        <w:t>,</w:t>
      </w:r>
      <w:r w:rsidRPr="00BF6E18">
        <w:t xml:space="preserve"> </w:t>
      </w:r>
      <w:r>
        <w:t xml:space="preserve">uzupełnienie </w:t>
      </w:r>
      <w:r w:rsidRPr="00BF6E18">
        <w:rPr>
          <w:i/>
          <w:iCs/>
        </w:rPr>
        <w:t>przepisu potwierdzającego możliwość zawierania umów o prowadzenie badania klinicznego w formie dokumentowe</w:t>
      </w:r>
      <w:r>
        <w:rPr>
          <w:i/>
          <w:iCs/>
        </w:rPr>
        <w:t>j</w:t>
      </w:r>
      <w:r w:rsidRPr="00CF5AB3">
        <w:rPr>
          <w:i/>
          <w:iCs/>
        </w:rPr>
        <w:t xml:space="preserve">, a także stworzenie warunków formalno-prawnych do </w:t>
      </w:r>
      <w:r w:rsidRPr="00BF6E18">
        <w:rPr>
          <w:i/>
          <w:iCs/>
        </w:rPr>
        <w:t xml:space="preserve">zdalnego przeglądania i weryfikacji źródłowej dokumentacji medycznej </w:t>
      </w:r>
      <w:r w:rsidRPr="00CF5AB3">
        <w:rPr>
          <w:i/>
          <w:iCs/>
        </w:rPr>
        <w:t>(</w:t>
      </w:r>
      <w:r>
        <w:rPr>
          <w:i/>
          <w:iCs/>
        </w:rPr>
        <w:t>tzw. „</w:t>
      </w:r>
      <w:proofErr w:type="spellStart"/>
      <w:r w:rsidRPr="00CF5AB3">
        <w:rPr>
          <w:i/>
          <w:iCs/>
        </w:rPr>
        <w:t>remote</w:t>
      </w:r>
      <w:proofErr w:type="spellEnd"/>
      <w:r w:rsidRPr="00CF5AB3">
        <w:rPr>
          <w:i/>
          <w:iCs/>
        </w:rPr>
        <w:t xml:space="preserve"> SDV</w:t>
      </w:r>
      <w:r>
        <w:rPr>
          <w:i/>
          <w:iCs/>
        </w:rPr>
        <w:t>”</w:t>
      </w:r>
      <w:r w:rsidRPr="00CF5AB3">
        <w:rPr>
          <w:i/>
          <w:iCs/>
        </w:rPr>
        <w:t>)</w:t>
      </w:r>
      <w:r>
        <w:t xml:space="preserve"> – zwraca </w:t>
      </w:r>
      <w:r w:rsidRPr="00F37BCD">
        <w:t xml:space="preserve">uwagę </w:t>
      </w:r>
      <w:r w:rsidR="00DF6471" w:rsidRPr="005C24EB">
        <w:rPr>
          <w:b/>
          <w:bCs/>
        </w:rPr>
        <w:t xml:space="preserve">dr </w:t>
      </w:r>
      <w:r w:rsidRPr="005C24EB">
        <w:rPr>
          <w:b/>
          <w:bCs/>
        </w:rPr>
        <w:t>Anna Kacprzyk, menedżer ds.</w:t>
      </w:r>
      <w:r w:rsidR="00DF6471" w:rsidRPr="005C24EB">
        <w:rPr>
          <w:b/>
          <w:bCs/>
        </w:rPr>
        <w:t> </w:t>
      </w:r>
      <w:r w:rsidRPr="005C24EB">
        <w:rPr>
          <w:b/>
          <w:bCs/>
        </w:rPr>
        <w:t>innowacji i etyki biznesu Związku Pracodawców Innowacyjnych Firm Farmaceutycznych INFARMA</w:t>
      </w:r>
      <w:r w:rsidRPr="00CF5AB3">
        <w:t>.</w:t>
      </w:r>
    </w:p>
    <w:p w14:paraId="67F097ED" w14:textId="56C2B7B4" w:rsidR="001315B1" w:rsidRPr="00294763" w:rsidRDefault="001315B1" w:rsidP="001315B1">
      <w:pPr>
        <w:spacing w:after="120" w:line="283" w:lineRule="auto"/>
      </w:pPr>
      <w:r>
        <w:t>W Polsce w ostatnich latach można zaobserwować znaczny rozwój w sektorze komercyjnych badań klinicznych</w:t>
      </w:r>
      <w:r w:rsidR="005C24EB">
        <w:t>.</w:t>
      </w:r>
      <w:r>
        <w:t xml:space="preserve"> </w:t>
      </w:r>
      <w:r w:rsidR="005C24EB">
        <w:t>N</w:t>
      </w:r>
      <w:r>
        <w:t>iezmienne aktualnym celem pozostaje jednakże dalsze zwiększanie konkurencyjności naszego kraju w tym obszarze i stwarzanie zachęt wspierających rozwój sektora badań klinicznych. Między innymi temu zagadnieniu jest poświęcony najnowszy Raport zainicjowany przez POLCRO i</w:t>
      </w:r>
      <w:r w:rsidR="00DF6471">
        <w:t> </w:t>
      </w:r>
      <w:r>
        <w:t xml:space="preserve">INFARMA pt. </w:t>
      </w:r>
      <w:r w:rsidRPr="00850434">
        <w:rPr>
          <w:b/>
          <w:bCs/>
        </w:rPr>
        <w:t xml:space="preserve">„Komercyjne badania kliniczne w Polsce – możliwości zwiększenia liczby i zakresu </w:t>
      </w:r>
      <w:r w:rsidRPr="00850434">
        <w:rPr>
          <w:b/>
          <w:bCs/>
        </w:rPr>
        <w:lastRenderedPageBreak/>
        <w:t>badań klinicznych w Polsce</w:t>
      </w:r>
      <w:r>
        <w:t xml:space="preserve">”. </w:t>
      </w:r>
      <w:r w:rsidRPr="004B229C">
        <w:rPr>
          <w:b/>
          <w:bCs/>
        </w:rPr>
        <w:t>Prezentacja</w:t>
      </w:r>
      <w:r>
        <w:rPr>
          <w:b/>
          <w:bCs/>
        </w:rPr>
        <w:t xml:space="preserve"> R</w:t>
      </w:r>
      <w:r w:rsidRPr="004B229C">
        <w:rPr>
          <w:b/>
          <w:bCs/>
        </w:rPr>
        <w:t xml:space="preserve">aportu odbędzie się </w:t>
      </w:r>
      <w:r>
        <w:rPr>
          <w:b/>
          <w:bCs/>
        </w:rPr>
        <w:t xml:space="preserve">już </w:t>
      </w:r>
      <w:r w:rsidRPr="004B229C">
        <w:rPr>
          <w:b/>
          <w:bCs/>
        </w:rPr>
        <w:t>18 lutego 2022 r. o godz.</w:t>
      </w:r>
      <w:r>
        <w:rPr>
          <w:b/>
          <w:bCs/>
        </w:rPr>
        <w:t xml:space="preserve"> </w:t>
      </w:r>
      <w:r w:rsidRPr="004B229C">
        <w:rPr>
          <w:b/>
          <w:bCs/>
        </w:rPr>
        <w:t xml:space="preserve">9:30 w Centrum Prasowym PAP oraz online. </w:t>
      </w:r>
    </w:p>
    <w:p w14:paraId="10566551" w14:textId="77777777" w:rsidR="001315B1" w:rsidRDefault="001315B1" w:rsidP="001315B1">
      <w:pPr>
        <w:spacing w:after="120" w:line="283" w:lineRule="auto"/>
      </w:pPr>
    </w:p>
    <w:p w14:paraId="5D798C05" w14:textId="77777777" w:rsidR="001315B1" w:rsidRDefault="001315B1" w:rsidP="001315B1">
      <w:pPr>
        <w:spacing w:after="120" w:line="283" w:lineRule="auto"/>
        <w:jc w:val="center"/>
      </w:pPr>
      <w:r>
        <w:t>***</w:t>
      </w:r>
    </w:p>
    <w:p w14:paraId="41950906" w14:textId="65B47B13" w:rsidR="001D4141" w:rsidRDefault="00C13974" w:rsidP="001315B1">
      <w:pPr>
        <w:rPr>
          <w:rFonts w:cs="Arial"/>
          <w:sz w:val="16"/>
          <w:szCs w:val="16"/>
        </w:rPr>
      </w:pPr>
      <w:bookmarkStart w:id="1" w:name="_Hlk94286001"/>
      <w:r w:rsidRPr="00C13974">
        <w:rPr>
          <w:rFonts w:cs="Arial"/>
          <w:b/>
          <w:bCs/>
          <w:sz w:val="16"/>
          <w:szCs w:val="16"/>
        </w:rPr>
        <w:t>Związek Pracodawców Innowacyjnych Firm Farmaceutycznych</w:t>
      </w:r>
      <w:r w:rsidRPr="00C13974">
        <w:rPr>
          <w:rFonts w:cs="Arial"/>
          <w:sz w:val="16"/>
          <w:szCs w:val="16"/>
        </w:rPr>
        <w:t xml:space="preserve"> </w:t>
      </w:r>
      <w:r w:rsidRPr="00C13974">
        <w:rPr>
          <w:rFonts w:cs="Arial"/>
          <w:b/>
          <w:bCs/>
          <w:sz w:val="16"/>
          <w:szCs w:val="16"/>
        </w:rPr>
        <w:t>INFARMA</w:t>
      </w:r>
      <w:r w:rsidRPr="00C13974">
        <w:rPr>
          <w:rFonts w:cs="Arial"/>
          <w:sz w:val="16"/>
          <w:szCs w:val="16"/>
        </w:rPr>
        <w:t xml:space="preserve"> reprezentuje 25 działających w Polsce wiodących firm sektora farmaceutycznego, prowadzących działalność badawczo-rozwojową i produkujących leki innowacyjne. INFARMA jest członkiem międzynarodowych organizacji zrzeszających innowacyjną branżę farmaceutyczną (EFPIA), a także Pracodawców</w:t>
      </w:r>
      <w:r>
        <w:rPr>
          <w:rFonts w:cs="Arial"/>
          <w:sz w:val="16"/>
          <w:szCs w:val="16"/>
        </w:rPr>
        <w:t xml:space="preserve"> </w:t>
      </w:r>
      <w:r w:rsidRPr="00C13974">
        <w:rPr>
          <w:rFonts w:cs="Arial"/>
          <w:sz w:val="16"/>
          <w:szCs w:val="16"/>
        </w:rPr>
        <w:t xml:space="preserve">RP oraz Krajowej Izby Gospodarczej. </w:t>
      </w:r>
    </w:p>
    <w:p w14:paraId="42BBBB3D" w14:textId="77777777" w:rsidR="009A11ED" w:rsidRDefault="009A11ED" w:rsidP="009A11ED">
      <w:pPr>
        <w:spacing w:after="120" w:line="283" w:lineRule="auto"/>
      </w:pPr>
    </w:p>
    <w:p w14:paraId="370AE163" w14:textId="77777777" w:rsidR="009A11ED" w:rsidRDefault="009A11ED" w:rsidP="009A11ED">
      <w:pPr>
        <w:spacing w:after="120" w:line="283" w:lineRule="auto"/>
        <w:jc w:val="center"/>
      </w:pPr>
      <w:r>
        <w:t>***</w:t>
      </w:r>
    </w:p>
    <w:p w14:paraId="57E28149" w14:textId="3EB39C85" w:rsidR="009A11ED" w:rsidRPr="0056430D" w:rsidRDefault="0056430D" w:rsidP="001315B1">
      <w:pPr>
        <w:rPr>
          <w:rFonts w:cs="Arial"/>
          <w:sz w:val="16"/>
          <w:szCs w:val="16"/>
        </w:rPr>
      </w:pPr>
      <w:r w:rsidRPr="00523DBF">
        <w:rPr>
          <w:rFonts w:cs="Arial"/>
          <w:b/>
          <w:bCs/>
          <w:sz w:val="16"/>
          <w:szCs w:val="16"/>
          <w:shd w:val="clear" w:color="auto" w:fill="FFFFFF"/>
        </w:rPr>
        <w:t>POLCRO </w:t>
      </w:r>
      <w:r w:rsidR="000E58C8">
        <w:rPr>
          <w:rFonts w:cs="Arial"/>
          <w:b/>
          <w:bCs/>
          <w:sz w:val="16"/>
          <w:szCs w:val="16"/>
          <w:shd w:val="clear" w:color="auto" w:fill="FFFFFF"/>
        </w:rPr>
        <w:t>–</w:t>
      </w:r>
      <w:r w:rsidRPr="00523DBF">
        <w:rPr>
          <w:rFonts w:cs="Arial"/>
          <w:b/>
          <w:bCs/>
          <w:sz w:val="16"/>
          <w:szCs w:val="16"/>
          <w:shd w:val="clear" w:color="auto" w:fill="FFFFFF"/>
        </w:rPr>
        <w:t> Polski Związek Pracodawców Firm Prowadzących Badania Kliniczne na Zlecenie (Clinical Research Organizations)</w:t>
      </w:r>
      <w:r w:rsidRPr="00523DBF">
        <w:rPr>
          <w:rFonts w:cs="Arial"/>
          <w:sz w:val="16"/>
          <w:szCs w:val="16"/>
          <w:shd w:val="clear" w:color="auto" w:fill="FFFFFF"/>
        </w:rPr>
        <w:t xml:space="preserve"> jest organizacją zrzeszającą firmy</w:t>
      </w:r>
      <w:r w:rsidR="005C24EB">
        <w:rPr>
          <w:rFonts w:cs="Arial"/>
          <w:sz w:val="16"/>
          <w:szCs w:val="16"/>
          <w:shd w:val="clear" w:color="auto" w:fill="FFFFFF"/>
        </w:rPr>
        <w:t xml:space="preserve"> </w:t>
      </w:r>
      <w:r w:rsidRPr="00523DBF">
        <w:rPr>
          <w:rFonts w:cs="Arial"/>
          <w:sz w:val="16"/>
          <w:szCs w:val="16"/>
        </w:rPr>
        <w:t>zaangażowane</w:t>
      </w:r>
      <w:r w:rsidR="005C24EB">
        <w:rPr>
          <w:rFonts w:cs="Arial"/>
          <w:sz w:val="16"/>
          <w:szCs w:val="16"/>
          <w:shd w:val="clear" w:color="auto" w:fill="FFFFFF"/>
        </w:rPr>
        <w:t xml:space="preserve"> </w:t>
      </w:r>
      <w:r w:rsidRPr="00523DBF">
        <w:rPr>
          <w:rFonts w:cs="Arial"/>
          <w:sz w:val="16"/>
          <w:szCs w:val="16"/>
          <w:shd w:val="clear" w:color="auto" w:fill="FFFFFF"/>
        </w:rPr>
        <w:t>na</w:t>
      </w:r>
      <w:r w:rsidR="005C24EB">
        <w:rPr>
          <w:rFonts w:cs="Arial"/>
          <w:sz w:val="16"/>
          <w:szCs w:val="16"/>
          <w:shd w:val="clear" w:color="auto" w:fill="FFFFFF"/>
        </w:rPr>
        <w:t xml:space="preserve"> </w:t>
      </w:r>
      <w:r w:rsidRPr="00523DBF">
        <w:rPr>
          <w:rFonts w:cs="Arial"/>
          <w:sz w:val="16"/>
          <w:szCs w:val="16"/>
          <w:shd w:val="clear" w:color="auto" w:fill="FFFFFF"/>
        </w:rPr>
        <w:t>terytorium Rzeczpospolitej Polskiej</w:t>
      </w:r>
      <w:r w:rsidR="005C24EB">
        <w:rPr>
          <w:rFonts w:cs="Arial"/>
          <w:sz w:val="16"/>
          <w:szCs w:val="16"/>
          <w:shd w:val="clear" w:color="auto" w:fill="FFFFFF"/>
        </w:rPr>
        <w:t xml:space="preserve"> </w:t>
      </w:r>
      <w:r w:rsidRPr="00523DBF">
        <w:rPr>
          <w:rFonts w:cs="Arial"/>
          <w:sz w:val="16"/>
          <w:szCs w:val="16"/>
          <w:shd w:val="clear" w:color="auto" w:fill="FFFFFF"/>
        </w:rPr>
        <w:t>w</w:t>
      </w:r>
      <w:r w:rsidR="005C24EB">
        <w:rPr>
          <w:rFonts w:cs="Arial"/>
          <w:sz w:val="16"/>
          <w:szCs w:val="16"/>
          <w:shd w:val="clear" w:color="auto" w:fill="FFFFFF"/>
        </w:rPr>
        <w:t xml:space="preserve"> </w:t>
      </w:r>
      <w:r w:rsidRPr="00523DBF">
        <w:rPr>
          <w:rFonts w:cs="Arial"/>
          <w:sz w:val="16"/>
          <w:szCs w:val="16"/>
          <w:shd w:val="clear" w:color="auto" w:fill="FFFFFF"/>
        </w:rPr>
        <w:t xml:space="preserve">działalność gospodarczą w zakresie zarządzania i monitorowania badań klinicznych na zlecenie sponsorów </w:t>
      </w:r>
      <w:r w:rsidR="005C24EB">
        <w:rPr>
          <w:rFonts w:cs="Arial"/>
          <w:sz w:val="16"/>
          <w:szCs w:val="16"/>
          <w:shd w:val="clear" w:color="auto" w:fill="FFFFFF"/>
        </w:rPr>
        <w:t xml:space="preserve">– </w:t>
      </w:r>
      <w:r w:rsidRPr="00523DBF">
        <w:rPr>
          <w:rFonts w:cs="Arial"/>
          <w:sz w:val="16"/>
          <w:szCs w:val="16"/>
          <w:shd w:val="clear" w:color="auto" w:fill="FFFFFF"/>
        </w:rPr>
        <w:t>firm farmaceutycznych i</w:t>
      </w:r>
      <w:r w:rsidR="005C24EB">
        <w:rPr>
          <w:rFonts w:cs="Arial"/>
          <w:sz w:val="16"/>
          <w:szCs w:val="16"/>
          <w:shd w:val="clear" w:color="auto" w:fill="FFFFFF"/>
        </w:rPr>
        <w:t> </w:t>
      </w:r>
      <w:r w:rsidRPr="00523DBF">
        <w:rPr>
          <w:rFonts w:cs="Arial"/>
          <w:sz w:val="16"/>
          <w:szCs w:val="16"/>
          <w:shd w:val="clear" w:color="auto" w:fill="FFFFFF"/>
        </w:rPr>
        <w:t>biotechnologicznych. Aktualnie POLCRO zrzesza 15 firm członkowskich.</w:t>
      </w:r>
    </w:p>
    <w:bookmarkEnd w:id="1"/>
    <w:p w14:paraId="56A0F407" w14:textId="77BE8223" w:rsidR="00C13974" w:rsidRDefault="00C13974" w:rsidP="001315B1">
      <w:pPr>
        <w:rPr>
          <w:rFonts w:cs="Arial"/>
          <w:sz w:val="16"/>
          <w:szCs w:val="16"/>
        </w:rPr>
      </w:pPr>
    </w:p>
    <w:p w14:paraId="6293717F" w14:textId="4D760DD8" w:rsidR="00C13974" w:rsidRDefault="00C13974" w:rsidP="001315B1">
      <w:pPr>
        <w:rPr>
          <w:rFonts w:cs="Arial"/>
          <w:sz w:val="16"/>
          <w:szCs w:val="16"/>
        </w:rPr>
      </w:pPr>
    </w:p>
    <w:p w14:paraId="44FE0936" w14:textId="60B42C1D" w:rsidR="00C13974" w:rsidRPr="00C13974" w:rsidRDefault="00C13974" w:rsidP="001315B1">
      <w:pPr>
        <w:rPr>
          <w:rFonts w:cs="Arial"/>
          <w:b/>
          <w:bCs/>
          <w:sz w:val="16"/>
          <w:szCs w:val="16"/>
        </w:rPr>
      </w:pPr>
    </w:p>
    <w:p w14:paraId="47DD9AD3" w14:textId="13BEE67E" w:rsidR="00C13974" w:rsidRPr="00C133FE" w:rsidRDefault="00C13974" w:rsidP="00C13974">
      <w:pPr>
        <w:rPr>
          <w:rFonts w:cs="Arial"/>
          <w:b/>
          <w:bCs/>
          <w:sz w:val="16"/>
          <w:szCs w:val="16"/>
          <w:u w:val="single"/>
        </w:rPr>
      </w:pPr>
      <w:r w:rsidRPr="00C133FE">
        <w:rPr>
          <w:rFonts w:cs="Arial"/>
          <w:b/>
          <w:bCs/>
          <w:sz w:val="16"/>
          <w:szCs w:val="16"/>
          <w:u w:val="single"/>
        </w:rPr>
        <w:t xml:space="preserve">Dodatkowe informacje: </w:t>
      </w:r>
    </w:p>
    <w:p w14:paraId="1B8977FB" w14:textId="77777777" w:rsidR="00C13974" w:rsidRPr="00C133FE" w:rsidRDefault="00C13974" w:rsidP="00C13974">
      <w:pPr>
        <w:rPr>
          <w:rFonts w:cs="Arial"/>
          <w:b/>
          <w:bCs/>
          <w:sz w:val="16"/>
          <w:szCs w:val="16"/>
        </w:rPr>
      </w:pPr>
      <w:r w:rsidRPr="00C133FE">
        <w:rPr>
          <w:rFonts w:cs="Arial"/>
          <w:b/>
          <w:bCs/>
          <w:sz w:val="16"/>
          <w:szCs w:val="16"/>
        </w:rPr>
        <w:t>Agnieszka Gołąbek</w:t>
      </w:r>
    </w:p>
    <w:p w14:paraId="03CC9E2C" w14:textId="77777777" w:rsidR="00C13974" w:rsidRPr="00C133FE" w:rsidRDefault="00C13974" w:rsidP="00C13974">
      <w:pPr>
        <w:rPr>
          <w:rFonts w:cs="Arial"/>
          <w:sz w:val="16"/>
          <w:szCs w:val="16"/>
        </w:rPr>
      </w:pPr>
      <w:r w:rsidRPr="00C133FE">
        <w:rPr>
          <w:rFonts w:cs="Arial"/>
          <w:sz w:val="16"/>
          <w:szCs w:val="16"/>
        </w:rPr>
        <w:t>Communication and Public Affairs Manager</w:t>
      </w:r>
    </w:p>
    <w:p w14:paraId="5BDCA41F" w14:textId="77777777" w:rsidR="00C13974" w:rsidRPr="00523DBF" w:rsidRDefault="00C13974" w:rsidP="00C13974">
      <w:pPr>
        <w:rPr>
          <w:rFonts w:cs="Arial"/>
          <w:sz w:val="16"/>
          <w:szCs w:val="16"/>
          <w:lang w:val="en-US"/>
        </w:rPr>
      </w:pPr>
      <w:r w:rsidRPr="00523DBF">
        <w:rPr>
          <w:rFonts w:cs="Arial"/>
          <w:sz w:val="16"/>
          <w:szCs w:val="16"/>
          <w:lang w:val="en-US"/>
        </w:rPr>
        <w:t>tel.: 607 981 511</w:t>
      </w:r>
    </w:p>
    <w:p w14:paraId="7B0D4A05" w14:textId="1D9D3E60" w:rsidR="00C13974" w:rsidRPr="00523DBF" w:rsidRDefault="00C13974" w:rsidP="001315B1">
      <w:pPr>
        <w:rPr>
          <w:rFonts w:cs="Arial"/>
          <w:sz w:val="16"/>
          <w:szCs w:val="16"/>
          <w:lang w:val="en-US"/>
        </w:rPr>
      </w:pPr>
      <w:r w:rsidRPr="00523DBF">
        <w:rPr>
          <w:rFonts w:cs="Arial"/>
          <w:sz w:val="16"/>
          <w:szCs w:val="16"/>
          <w:lang w:val="en-US"/>
        </w:rPr>
        <w:t xml:space="preserve">e-mail: </w:t>
      </w:r>
      <w:hyperlink r:id="rId12" w:history="1">
        <w:r w:rsidRPr="00523DBF">
          <w:rPr>
            <w:sz w:val="16"/>
            <w:szCs w:val="16"/>
            <w:lang w:val="en-US"/>
          </w:rPr>
          <w:t>agnieszka.golabek@infarma.pl</w:t>
        </w:r>
      </w:hyperlink>
    </w:p>
    <w:sectPr w:rsidR="00C13974" w:rsidRPr="00523DBF" w:rsidSect="00C05FCA">
      <w:headerReference w:type="even" r:id="rId13"/>
      <w:headerReference w:type="default" r:id="rId14"/>
      <w:footerReference w:type="even" r:id="rId15"/>
      <w:pgSz w:w="11906" w:h="16838"/>
      <w:pgMar w:top="1985" w:right="1134"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1C1B" w14:textId="77777777" w:rsidR="00FE0A1C" w:rsidRDefault="00FE0A1C">
      <w:r>
        <w:separator/>
      </w:r>
    </w:p>
    <w:p w14:paraId="2F62EA63" w14:textId="77777777" w:rsidR="00FE0A1C" w:rsidRDefault="00FE0A1C"/>
    <w:p w14:paraId="00C6A2BF" w14:textId="77777777" w:rsidR="00FE0A1C" w:rsidRDefault="00FE0A1C"/>
  </w:endnote>
  <w:endnote w:type="continuationSeparator" w:id="0">
    <w:p w14:paraId="3C841998" w14:textId="77777777" w:rsidR="00FE0A1C" w:rsidRDefault="00FE0A1C">
      <w:r>
        <w:continuationSeparator/>
      </w:r>
    </w:p>
    <w:p w14:paraId="32D6B755" w14:textId="77777777" w:rsidR="00FE0A1C" w:rsidRDefault="00FE0A1C"/>
    <w:p w14:paraId="72440CEB" w14:textId="77777777" w:rsidR="00FE0A1C" w:rsidRDefault="00FE0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swald-Light">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90A8" w14:textId="77777777" w:rsidR="001E27B8" w:rsidRDefault="001E27B8">
    <w:pPr>
      <w:pStyle w:val="Stopka"/>
    </w:pPr>
  </w:p>
  <w:p w14:paraId="6DB05C7D" w14:textId="77777777" w:rsidR="00A4178E" w:rsidRDefault="00A4178E"/>
  <w:p w14:paraId="21D910FC" w14:textId="77777777" w:rsidR="00A4178E" w:rsidRDefault="00A417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AC57" w14:textId="77777777" w:rsidR="00FE0A1C" w:rsidRDefault="00FE0A1C">
      <w:r>
        <w:separator/>
      </w:r>
    </w:p>
    <w:p w14:paraId="14B941C7" w14:textId="77777777" w:rsidR="00FE0A1C" w:rsidRDefault="00FE0A1C"/>
    <w:p w14:paraId="221D1D4D" w14:textId="77777777" w:rsidR="00FE0A1C" w:rsidRDefault="00FE0A1C"/>
  </w:footnote>
  <w:footnote w:type="continuationSeparator" w:id="0">
    <w:p w14:paraId="79471887" w14:textId="77777777" w:rsidR="00FE0A1C" w:rsidRDefault="00FE0A1C">
      <w:r>
        <w:continuationSeparator/>
      </w:r>
    </w:p>
    <w:p w14:paraId="3784F2A6" w14:textId="77777777" w:rsidR="00FE0A1C" w:rsidRDefault="00FE0A1C"/>
    <w:p w14:paraId="025D8AAC" w14:textId="77777777" w:rsidR="00FE0A1C" w:rsidRDefault="00FE0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FFD9" w14:textId="77777777" w:rsidR="001E27B8" w:rsidRDefault="001E27B8">
    <w:pPr>
      <w:pStyle w:val="Nagwek"/>
    </w:pPr>
  </w:p>
  <w:p w14:paraId="30D714DB" w14:textId="77777777" w:rsidR="00A4178E" w:rsidRDefault="00A4178E"/>
  <w:p w14:paraId="4647D420" w14:textId="77777777" w:rsidR="00A4178E" w:rsidRDefault="00A417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41C1" w14:textId="3A5A36F9" w:rsidR="001F77F9" w:rsidRDefault="00272CF4" w:rsidP="00317C8D">
    <w:pPr>
      <w:pStyle w:val="Nagwek"/>
      <w:ind w:left="-851"/>
    </w:pPr>
    <w:r>
      <w:rPr>
        <w:noProof/>
        <w:lang w:val="en-US"/>
      </w:rPr>
      <mc:AlternateContent>
        <mc:Choice Requires="wps">
          <w:drawing>
            <wp:anchor distT="0" distB="0" distL="114300" distR="114300" simplePos="0" relativeHeight="251657728" behindDoc="0" locked="0" layoutInCell="1" allowOverlap="1" wp14:anchorId="33047653" wp14:editId="1D1230EC">
              <wp:simplePos x="0" y="0"/>
              <wp:positionH relativeFrom="column">
                <wp:posOffset>4261485</wp:posOffset>
              </wp:positionH>
              <wp:positionV relativeFrom="paragraph">
                <wp:posOffset>10160</wp:posOffset>
              </wp:positionV>
              <wp:extent cx="1943100" cy="685800"/>
              <wp:effectExtent l="0" t="635" r="0" b="0"/>
              <wp:wrapThrough wrapText="bothSides">
                <wp:wrapPolygon edited="0">
                  <wp:start x="0" y="0"/>
                  <wp:lineTo x="21600" y="0"/>
                  <wp:lineTo x="21600" y="21600"/>
                  <wp:lineTo x="0" y="21600"/>
                  <wp:lineTo x="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EA84E" w14:textId="180C9A10" w:rsidR="00971D0D" w:rsidRDefault="00971D0D" w:rsidP="00971D0D">
                          <w:pPr>
                            <w:jc w:val="center"/>
                            <w:rPr>
                              <w:rFonts w:ascii="Times New Roman" w:hAnsi="Times New Roman"/>
                              <w:bCs/>
                              <w:i/>
                              <w:iCs/>
                              <w:snapToGrid w:val="0"/>
                              <w:color w:val="333399"/>
                              <w:sz w:val="48"/>
                              <w:szCs w:val="48"/>
                            </w:rPr>
                          </w:pPr>
                          <w:r>
                            <w:rPr>
                              <w:rFonts w:cs="Arial"/>
                              <w:b/>
                              <w:noProof/>
                              <w:snapToGrid w:val="0"/>
                              <w:color w:val="000000"/>
                              <w:sz w:val="12"/>
                              <w:szCs w:val="12"/>
                            </w:rPr>
                            <w:drawing>
                              <wp:inline distT="0" distB="0" distL="0" distR="0" wp14:anchorId="6CA2193A" wp14:editId="39554A35">
                                <wp:extent cx="1348740" cy="411480"/>
                                <wp:effectExtent l="0" t="0" r="381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411480"/>
                                        </a:xfrm>
                                        <a:prstGeom prst="rect">
                                          <a:avLst/>
                                        </a:prstGeom>
                                        <a:noFill/>
                                        <a:ln>
                                          <a:noFill/>
                                        </a:ln>
                                      </pic:spPr>
                                    </pic:pic>
                                  </a:graphicData>
                                </a:graphic>
                              </wp:inline>
                            </w:drawing>
                          </w:r>
                        </w:p>
                        <w:p w14:paraId="4E3C928F" w14:textId="77777777" w:rsidR="001F77F9" w:rsidRDefault="001F77F9" w:rsidP="001F77F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47653" id="_x0000_t202" coordsize="21600,21600" o:spt="202" path="m,l,21600r21600,l21600,xe">
              <v:stroke joinstyle="miter"/>
              <v:path gradientshapeok="t" o:connecttype="rect"/>
            </v:shapetype>
            <v:shape id="Text Box 5" o:spid="_x0000_s1026" type="#_x0000_t202" style="position:absolute;left:0;text-align:left;margin-left:335.55pt;margin-top:.8pt;width:15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" filled="f" stroked="f">
              <v:textbox inset=",7.2pt,,7.2pt">
                <w:txbxContent>
                  <w:p w14:paraId="21AEA84E" w14:textId="180C9A10" w:rsidR="00971D0D" w:rsidRDefault="00971D0D" w:rsidP="00971D0D">
                    <w:pPr>
                      <w:jc w:val="center"/>
                      <w:rPr>
                        <w:rFonts w:ascii="Times New Roman" w:hAnsi="Times New Roman"/>
                        <w:bCs/>
                        <w:i/>
                        <w:iCs/>
                        <w:snapToGrid w:val="0"/>
                        <w:color w:val="333399"/>
                        <w:sz w:val="48"/>
                        <w:szCs w:val="48"/>
                      </w:rPr>
                    </w:pPr>
                    <w:r>
                      <w:rPr>
                        <w:rFonts w:cs="Arial"/>
                        <w:b/>
                        <w:noProof/>
                        <w:snapToGrid w:val="0"/>
                        <w:color w:val="000000"/>
                        <w:sz w:val="12"/>
                        <w:szCs w:val="12"/>
                      </w:rPr>
                      <w:drawing>
                        <wp:inline distT="0" distB="0" distL="0" distR="0" wp14:anchorId="6CA2193A" wp14:editId="39554A35">
                          <wp:extent cx="1348740" cy="411480"/>
                          <wp:effectExtent l="0" t="0" r="381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411480"/>
                                  </a:xfrm>
                                  <a:prstGeom prst="rect">
                                    <a:avLst/>
                                  </a:prstGeom>
                                  <a:noFill/>
                                  <a:ln>
                                    <a:noFill/>
                                  </a:ln>
                                </pic:spPr>
                              </pic:pic>
                            </a:graphicData>
                          </a:graphic>
                        </wp:inline>
                      </w:drawing>
                    </w:r>
                  </w:p>
                  <w:p w14:paraId="4E3C928F" w14:textId="77777777" w:rsidR="001F77F9" w:rsidRDefault="001F77F9" w:rsidP="001F77F9"/>
                </w:txbxContent>
              </v:textbox>
              <w10:wrap type="through"/>
            </v:shape>
          </w:pict>
        </mc:Fallback>
      </mc:AlternateContent>
    </w:r>
    <w:r>
      <w:rPr>
        <w:rStyle w:val="brand"/>
        <w:rFonts w:cs="Arial"/>
        <w:noProof/>
        <w:color w:val="555555"/>
        <w:sz w:val="18"/>
        <w:szCs w:val="18"/>
      </w:rPr>
      <w:drawing>
        <wp:inline distT="0" distB="0" distL="0" distR="0" wp14:anchorId="4D3C0FA4" wp14:editId="6167AA80">
          <wp:extent cx="1638300" cy="5410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41020"/>
                  </a:xfrm>
                  <a:prstGeom prst="rect">
                    <a:avLst/>
                  </a:prstGeom>
                  <a:noFill/>
                  <a:ln>
                    <a:noFill/>
                  </a:ln>
                </pic:spPr>
              </pic:pic>
            </a:graphicData>
          </a:graphic>
        </wp:inline>
      </w:drawing>
    </w:r>
    <w:r w:rsidR="00B26004">
      <w:rPr>
        <w:rStyle w:val="brand"/>
        <w:rFonts w:cs="Arial"/>
        <w:color w:val="555555"/>
        <w:sz w:val="18"/>
        <w:szCs w:val="18"/>
      </w:rPr>
      <w:t xml:space="preserve">   </w:t>
    </w:r>
    <w:r w:rsidR="005B3886">
      <w:rPr>
        <w:rStyle w:val="brand"/>
        <w:rFonts w:cs="Arial"/>
        <w:color w:val="555555"/>
        <w:sz w:val="18"/>
        <w:szCs w:val="18"/>
      </w:rPr>
      <w:tab/>
    </w:r>
    <w:r w:rsidR="00BD6ED6" w:rsidRPr="00BD6ED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12F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B1EA7"/>
    <w:multiLevelType w:val="hybridMultilevel"/>
    <w:tmpl w:val="4CBC4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264178"/>
    <w:multiLevelType w:val="hybridMultilevel"/>
    <w:tmpl w:val="989296F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3B2F92"/>
    <w:multiLevelType w:val="hybridMultilevel"/>
    <w:tmpl w:val="65BA2E98"/>
    <w:lvl w:ilvl="0" w:tplc="779E66D6">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4831C2F"/>
    <w:multiLevelType w:val="hybridMultilevel"/>
    <w:tmpl w:val="4E5C6E9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6D40631"/>
    <w:multiLevelType w:val="hybridMultilevel"/>
    <w:tmpl w:val="6486EDD6"/>
    <w:lvl w:ilvl="0" w:tplc="04150001">
      <w:start w:val="1"/>
      <w:numFmt w:val="bullet"/>
      <w:lvlText w:val=""/>
      <w:lvlJc w:val="left"/>
      <w:pPr>
        <w:ind w:left="1861" w:hanging="360"/>
      </w:pPr>
      <w:rPr>
        <w:rFonts w:ascii="Symbol" w:hAnsi="Symbol" w:hint="default"/>
      </w:rPr>
    </w:lvl>
    <w:lvl w:ilvl="1" w:tplc="04150003" w:tentative="1">
      <w:start w:val="1"/>
      <w:numFmt w:val="bullet"/>
      <w:lvlText w:val="o"/>
      <w:lvlJc w:val="left"/>
      <w:pPr>
        <w:ind w:left="2581" w:hanging="360"/>
      </w:pPr>
      <w:rPr>
        <w:rFonts w:ascii="Courier New" w:hAnsi="Courier New" w:cs="Courier New" w:hint="default"/>
      </w:rPr>
    </w:lvl>
    <w:lvl w:ilvl="2" w:tplc="04150005" w:tentative="1">
      <w:start w:val="1"/>
      <w:numFmt w:val="bullet"/>
      <w:lvlText w:val=""/>
      <w:lvlJc w:val="left"/>
      <w:pPr>
        <w:ind w:left="3301" w:hanging="360"/>
      </w:pPr>
      <w:rPr>
        <w:rFonts w:ascii="Wingdings" w:hAnsi="Wingdings" w:hint="default"/>
      </w:rPr>
    </w:lvl>
    <w:lvl w:ilvl="3" w:tplc="04150001" w:tentative="1">
      <w:start w:val="1"/>
      <w:numFmt w:val="bullet"/>
      <w:lvlText w:val=""/>
      <w:lvlJc w:val="left"/>
      <w:pPr>
        <w:ind w:left="4021" w:hanging="360"/>
      </w:pPr>
      <w:rPr>
        <w:rFonts w:ascii="Symbol" w:hAnsi="Symbol" w:hint="default"/>
      </w:rPr>
    </w:lvl>
    <w:lvl w:ilvl="4" w:tplc="04150003" w:tentative="1">
      <w:start w:val="1"/>
      <w:numFmt w:val="bullet"/>
      <w:lvlText w:val="o"/>
      <w:lvlJc w:val="left"/>
      <w:pPr>
        <w:ind w:left="4741" w:hanging="360"/>
      </w:pPr>
      <w:rPr>
        <w:rFonts w:ascii="Courier New" w:hAnsi="Courier New" w:cs="Courier New" w:hint="default"/>
      </w:rPr>
    </w:lvl>
    <w:lvl w:ilvl="5" w:tplc="04150005" w:tentative="1">
      <w:start w:val="1"/>
      <w:numFmt w:val="bullet"/>
      <w:lvlText w:val=""/>
      <w:lvlJc w:val="left"/>
      <w:pPr>
        <w:ind w:left="5461" w:hanging="360"/>
      </w:pPr>
      <w:rPr>
        <w:rFonts w:ascii="Wingdings" w:hAnsi="Wingdings" w:hint="default"/>
      </w:rPr>
    </w:lvl>
    <w:lvl w:ilvl="6" w:tplc="04150001" w:tentative="1">
      <w:start w:val="1"/>
      <w:numFmt w:val="bullet"/>
      <w:lvlText w:val=""/>
      <w:lvlJc w:val="left"/>
      <w:pPr>
        <w:ind w:left="6181" w:hanging="360"/>
      </w:pPr>
      <w:rPr>
        <w:rFonts w:ascii="Symbol" w:hAnsi="Symbol" w:hint="default"/>
      </w:rPr>
    </w:lvl>
    <w:lvl w:ilvl="7" w:tplc="04150003" w:tentative="1">
      <w:start w:val="1"/>
      <w:numFmt w:val="bullet"/>
      <w:lvlText w:val="o"/>
      <w:lvlJc w:val="left"/>
      <w:pPr>
        <w:ind w:left="6901" w:hanging="360"/>
      </w:pPr>
      <w:rPr>
        <w:rFonts w:ascii="Courier New" w:hAnsi="Courier New" w:cs="Courier New" w:hint="default"/>
      </w:rPr>
    </w:lvl>
    <w:lvl w:ilvl="8" w:tplc="04150005" w:tentative="1">
      <w:start w:val="1"/>
      <w:numFmt w:val="bullet"/>
      <w:lvlText w:val=""/>
      <w:lvlJc w:val="left"/>
      <w:pPr>
        <w:ind w:left="7621" w:hanging="360"/>
      </w:pPr>
      <w:rPr>
        <w:rFonts w:ascii="Wingdings" w:hAnsi="Wingdings" w:hint="default"/>
      </w:rPr>
    </w:lvl>
  </w:abstractNum>
  <w:abstractNum w:abstractNumId="6" w15:restartNumberingAfterBreak="0">
    <w:nsid w:val="2ECA300A"/>
    <w:multiLevelType w:val="hybridMultilevel"/>
    <w:tmpl w:val="72AA4C82"/>
    <w:lvl w:ilvl="0" w:tplc="96A2666E">
      <w:start w:val="1"/>
      <w:numFmt w:val="decimal"/>
      <w:lvlText w:val="%1."/>
      <w:lvlJc w:val="left"/>
      <w:pPr>
        <w:ind w:left="1080" w:hanging="360"/>
      </w:pPr>
      <w:rPr>
        <w:rFonts w:hint="default"/>
      </w:rPr>
    </w:lvl>
    <w:lvl w:ilvl="1" w:tplc="710440DA">
      <w:numFmt w:val="bullet"/>
      <w:lvlText w:val=""/>
      <w:lvlJc w:val="left"/>
      <w:pPr>
        <w:ind w:left="1800" w:hanging="360"/>
      </w:pPr>
      <w:rPr>
        <w:rFonts w:ascii="Symbol" w:eastAsia="Times New Roman" w:hAnsi="Symbol"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4077A78"/>
    <w:multiLevelType w:val="hybridMultilevel"/>
    <w:tmpl w:val="54F6C816"/>
    <w:lvl w:ilvl="0" w:tplc="04150001">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52BD591F"/>
    <w:multiLevelType w:val="hybridMultilevel"/>
    <w:tmpl w:val="5E58D454"/>
    <w:lvl w:ilvl="0" w:tplc="A70ABE0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EE36DC9"/>
    <w:multiLevelType w:val="hybridMultilevel"/>
    <w:tmpl w:val="0B1A34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4"/>
  </w:num>
  <w:num w:numId="7">
    <w:abstractNumId w:val="1"/>
  </w:num>
  <w:num w:numId="8">
    <w:abstractNumId w:val="6"/>
  </w:num>
  <w:num w:numId="9">
    <w:abstractNumId w:val="5"/>
  </w:num>
  <w:num w:numId="10">
    <w:abstractNumId w:val="2"/>
  </w:num>
  <w:num w:numId="11">
    <w:abstractNumId w:val="3"/>
  </w:num>
  <w:num w:numId="12">
    <w:abstractNumId w:val="8"/>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2C"/>
    <w:rsid w:val="00000FD1"/>
    <w:rsid w:val="000173E8"/>
    <w:rsid w:val="00017695"/>
    <w:rsid w:val="00017DFB"/>
    <w:rsid w:val="00037393"/>
    <w:rsid w:val="00062400"/>
    <w:rsid w:val="00066955"/>
    <w:rsid w:val="0007638C"/>
    <w:rsid w:val="00080917"/>
    <w:rsid w:val="00087186"/>
    <w:rsid w:val="000876A5"/>
    <w:rsid w:val="000A04FA"/>
    <w:rsid w:val="000A3A62"/>
    <w:rsid w:val="000B3CBF"/>
    <w:rsid w:val="000C3ADD"/>
    <w:rsid w:val="000E475C"/>
    <w:rsid w:val="000E54B1"/>
    <w:rsid w:val="000E58C8"/>
    <w:rsid w:val="001243AC"/>
    <w:rsid w:val="00126E08"/>
    <w:rsid w:val="001315B1"/>
    <w:rsid w:val="00133879"/>
    <w:rsid w:val="00156A55"/>
    <w:rsid w:val="00174E10"/>
    <w:rsid w:val="00177C88"/>
    <w:rsid w:val="001927A7"/>
    <w:rsid w:val="00195C45"/>
    <w:rsid w:val="001A6AED"/>
    <w:rsid w:val="001A6F59"/>
    <w:rsid w:val="001C2B29"/>
    <w:rsid w:val="001C4F5B"/>
    <w:rsid w:val="001C79A4"/>
    <w:rsid w:val="001D4141"/>
    <w:rsid w:val="001D6657"/>
    <w:rsid w:val="001E2538"/>
    <w:rsid w:val="001E27B8"/>
    <w:rsid w:val="001F0EF7"/>
    <w:rsid w:val="001F77F9"/>
    <w:rsid w:val="00234B21"/>
    <w:rsid w:val="002359C5"/>
    <w:rsid w:val="0027230D"/>
    <w:rsid w:val="00272CF4"/>
    <w:rsid w:val="00277A10"/>
    <w:rsid w:val="00291ABF"/>
    <w:rsid w:val="00292927"/>
    <w:rsid w:val="002947E3"/>
    <w:rsid w:val="00297FDB"/>
    <w:rsid w:val="002B0AA3"/>
    <w:rsid w:val="002B4B86"/>
    <w:rsid w:val="002C13A4"/>
    <w:rsid w:val="002E53E1"/>
    <w:rsid w:val="0030597F"/>
    <w:rsid w:val="00305D8F"/>
    <w:rsid w:val="00315465"/>
    <w:rsid w:val="00317C8D"/>
    <w:rsid w:val="00337810"/>
    <w:rsid w:val="003463C2"/>
    <w:rsid w:val="00352DB9"/>
    <w:rsid w:val="00365E8B"/>
    <w:rsid w:val="003703D1"/>
    <w:rsid w:val="00374C86"/>
    <w:rsid w:val="003827B5"/>
    <w:rsid w:val="00393A9E"/>
    <w:rsid w:val="003C5914"/>
    <w:rsid w:val="003F175F"/>
    <w:rsid w:val="003F60B7"/>
    <w:rsid w:val="00422A28"/>
    <w:rsid w:val="00443D43"/>
    <w:rsid w:val="00445412"/>
    <w:rsid w:val="004627A1"/>
    <w:rsid w:val="00463CE9"/>
    <w:rsid w:val="00467E0F"/>
    <w:rsid w:val="00492813"/>
    <w:rsid w:val="004B51B7"/>
    <w:rsid w:val="004D0E74"/>
    <w:rsid w:val="00506BFB"/>
    <w:rsid w:val="00520D31"/>
    <w:rsid w:val="00523DBF"/>
    <w:rsid w:val="005513B8"/>
    <w:rsid w:val="005566C0"/>
    <w:rsid w:val="00562847"/>
    <w:rsid w:val="0056430D"/>
    <w:rsid w:val="00565291"/>
    <w:rsid w:val="0058351E"/>
    <w:rsid w:val="005844FB"/>
    <w:rsid w:val="005957D3"/>
    <w:rsid w:val="00595A60"/>
    <w:rsid w:val="005A5385"/>
    <w:rsid w:val="005A6DF3"/>
    <w:rsid w:val="005B3886"/>
    <w:rsid w:val="005B6848"/>
    <w:rsid w:val="005C0C3F"/>
    <w:rsid w:val="005C24EB"/>
    <w:rsid w:val="005C7A38"/>
    <w:rsid w:val="005D14A1"/>
    <w:rsid w:val="005D5114"/>
    <w:rsid w:val="005F0C5E"/>
    <w:rsid w:val="005F5936"/>
    <w:rsid w:val="00601DC8"/>
    <w:rsid w:val="00602274"/>
    <w:rsid w:val="006070FB"/>
    <w:rsid w:val="00607614"/>
    <w:rsid w:val="00611335"/>
    <w:rsid w:val="00634FEF"/>
    <w:rsid w:val="00637A02"/>
    <w:rsid w:val="00645360"/>
    <w:rsid w:val="00656A8C"/>
    <w:rsid w:val="0066329B"/>
    <w:rsid w:val="00664DEB"/>
    <w:rsid w:val="0067360C"/>
    <w:rsid w:val="006750B2"/>
    <w:rsid w:val="00675D09"/>
    <w:rsid w:val="00681707"/>
    <w:rsid w:val="00687322"/>
    <w:rsid w:val="006979FF"/>
    <w:rsid w:val="006A2E80"/>
    <w:rsid w:val="006B1FC1"/>
    <w:rsid w:val="006B6A80"/>
    <w:rsid w:val="006C137E"/>
    <w:rsid w:val="006C52FC"/>
    <w:rsid w:val="006D06A7"/>
    <w:rsid w:val="006D0DA1"/>
    <w:rsid w:val="006D532A"/>
    <w:rsid w:val="006E660D"/>
    <w:rsid w:val="006F2B8A"/>
    <w:rsid w:val="00707E30"/>
    <w:rsid w:val="007115F6"/>
    <w:rsid w:val="007374C8"/>
    <w:rsid w:val="007413FD"/>
    <w:rsid w:val="00741D6D"/>
    <w:rsid w:val="0074503F"/>
    <w:rsid w:val="0075146E"/>
    <w:rsid w:val="007557BA"/>
    <w:rsid w:val="00770F26"/>
    <w:rsid w:val="00776C50"/>
    <w:rsid w:val="0078783D"/>
    <w:rsid w:val="007908C8"/>
    <w:rsid w:val="00791BD8"/>
    <w:rsid w:val="007941E8"/>
    <w:rsid w:val="007C70A9"/>
    <w:rsid w:val="007D68FD"/>
    <w:rsid w:val="007E0CAD"/>
    <w:rsid w:val="007E1A05"/>
    <w:rsid w:val="007E2E08"/>
    <w:rsid w:val="007E6FA3"/>
    <w:rsid w:val="007F3921"/>
    <w:rsid w:val="00803776"/>
    <w:rsid w:val="00815482"/>
    <w:rsid w:val="00824C5C"/>
    <w:rsid w:val="00832835"/>
    <w:rsid w:val="00836952"/>
    <w:rsid w:val="00843BDE"/>
    <w:rsid w:val="00846610"/>
    <w:rsid w:val="00853D30"/>
    <w:rsid w:val="00867D8E"/>
    <w:rsid w:val="008740E3"/>
    <w:rsid w:val="0087752A"/>
    <w:rsid w:val="00877AEF"/>
    <w:rsid w:val="00877FFE"/>
    <w:rsid w:val="00880AD6"/>
    <w:rsid w:val="00897A72"/>
    <w:rsid w:val="008A7A33"/>
    <w:rsid w:val="008B06DA"/>
    <w:rsid w:val="008C13B6"/>
    <w:rsid w:val="008D161C"/>
    <w:rsid w:val="008E322E"/>
    <w:rsid w:val="008E4404"/>
    <w:rsid w:val="00900B12"/>
    <w:rsid w:val="00911E6B"/>
    <w:rsid w:val="00913FAB"/>
    <w:rsid w:val="009222D9"/>
    <w:rsid w:val="00923C50"/>
    <w:rsid w:val="00924593"/>
    <w:rsid w:val="009361ED"/>
    <w:rsid w:val="00957560"/>
    <w:rsid w:val="00965C2C"/>
    <w:rsid w:val="00971D0D"/>
    <w:rsid w:val="00972F5C"/>
    <w:rsid w:val="0097347A"/>
    <w:rsid w:val="00975ED5"/>
    <w:rsid w:val="009A0BBB"/>
    <w:rsid w:val="009A11ED"/>
    <w:rsid w:val="009C72D9"/>
    <w:rsid w:val="009F3DAD"/>
    <w:rsid w:val="009F5F8B"/>
    <w:rsid w:val="00A01DC1"/>
    <w:rsid w:val="00A04E9F"/>
    <w:rsid w:val="00A131A7"/>
    <w:rsid w:val="00A16CB1"/>
    <w:rsid w:val="00A22BB4"/>
    <w:rsid w:val="00A369BB"/>
    <w:rsid w:val="00A4178E"/>
    <w:rsid w:val="00A67103"/>
    <w:rsid w:val="00A8776A"/>
    <w:rsid w:val="00AD52BF"/>
    <w:rsid w:val="00AD5E53"/>
    <w:rsid w:val="00AD7148"/>
    <w:rsid w:val="00AE2533"/>
    <w:rsid w:val="00AF1018"/>
    <w:rsid w:val="00AF49F7"/>
    <w:rsid w:val="00B1005C"/>
    <w:rsid w:val="00B21F29"/>
    <w:rsid w:val="00B223F6"/>
    <w:rsid w:val="00B26004"/>
    <w:rsid w:val="00B303C9"/>
    <w:rsid w:val="00B35683"/>
    <w:rsid w:val="00B549F6"/>
    <w:rsid w:val="00B67777"/>
    <w:rsid w:val="00B77617"/>
    <w:rsid w:val="00B80E5F"/>
    <w:rsid w:val="00BC7231"/>
    <w:rsid w:val="00BD6ED6"/>
    <w:rsid w:val="00BE0E2C"/>
    <w:rsid w:val="00BF0F29"/>
    <w:rsid w:val="00BF7B31"/>
    <w:rsid w:val="00BF7DD7"/>
    <w:rsid w:val="00C00B84"/>
    <w:rsid w:val="00C05FCA"/>
    <w:rsid w:val="00C133FE"/>
    <w:rsid w:val="00C13974"/>
    <w:rsid w:val="00C22096"/>
    <w:rsid w:val="00C53B65"/>
    <w:rsid w:val="00C64A64"/>
    <w:rsid w:val="00C66A35"/>
    <w:rsid w:val="00C74D16"/>
    <w:rsid w:val="00C93319"/>
    <w:rsid w:val="00CA44DB"/>
    <w:rsid w:val="00CB14F3"/>
    <w:rsid w:val="00CB345F"/>
    <w:rsid w:val="00CC4676"/>
    <w:rsid w:val="00CD0319"/>
    <w:rsid w:val="00CD23AC"/>
    <w:rsid w:val="00CD249C"/>
    <w:rsid w:val="00CD2ED9"/>
    <w:rsid w:val="00CD79B0"/>
    <w:rsid w:val="00CE147A"/>
    <w:rsid w:val="00CF2A50"/>
    <w:rsid w:val="00CF3219"/>
    <w:rsid w:val="00CF59BC"/>
    <w:rsid w:val="00D010F9"/>
    <w:rsid w:val="00D01472"/>
    <w:rsid w:val="00D1037D"/>
    <w:rsid w:val="00D212A3"/>
    <w:rsid w:val="00D30400"/>
    <w:rsid w:val="00D33091"/>
    <w:rsid w:val="00D375FD"/>
    <w:rsid w:val="00D52620"/>
    <w:rsid w:val="00D55ADC"/>
    <w:rsid w:val="00D63EB3"/>
    <w:rsid w:val="00D75E2E"/>
    <w:rsid w:val="00D848E1"/>
    <w:rsid w:val="00D84D0D"/>
    <w:rsid w:val="00D872C7"/>
    <w:rsid w:val="00D90620"/>
    <w:rsid w:val="00D95472"/>
    <w:rsid w:val="00D97BC5"/>
    <w:rsid w:val="00DB63DD"/>
    <w:rsid w:val="00DC225C"/>
    <w:rsid w:val="00DC3C10"/>
    <w:rsid w:val="00DF04E8"/>
    <w:rsid w:val="00DF6471"/>
    <w:rsid w:val="00E115C6"/>
    <w:rsid w:val="00E3395D"/>
    <w:rsid w:val="00E47D2A"/>
    <w:rsid w:val="00E573C3"/>
    <w:rsid w:val="00E73DA3"/>
    <w:rsid w:val="00E821C5"/>
    <w:rsid w:val="00E83391"/>
    <w:rsid w:val="00E86640"/>
    <w:rsid w:val="00EA29CA"/>
    <w:rsid w:val="00EB1992"/>
    <w:rsid w:val="00EC256C"/>
    <w:rsid w:val="00EC2F83"/>
    <w:rsid w:val="00EC515B"/>
    <w:rsid w:val="00ED09C7"/>
    <w:rsid w:val="00ED1E38"/>
    <w:rsid w:val="00EE303D"/>
    <w:rsid w:val="00EE5D42"/>
    <w:rsid w:val="00F10326"/>
    <w:rsid w:val="00F1678B"/>
    <w:rsid w:val="00F344E6"/>
    <w:rsid w:val="00F41061"/>
    <w:rsid w:val="00F578A4"/>
    <w:rsid w:val="00F83CE2"/>
    <w:rsid w:val="00FA71FD"/>
    <w:rsid w:val="00FC00C7"/>
    <w:rsid w:val="00FC0E6D"/>
    <w:rsid w:val="00FC48D2"/>
    <w:rsid w:val="00FE0A1C"/>
    <w:rsid w:val="00FE29E7"/>
    <w:rsid w:val="00FF63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E5CD19"/>
  <w15:chartTrackingRefBased/>
  <w15:docId w15:val="{C6991556-16C5-4DF3-BC94-A7E4240B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0E2C"/>
    <w:pPr>
      <w:spacing w:line="360" w:lineRule="auto"/>
      <w:jc w:val="both"/>
    </w:pPr>
    <w:rPr>
      <w:rFonts w:ascii="Arial" w:hAnsi="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E0E2C"/>
    <w:pPr>
      <w:tabs>
        <w:tab w:val="center" w:pos="4536"/>
        <w:tab w:val="right" w:pos="9072"/>
      </w:tabs>
    </w:pPr>
  </w:style>
  <w:style w:type="paragraph" w:styleId="Stopka">
    <w:name w:val="footer"/>
    <w:basedOn w:val="Normalny"/>
    <w:link w:val="StopkaZnak"/>
    <w:uiPriority w:val="99"/>
    <w:rsid w:val="00BE0E2C"/>
    <w:pPr>
      <w:tabs>
        <w:tab w:val="center" w:pos="4536"/>
        <w:tab w:val="right" w:pos="9072"/>
      </w:tabs>
    </w:pPr>
  </w:style>
  <w:style w:type="paragraph" w:customStyle="1" w:styleId="redniasiatka1akcent21">
    <w:name w:val="Średnia siatka 1 — akcent 21"/>
    <w:basedOn w:val="Normalny"/>
    <w:uiPriority w:val="34"/>
    <w:qFormat/>
    <w:rsid w:val="005844FB"/>
    <w:pPr>
      <w:spacing w:after="200" w:line="276" w:lineRule="auto"/>
      <w:ind w:left="720"/>
      <w:contextualSpacing/>
      <w:jc w:val="left"/>
    </w:pPr>
    <w:rPr>
      <w:rFonts w:ascii="Calibri" w:hAnsi="Calibri"/>
      <w:sz w:val="22"/>
      <w:szCs w:val="22"/>
    </w:rPr>
  </w:style>
  <w:style w:type="paragraph" w:customStyle="1" w:styleId="redniecieniowanie1akcent11">
    <w:name w:val="Średnie cieniowanie 1 — akcent 11"/>
    <w:uiPriority w:val="99"/>
    <w:qFormat/>
    <w:rsid w:val="00E47D2A"/>
    <w:pPr>
      <w:jc w:val="both"/>
    </w:pPr>
    <w:rPr>
      <w:rFonts w:ascii="Arial" w:hAnsi="Arial"/>
      <w:szCs w:val="24"/>
    </w:rPr>
  </w:style>
  <w:style w:type="paragraph" w:styleId="Tekstprzypisudolnego">
    <w:name w:val="footnote text"/>
    <w:basedOn w:val="Normalny"/>
    <w:link w:val="TekstprzypisudolnegoZnak"/>
    <w:uiPriority w:val="99"/>
    <w:unhideWhenUsed/>
    <w:rsid w:val="009F5F8B"/>
    <w:pPr>
      <w:spacing w:line="240" w:lineRule="auto"/>
      <w:jc w:val="left"/>
    </w:pPr>
    <w:rPr>
      <w:rFonts w:ascii="Calibri" w:eastAsia="Calibri" w:hAnsi="Calibri"/>
      <w:szCs w:val="20"/>
      <w:lang w:eastAsia="en-US"/>
    </w:rPr>
  </w:style>
  <w:style w:type="character" w:customStyle="1" w:styleId="TekstprzypisudolnegoZnak">
    <w:name w:val="Tekst przypisu dolnego Znak"/>
    <w:link w:val="Tekstprzypisudolnego"/>
    <w:uiPriority w:val="99"/>
    <w:rsid w:val="009F5F8B"/>
    <w:rPr>
      <w:rFonts w:ascii="Calibri" w:eastAsia="Calibri" w:hAnsi="Calibri" w:cs="Times New Roman"/>
      <w:lang w:eastAsia="en-US"/>
    </w:rPr>
  </w:style>
  <w:style w:type="character" w:styleId="Odwoanieprzypisudolnego">
    <w:name w:val="footnote reference"/>
    <w:uiPriority w:val="99"/>
    <w:unhideWhenUsed/>
    <w:rsid w:val="009F5F8B"/>
    <w:rPr>
      <w:vertAlign w:val="superscript"/>
    </w:rPr>
  </w:style>
  <w:style w:type="character" w:styleId="Hipercze">
    <w:name w:val="Hyperlink"/>
    <w:uiPriority w:val="99"/>
    <w:unhideWhenUsed/>
    <w:rsid w:val="009F5F8B"/>
    <w:rPr>
      <w:color w:val="0000FF"/>
      <w:u w:val="single"/>
    </w:rPr>
  </w:style>
  <w:style w:type="paragraph" w:styleId="Tekstdymka">
    <w:name w:val="Balloon Text"/>
    <w:basedOn w:val="Normalny"/>
    <w:link w:val="TekstdymkaZnak"/>
    <w:rsid w:val="00913FAB"/>
    <w:pPr>
      <w:spacing w:line="240" w:lineRule="auto"/>
    </w:pPr>
    <w:rPr>
      <w:rFonts w:ascii="Tahoma" w:hAnsi="Tahoma" w:cs="Tahoma"/>
      <w:sz w:val="16"/>
      <w:szCs w:val="16"/>
    </w:rPr>
  </w:style>
  <w:style w:type="character" w:customStyle="1" w:styleId="TekstdymkaZnak">
    <w:name w:val="Tekst dymka Znak"/>
    <w:link w:val="Tekstdymka"/>
    <w:rsid w:val="00913FAB"/>
    <w:rPr>
      <w:rFonts w:ascii="Tahoma" w:hAnsi="Tahoma" w:cs="Tahoma"/>
      <w:sz w:val="16"/>
      <w:szCs w:val="16"/>
    </w:rPr>
  </w:style>
  <w:style w:type="paragraph" w:styleId="Zwykytekst">
    <w:name w:val="Plain Text"/>
    <w:basedOn w:val="Normalny"/>
    <w:link w:val="ZwykytekstZnak"/>
    <w:unhideWhenUsed/>
    <w:rsid w:val="00F10326"/>
    <w:pPr>
      <w:spacing w:line="240" w:lineRule="auto"/>
      <w:jc w:val="left"/>
    </w:pPr>
    <w:rPr>
      <w:rFonts w:ascii="Consolas" w:eastAsia="Calibri" w:hAnsi="Consolas"/>
      <w:sz w:val="21"/>
      <w:szCs w:val="21"/>
      <w:lang w:eastAsia="en-US"/>
    </w:rPr>
  </w:style>
  <w:style w:type="character" w:customStyle="1" w:styleId="ZwykytekstZnak">
    <w:name w:val="Zwykły tekst Znak"/>
    <w:link w:val="Zwykytekst"/>
    <w:rsid w:val="00F10326"/>
    <w:rPr>
      <w:rFonts w:ascii="Consolas" w:eastAsia="Calibri" w:hAnsi="Consolas"/>
      <w:sz w:val="21"/>
      <w:szCs w:val="21"/>
      <w:lang w:eastAsia="en-US"/>
    </w:rPr>
  </w:style>
  <w:style w:type="character" w:styleId="Odwoaniedokomentarza">
    <w:name w:val="annotation reference"/>
    <w:rsid w:val="00C66A35"/>
    <w:rPr>
      <w:sz w:val="16"/>
      <w:szCs w:val="16"/>
    </w:rPr>
  </w:style>
  <w:style w:type="paragraph" w:styleId="Tekstkomentarza">
    <w:name w:val="annotation text"/>
    <w:basedOn w:val="Normalny"/>
    <w:link w:val="TekstkomentarzaZnak"/>
    <w:rsid w:val="00C66A35"/>
    <w:rPr>
      <w:szCs w:val="20"/>
    </w:rPr>
  </w:style>
  <w:style w:type="character" w:customStyle="1" w:styleId="TekstkomentarzaZnak">
    <w:name w:val="Tekst komentarza Znak"/>
    <w:link w:val="Tekstkomentarza"/>
    <w:rsid w:val="00C66A35"/>
    <w:rPr>
      <w:rFonts w:ascii="Arial" w:hAnsi="Arial"/>
    </w:rPr>
  </w:style>
  <w:style w:type="paragraph" w:styleId="Tematkomentarza">
    <w:name w:val="annotation subject"/>
    <w:basedOn w:val="Tekstkomentarza"/>
    <w:next w:val="Tekstkomentarza"/>
    <w:link w:val="TematkomentarzaZnak"/>
    <w:rsid w:val="00C66A35"/>
    <w:rPr>
      <w:b/>
      <w:bCs/>
    </w:rPr>
  </w:style>
  <w:style w:type="character" w:customStyle="1" w:styleId="TematkomentarzaZnak">
    <w:name w:val="Temat komentarza Znak"/>
    <w:link w:val="Tematkomentarza"/>
    <w:rsid w:val="00C66A35"/>
    <w:rPr>
      <w:rFonts w:ascii="Arial" w:hAnsi="Arial"/>
      <w:b/>
      <w:bCs/>
    </w:rPr>
  </w:style>
  <w:style w:type="paragraph" w:customStyle="1" w:styleId="rednialista2akcent21">
    <w:name w:val="Średnia lista 2 — akcent 21"/>
    <w:hidden/>
    <w:uiPriority w:val="99"/>
    <w:semiHidden/>
    <w:rsid w:val="00C66A35"/>
    <w:rPr>
      <w:rFonts w:ascii="Arial" w:hAnsi="Arial"/>
      <w:szCs w:val="24"/>
    </w:rPr>
  </w:style>
  <w:style w:type="paragraph" w:customStyle="1" w:styleId="Kolorowalistaakcent11">
    <w:name w:val="Kolorowa lista — akcent 11"/>
    <w:basedOn w:val="Normalny"/>
    <w:uiPriority w:val="34"/>
    <w:qFormat/>
    <w:rsid w:val="00CD2ED9"/>
    <w:pPr>
      <w:spacing w:line="240" w:lineRule="auto"/>
      <w:ind w:left="720"/>
      <w:jc w:val="left"/>
    </w:pPr>
    <w:rPr>
      <w:rFonts w:ascii="Calibri" w:eastAsia="Calibri" w:hAnsi="Calibri" w:cs="Calibri"/>
      <w:sz w:val="22"/>
      <w:szCs w:val="22"/>
      <w:lang w:eastAsia="en-US"/>
    </w:rPr>
  </w:style>
  <w:style w:type="paragraph" w:styleId="Lista2">
    <w:name w:val="List 2"/>
    <w:basedOn w:val="Normalny"/>
    <w:rsid w:val="00CD2ED9"/>
    <w:pPr>
      <w:ind w:left="566" w:hanging="283"/>
      <w:contextualSpacing/>
    </w:pPr>
  </w:style>
  <w:style w:type="paragraph" w:styleId="Zwrotgrzecznociowy">
    <w:name w:val="Salutation"/>
    <w:basedOn w:val="Normalny"/>
    <w:next w:val="Normalny"/>
    <w:link w:val="ZwrotgrzecznociowyZnak"/>
    <w:rsid w:val="00CD2ED9"/>
  </w:style>
  <w:style w:type="character" w:customStyle="1" w:styleId="ZwrotgrzecznociowyZnak">
    <w:name w:val="Zwrot grzecznościowy Znak"/>
    <w:link w:val="Zwrotgrzecznociowy"/>
    <w:rsid w:val="00CD2ED9"/>
    <w:rPr>
      <w:rFonts w:ascii="Arial" w:hAnsi="Arial"/>
      <w:szCs w:val="24"/>
    </w:rPr>
  </w:style>
  <w:style w:type="paragraph" w:styleId="Zwrotpoegnalny">
    <w:name w:val="Closing"/>
    <w:basedOn w:val="Normalny"/>
    <w:link w:val="ZwrotpoegnalnyZnak"/>
    <w:rsid w:val="00CD2ED9"/>
    <w:pPr>
      <w:ind w:left="4252"/>
    </w:pPr>
  </w:style>
  <w:style w:type="character" w:customStyle="1" w:styleId="ZwrotpoegnalnyZnak">
    <w:name w:val="Zwrot pożegnalny Znak"/>
    <w:link w:val="Zwrotpoegnalny"/>
    <w:rsid w:val="00CD2ED9"/>
    <w:rPr>
      <w:rFonts w:ascii="Arial" w:hAnsi="Arial"/>
      <w:szCs w:val="24"/>
    </w:rPr>
  </w:style>
  <w:style w:type="paragraph" w:styleId="Tekstpodstawowy">
    <w:name w:val="Body Text"/>
    <w:basedOn w:val="Normalny"/>
    <w:link w:val="TekstpodstawowyZnak"/>
    <w:rsid w:val="00CD2ED9"/>
    <w:pPr>
      <w:spacing w:after="120"/>
    </w:pPr>
  </w:style>
  <w:style w:type="character" w:customStyle="1" w:styleId="TekstpodstawowyZnak">
    <w:name w:val="Tekst podstawowy Znak"/>
    <w:link w:val="Tekstpodstawowy"/>
    <w:rsid w:val="00CD2ED9"/>
    <w:rPr>
      <w:rFonts w:ascii="Arial" w:hAnsi="Arial"/>
      <w:szCs w:val="24"/>
    </w:rPr>
  </w:style>
  <w:style w:type="paragraph" w:styleId="Tekstpodstawowywcity">
    <w:name w:val="Body Text Indent"/>
    <w:basedOn w:val="Normalny"/>
    <w:link w:val="TekstpodstawowywcityZnak"/>
    <w:rsid w:val="00CD2ED9"/>
    <w:pPr>
      <w:spacing w:after="120"/>
      <w:ind w:left="283"/>
    </w:pPr>
  </w:style>
  <w:style w:type="character" w:customStyle="1" w:styleId="TekstpodstawowywcityZnak">
    <w:name w:val="Tekst podstawowy wcięty Znak"/>
    <w:link w:val="Tekstpodstawowywcity"/>
    <w:rsid w:val="00CD2ED9"/>
    <w:rPr>
      <w:rFonts w:ascii="Arial" w:hAnsi="Arial"/>
      <w:szCs w:val="24"/>
    </w:rPr>
  </w:style>
  <w:style w:type="paragraph" w:styleId="Tekstpodstawowyzwciciem">
    <w:name w:val="Body Text First Indent"/>
    <w:basedOn w:val="Tekstpodstawowy"/>
    <w:link w:val="TekstpodstawowyzwciciemZnak"/>
    <w:rsid w:val="00CD2ED9"/>
    <w:pPr>
      <w:ind w:firstLine="210"/>
    </w:pPr>
  </w:style>
  <w:style w:type="character" w:customStyle="1" w:styleId="TekstpodstawowyzwciciemZnak">
    <w:name w:val="Tekst podstawowy z wcięciem Znak"/>
    <w:basedOn w:val="TekstpodstawowyZnak"/>
    <w:link w:val="Tekstpodstawowyzwciciem"/>
    <w:rsid w:val="00CD2ED9"/>
    <w:rPr>
      <w:rFonts w:ascii="Arial" w:hAnsi="Arial"/>
      <w:szCs w:val="24"/>
    </w:rPr>
  </w:style>
  <w:style w:type="paragraph" w:styleId="Tekstpodstawowyzwciciem2">
    <w:name w:val="Body Text First Indent 2"/>
    <w:basedOn w:val="Tekstpodstawowywcity"/>
    <w:link w:val="Tekstpodstawowyzwciciem2Znak"/>
    <w:rsid w:val="00CD2ED9"/>
    <w:pPr>
      <w:ind w:firstLine="210"/>
    </w:pPr>
  </w:style>
  <w:style w:type="character" w:customStyle="1" w:styleId="Tekstpodstawowyzwciciem2Znak">
    <w:name w:val="Tekst podstawowy z wcięciem 2 Znak"/>
    <w:basedOn w:val="TekstpodstawowywcityZnak"/>
    <w:link w:val="Tekstpodstawowyzwciciem2"/>
    <w:rsid w:val="00CD2ED9"/>
    <w:rPr>
      <w:rFonts w:ascii="Arial" w:hAnsi="Arial"/>
      <w:szCs w:val="24"/>
    </w:rPr>
  </w:style>
  <w:style w:type="character" w:customStyle="1" w:styleId="StopkaZnak">
    <w:name w:val="Stopka Znak"/>
    <w:link w:val="Stopka"/>
    <w:uiPriority w:val="99"/>
    <w:rsid w:val="002E53E1"/>
    <w:rPr>
      <w:rFonts w:ascii="Arial" w:hAnsi="Arial"/>
      <w:szCs w:val="24"/>
    </w:rPr>
  </w:style>
  <w:style w:type="character" w:customStyle="1" w:styleId="brand">
    <w:name w:val="brand"/>
    <w:rsid w:val="00B26004"/>
  </w:style>
  <w:style w:type="table" w:styleId="Tabela-Siatka">
    <w:name w:val="Table Grid"/>
    <w:basedOn w:val="Standardowy"/>
    <w:rsid w:val="00B22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3DB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68812">
      <w:bodyDiv w:val="1"/>
      <w:marLeft w:val="0"/>
      <w:marRight w:val="0"/>
      <w:marTop w:val="0"/>
      <w:marBottom w:val="0"/>
      <w:divBdr>
        <w:top w:val="none" w:sz="0" w:space="0" w:color="auto"/>
        <w:left w:val="none" w:sz="0" w:space="0" w:color="auto"/>
        <w:bottom w:val="none" w:sz="0" w:space="0" w:color="auto"/>
        <w:right w:val="none" w:sz="0" w:space="0" w:color="auto"/>
      </w:divBdr>
    </w:div>
    <w:div w:id="305666203">
      <w:bodyDiv w:val="1"/>
      <w:marLeft w:val="0"/>
      <w:marRight w:val="0"/>
      <w:marTop w:val="0"/>
      <w:marBottom w:val="0"/>
      <w:divBdr>
        <w:top w:val="none" w:sz="0" w:space="0" w:color="auto"/>
        <w:left w:val="none" w:sz="0" w:space="0" w:color="auto"/>
        <w:bottom w:val="none" w:sz="0" w:space="0" w:color="auto"/>
        <w:right w:val="none" w:sz="0" w:space="0" w:color="auto"/>
      </w:divBdr>
    </w:div>
    <w:div w:id="473984828">
      <w:bodyDiv w:val="1"/>
      <w:marLeft w:val="0"/>
      <w:marRight w:val="0"/>
      <w:marTop w:val="0"/>
      <w:marBottom w:val="0"/>
      <w:divBdr>
        <w:top w:val="none" w:sz="0" w:space="0" w:color="auto"/>
        <w:left w:val="none" w:sz="0" w:space="0" w:color="auto"/>
        <w:bottom w:val="none" w:sz="0" w:space="0" w:color="auto"/>
        <w:right w:val="none" w:sz="0" w:space="0" w:color="auto"/>
      </w:divBdr>
    </w:div>
    <w:div w:id="862397751">
      <w:bodyDiv w:val="1"/>
      <w:marLeft w:val="0"/>
      <w:marRight w:val="0"/>
      <w:marTop w:val="0"/>
      <w:marBottom w:val="0"/>
      <w:divBdr>
        <w:top w:val="none" w:sz="0" w:space="0" w:color="auto"/>
        <w:left w:val="none" w:sz="0" w:space="0" w:color="auto"/>
        <w:bottom w:val="none" w:sz="0" w:space="0" w:color="auto"/>
        <w:right w:val="none" w:sz="0" w:space="0" w:color="auto"/>
      </w:divBdr>
    </w:div>
    <w:div w:id="1005401294">
      <w:bodyDiv w:val="1"/>
      <w:marLeft w:val="0"/>
      <w:marRight w:val="0"/>
      <w:marTop w:val="0"/>
      <w:marBottom w:val="0"/>
      <w:divBdr>
        <w:top w:val="none" w:sz="0" w:space="0" w:color="auto"/>
        <w:left w:val="none" w:sz="0" w:space="0" w:color="auto"/>
        <w:bottom w:val="none" w:sz="0" w:space="0" w:color="auto"/>
        <w:right w:val="none" w:sz="0" w:space="0" w:color="auto"/>
      </w:divBdr>
    </w:div>
    <w:div w:id="1273781922">
      <w:bodyDiv w:val="1"/>
      <w:marLeft w:val="0"/>
      <w:marRight w:val="0"/>
      <w:marTop w:val="0"/>
      <w:marBottom w:val="0"/>
      <w:divBdr>
        <w:top w:val="none" w:sz="0" w:space="0" w:color="auto"/>
        <w:left w:val="none" w:sz="0" w:space="0" w:color="auto"/>
        <w:bottom w:val="none" w:sz="0" w:space="0" w:color="auto"/>
        <w:right w:val="none" w:sz="0" w:space="0" w:color="auto"/>
      </w:divBdr>
    </w:div>
    <w:div w:id="1506288685">
      <w:bodyDiv w:val="1"/>
      <w:marLeft w:val="0"/>
      <w:marRight w:val="0"/>
      <w:marTop w:val="0"/>
      <w:marBottom w:val="0"/>
      <w:divBdr>
        <w:top w:val="none" w:sz="0" w:space="0" w:color="auto"/>
        <w:left w:val="none" w:sz="0" w:space="0" w:color="auto"/>
        <w:bottom w:val="none" w:sz="0" w:space="0" w:color="auto"/>
        <w:right w:val="none" w:sz="0" w:space="0" w:color="auto"/>
      </w:divBdr>
    </w:div>
    <w:div w:id="1652515607">
      <w:bodyDiv w:val="1"/>
      <w:marLeft w:val="0"/>
      <w:marRight w:val="0"/>
      <w:marTop w:val="0"/>
      <w:marBottom w:val="0"/>
      <w:divBdr>
        <w:top w:val="none" w:sz="0" w:space="0" w:color="auto"/>
        <w:left w:val="none" w:sz="0" w:space="0" w:color="auto"/>
        <w:bottom w:val="none" w:sz="0" w:space="0" w:color="auto"/>
        <w:right w:val="none" w:sz="0" w:space="0" w:color="auto"/>
      </w:divBdr>
    </w:div>
    <w:div w:id="1908033468">
      <w:bodyDiv w:val="1"/>
      <w:marLeft w:val="0"/>
      <w:marRight w:val="0"/>
      <w:marTop w:val="0"/>
      <w:marBottom w:val="0"/>
      <w:divBdr>
        <w:top w:val="none" w:sz="0" w:space="0" w:color="auto"/>
        <w:left w:val="none" w:sz="0" w:space="0" w:color="auto"/>
        <w:bottom w:val="none" w:sz="0" w:space="0" w:color="auto"/>
        <w:right w:val="none" w:sz="0" w:space="0" w:color="auto"/>
      </w:divBdr>
    </w:div>
    <w:div w:id="1981959799">
      <w:bodyDiv w:val="1"/>
      <w:marLeft w:val="0"/>
      <w:marRight w:val="0"/>
      <w:marTop w:val="0"/>
      <w:marBottom w:val="0"/>
      <w:divBdr>
        <w:top w:val="none" w:sz="0" w:space="0" w:color="auto"/>
        <w:left w:val="none" w:sz="0" w:space="0" w:color="auto"/>
        <w:bottom w:val="none" w:sz="0" w:space="0" w:color="auto"/>
        <w:right w:val="none" w:sz="0" w:space="0" w:color="auto"/>
      </w:divBdr>
    </w:div>
    <w:div w:id="208641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gnieszka.golabek@infarma.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C61E08BDE0922499C402CCD8960BEBA" ma:contentTypeVersion="15" ma:contentTypeDescription="Utwórz nowy dokument." ma:contentTypeScope="" ma:versionID="bc1aedc48804cbabce6d596d6b1b1b5e">
  <xsd:schema xmlns:xsd="http://www.w3.org/2001/XMLSchema" xmlns:xs="http://www.w3.org/2001/XMLSchema" xmlns:p="http://schemas.microsoft.com/office/2006/metadata/properties" xmlns:ns2="28514c33-91dc-4c97-ac20-2a583a7261dd" xmlns:ns3="408c9692-8832-49c4-b90f-81225ff21b65" targetNamespace="http://schemas.microsoft.com/office/2006/metadata/properties" ma:root="true" ma:fieldsID="c0d63647a740dab396b4021820c95b80" ns2:_="" ns3:_="">
    <xsd:import namespace="28514c33-91dc-4c97-ac20-2a583a7261dd"/>
    <xsd:import namespace="408c9692-8832-49c4-b90f-81225ff21b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14c33-91dc-4c97-ac20-2a583a726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tan zatwierdzenia" ma:internalName="Stan_x0020_zatwierdz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c9692-8832-49c4-b90f-81225ff21b6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8514c33-91dc-4c97-ac20-2a583a7261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EBD7A53-1D99-4900-9B7A-9B933DE83DD9}">
  <ds:schemaRefs>
    <ds:schemaRef ds:uri="http://schemas.openxmlformats.org/officeDocument/2006/bibliography"/>
  </ds:schemaRefs>
</ds:datastoreItem>
</file>

<file path=customXml/itemProps2.xml><?xml version="1.0" encoding="utf-8"?>
<ds:datastoreItem xmlns:ds="http://schemas.openxmlformats.org/officeDocument/2006/customXml" ds:itemID="{5F7F4F87-E696-46D9-9C55-DDB9EB274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14c33-91dc-4c97-ac20-2a583a7261dd"/>
    <ds:schemaRef ds:uri="408c9692-8832-49c4-b90f-81225ff2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904D1-D0D4-427A-AE8C-ECEBC4FCD9F3}">
  <ds:schemaRefs>
    <ds:schemaRef ds:uri="http://schemas.microsoft.com/office/2006/metadata/properties"/>
    <ds:schemaRef ds:uri="http://schemas.microsoft.com/office/infopath/2007/PartnerControls"/>
    <ds:schemaRef ds:uri="28514c33-91dc-4c97-ac20-2a583a7261dd"/>
  </ds:schemaRefs>
</ds:datastoreItem>
</file>

<file path=customXml/itemProps4.xml><?xml version="1.0" encoding="utf-8"?>
<ds:datastoreItem xmlns:ds="http://schemas.openxmlformats.org/officeDocument/2006/customXml" ds:itemID="{CD43FD75-3DB0-4479-90E3-EEB109096000}">
  <ds:schemaRefs>
    <ds:schemaRef ds:uri="http://schemas.microsoft.com/sharepoint/v3/contenttype/forms"/>
  </ds:schemaRefs>
</ds:datastoreItem>
</file>

<file path=customXml/itemProps5.xml><?xml version="1.0" encoding="utf-8"?>
<ds:datastoreItem xmlns:ds="http://schemas.openxmlformats.org/officeDocument/2006/customXml" ds:itemID="{542A4752-0061-4193-A250-8E992AFA797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1133</Words>
  <Characters>8067</Characters>
  <Application>Microsoft Office Word</Application>
  <DocSecurity>4</DocSecurity>
  <Lines>67</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Johnson &amp; Johnson</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Kowalski</dc:creator>
  <cp:keywords/>
  <cp:lastModifiedBy>Magdalena Romanowicz</cp:lastModifiedBy>
  <cp:revision>2</cp:revision>
  <cp:lastPrinted>2017-06-05T08:25:00Z</cp:lastPrinted>
  <dcterms:created xsi:type="dcterms:W3CDTF">2022-01-31T12:19:00Z</dcterms:created>
  <dcterms:modified xsi:type="dcterms:W3CDTF">2022-01-31T12:19:00Z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Anna Kacprzyk</vt:lpwstr>
  </property>
  <property fmtid="{D5CDD505-2E9C-101B-9397-08002B2CF9AE}" pid="3" name="Order">
    <vt:lpwstr>2160200.00000000</vt:lpwstr>
  </property>
  <property fmtid="{D5CDD505-2E9C-101B-9397-08002B2CF9AE}" pid="4" name="display_urn:schemas-microsoft-com:office:office#Author">
    <vt:lpwstr>Anna Kacprzyk</vt:lpwstr>
  </property>
</Properties>
</file>