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07A3F" w14:textId="77777777" w:rsidR="001A7134" w:rsidRPr="00BA0740" w:rsidRDefault="001A7134" w:rsidP="00956DB0">
      <w:bookmarkStart w:id="0" w:name="_Hlk109231836"/>
      <w:bookmarkEnd w:id="0"/>
    </w:p>
    <w:p w14:paraId="2DBEA3C5" w14:textId="77777777" w:rsidR="00956DB0" w:rsidRPr="00BA0740" w:rsidRDefault="00956DB0" w:rsidP="00956DB0"/>
    <w:tbl>
      <w:tblPr>
        <w:tblW w:w="0" w:type="auto"/>
        <w:tblLook w:val="0000" w:firstRow="0" w:lastRow="0" w:firstColumn="0" w:lastColumn="0" w:noHBand="0" w:noVBand="0"/>
      </w:tblPr>
      <w:tblGrid>
        <w:gridCol w:w="4219"/>
      </w:tblGrid>
      <w:tr w:rsidR="00A93CA2" w:rsidRPr="00BA0740" w14:paraId="08D3CEA4" w14:textId="77777777">
        <w:tc>
          <w:tcPr>
            <w:tcW w:w="4219" w:type="dxa"/>
          </w:tcPr>
          <w:p w14:paraId="059D9117" w14:textId="77777777" w:rsidR="00A93CA2" w:rsidRPr="00BA0740" w:rsidRDefault="00A93CA2">
            <w:pPr>
              <w:rPr>
                <w:rFonts w:cs="Arial"/>
              </w:rPr>
            </w:pPr>
          </w:p>
        </w:tc>
      </w:tr>
      <w:tr w:rsidR="00A93CA2" w:rsidRPr="00BA0740" w14:paraId="7D502D3B" w14:textId="77777777">
        <w:tc>
          <w:tcPr>
            <w:tcW w:w="4219" w:type="dxa"/>
          </w:tcPr>
          <w:p w14:paraId="40AB0E4B" w14:textId="77777777" w:rsidR="00A93CA2" w:rsidRPr="00BA0740" w:rsidRDefault="00A93CA2">
            <w:pPr>
              <w:pStyle w:val="TabletextR2"/>
              <w:ind w:left="0"/>
              <w:rPr>
                <w:rFonts w:cs="Arial"/>
              </w:rPr>
            </w:pPr>
            <w:r w:rsidRPr="00BA0740">
              <w:t>Prepared For:</w:t>
            </w:r>
          </w:p>
        </w:tc>
      </w:tr>
      <w:tr w:rsidR="00A93CA2" w:rsidRPr="00BA0740" w14:paraId="590804ED" w14:textId="77777777">
        <w:tc>
          <w:tcPr>
            <w:tcW w:w="4219" w:type="dxa"/>
          </w:tcPr>
          <w:p w14:paraId="07E43669" w14:textId="0AA68E99" w:rsidR="00A93CA2" w:rsidRPr="00BA0740" w:rsidRDefault="00955536">
            <w:pPr>
              <w:pStyle w:val="TabletextR3"/>
            </w:pPr>
            <w:r>
              <w:t xml:space="preserve">European Federation of Pharmaceutical </w:t>
            </w:r>
            <w:r w:rsidR="003D3001">
              <w:br/>
            </w:r>
            <w:r w:rsidR="006B7330">
              <w:t>Industries and Associations (EFPIA)</w:t>
            </w:r>
          </w:p>
        </w:tc>
      </w:tr>
      <w:tr w:rsidR="00A93CA2" w:rsidRPr="00BA0740" w14:paraId="7BEEA665" w14:textId="77777777">
        <w:tc>
          <w:tcPr>
            <w:tcW w:w="4219" w:type="dxa"/>
          </w:tcPr>
          <w:p w14:paraId="23B1ED70" w14:textId="3E463C6C" w:rsidR="00A93CA2" w:rsidRPr="00BA0740" w:rsidRDefault="006B7330">
            <w:pPr>
              <w:pStyle w:val="TabletextR3"/>
            </w:pPr>
            <w:r w:rsidRPr="006B7330">
              <w:t xml:space="preserve">Leopold Plaza Building, Rue du </w:t>
            </w:r>
            <w:proofErr w:type="spellStart"/>
            <w:r w:rsidRPr="006B7330">
              <w:t>Trone</w:t>
            </w:r>
            <w:proofErr w:type="spellEnd"/>
            <w:r w:rsidRPr="006B7330">
              <w:t xml:space="preserve"> 108</w:t>
            </w:r>
          </w:p>
        </w:tc>
      </w:tr>
      <w:tr w:rsidR="00A93CA2" w:rsidRPr="00BA0740" w14:paraId="77E0CFB3" w14:textId="77777777">
        <w:tc>
          <w:tcPr>
            <w:tcW w:w="4219" w:type="dxa"/>
          </w:tcPr>
          <w:p w14:paraId="0D726030" w14:textId="45BD9D47" w:rsidR="00A93CA2" w:rsidRPr="00BA0740" w:rsidRDefault="006B7330">
            <w:pPr>
              <w:pStyle w:val="TabletextR3"/>
            </w:pPr>
            <w:r>
              <w:t>Brussels</w:t>
            </w:r>
            <w:r w:rsidR="00A93CA2" w:rsidRPr="00BA0740">
              <w:t xml:space="preserve">, </w:t>
            </w:r>
            <w:r>
              <w:t>B-1050</w:t>
            </w:r>
          </w:p>
        </w:tc>
      </w:tr>
    </w:tbl>
    <w:p w14:paraId="6AE17B01" w14:textId="77777777" w:rsidR="00A93CA2" w:rsidRDefault="00A93CA2" w:rsidP="00A23023">
      <w:pPr>
        <w:pStyle w:val="Tekstpodstawowy"/>
      </w:pPr>
    </w:p>
    <w:p w14:paraId="2BB70BD9" w14:textId="77777777" w:rsidR="00F31D7B" w:rsidRDefault="00F31D7B" w:rsidP="00A23023">
      <w:pPr>
        <w:pStyle w:val="Tekstpodstawowy"/>
      </w:pPr>
    </w:p>
    <w:p w14:paraId="6F7B0D1E" w14:textId="77777777" w:rsidR="00F31D7B" w:rsidRPr="00BA0740" w:rsidRDefault="00CD602C" w:rsidP="00A23023">
      <w:pPr>
        <w:pStyle w:val="Tekstpodstawowy"/>
      </w:pPr>
      <w:r>
        <w:t xml:space="preserve"> </w:t>
      </w:r>
    </w:p>
    <w:p w14:paraId="6738C11C" w14:textId="77777777" w:rsidR="00A93CA2" w:rsidRPr="00BA0740" w:rsidRDefault="00A93CA2" w:rsidP="00A23023">
      <w:pPr>
        <w:pStyle w:val="Tekstpodstawowy"/>
      </w:pPr>
    </w:p>
    <w:p w14:paraId="004B2FDC" w14:textId="789503DC" w:rsidR="00BC76AE" w:rsidRPr="00C9477B" w:rsidRDefault="009C11A8" w:rsidP="00BC76AE">
      <w:pPr>
        <w:pStyle w:val="ReportName"/>
        <w:suppressAutoHyphens/>
        <w:jc w:val="left"/>
        <w:rPr>
          <w:sz w:val="40"/>
          <w:szCs w:val="14"/>
        </w:rPr>
      </w:pPr>
      <w:r w:rsidRPr="00C9477B">
        <w:rPr>
          <w:sz w:val="48"/>
          <w:szCs w:val="18"/>
        </w:rPr>
        <w:t xml:space="preserve">Factors affecting </w:t>
      </w:r>
      <w:r w:rsidR="00C9477B" w:rsidRPr="00C9477B">
        <w:rPr>
          <w:sz w:val="48"/>
          <w:szCs w:val="18"/>
        </w:rPr>
        <w:t xml:space="preserve">the </w:t>
      </w:r>
      <w:r w:rsidRPr="00C9477B">
        <w:rPr>
          <w:sz w:val="48"/>
          <w:szCs w:val="18"/>
        </w:rPr>
        <w:t>location of biopharmaceutical investments</w:t>
      </w:r>
      <w:r w:rsidRPr="00C9477B">
        <w:rPr>
          <w:sz w:val="40"/>
          <w:szCs w:val="14"/>
        </w:rPr>
        <w:t xml:space="preserve"> </w:t>
      </w:r>
      <w:r w:rsidR="00D51F34" w:rsidRPr="00C9477B">
        <w:rPr>
          <w:sz w:val="48"/>
          <w:szCs w:val="18"/>
        </w:rPr>
        <w:t>and implications for European policy</w:t>
      </w:r>
      <w:r w:rsidR="00E005E8">
        <w:rPr>
          <w:sz w:val="48"/>
          <w:szCs w:val="18"/>
        </w:rPr>
        <w:t xml:space="preserve"> priorities</w:t>
      </w:r>
    </w:p>
    <w:p w14:paraId="4B5AF5BF" w14:textId="31577183" w:rsidR="00A93CA2" w:rsidRPr="00BA0740" w:rsidRDefault="004A1471" w:rsidP="0057253D">
      <w:pPr>
        <w:pStyle w:val="Reportsubtitle"/>
      </w:pPr>
      <w:r>
        <w:rPr>
          <w:sz w:val="32"/>
          <w:szCs w:val="16"/>
          <w:lang w:val="en-GB"/>
        </w:rPr>
        <w:t>Final</w:t>
      </w:r>
      <w:r w:rsidR="0057253D">
        <w:rPr>
          <w:sz w:val="32"/>
          <w:szCs w:val="16"/>
          <w:lang w:val="en-GB"/>
        </w:rPr>
        <w:t xml:space="preserve"> </w:t>
      </w:r>
      <w:r>
        <w:rPr>
          <w:sz w:val="32"/>
          <w:szCs w:val="16"/>
          <w:lang w:val="en-GB"/>
        </w:rPr>
        <w:t>R</w:t>
      </w:r>
      <w:r w:rsidR="0057253D">
        <w:rPr>
          <w:sz w:val="32"/>
          <w:szCs w:val="16"/>
          <w:lang w:val="en-GB"/>
        </w:rPr>
        <w:t>eport</w:t>
      </w:r>
    </w:p>
    <w:p w14:paraId="3DE64F0D" w14:textId="77777777" w:rsidR="00A93CA2" w:rsidRPr="00BA0740" w:rsidRDefault="00A93CA2">
      <w:pPr>
        <w:pStyle w:val="Tekstpodstawowy"/>
      </w:pPr>
    </w:p>
    <w:p w14:paraId="36787766" w14:textId="77777777" w:rsidR="00A93CA2" w:rsidRPr="00BA0740" w:rsidRDefault="00A93CA2">
      <w:pPr>
        <w:pStyle w:val="Tekstpodstawowy"/>
      </w:pPr>
    </w:p>
    <w:p w14:paraId="46894611" w14:textId="77777777" w:rsidR="00A93CA2" w:rsidRPr="00BA0740" w:rsidRDefault="00A93CA2">
      <w:pPr>
        <w:pStyle w:val="Tekstpodstawowy"/>
      </w:pPr>
    </w:p>
    <w:tbl>
      <w:tblPr>
        <w:tblW w:w="0" w:type="auto"/>
        <w:tblLook w:val="0000" w:firstRow="0" w:lastRow="0" w:firstColumn="0" w:lastColumn="0" w:noHBand="0" w:noVBand="0"/>
      </w:tblPr>
      <w:tblGrid>
        <w:gridCol w:w="4219"/>
      </w:tblGrid>
      <w:tr w:rsidR="00A93CA2" w:rsidRPr="00BA0740" w14:paraId="2D64CD72" w14:textId="77777777">
        <w:tc>
          <w:tcPr>
            <w:tcW w:w="4219" w:type="dxa"/>
          </w:tcPr>
          <w:p w14:paraId="1B51D4FE" w14:textId="77777777" w:rsidR="00A93CA2" w:rsidRPr="00BA0740" w:rsidRDefault="00A93CA2">
            <w:pPr>
              <w:pStyle w:val="TabletextR2"/>
              <w:ind w:left="0"/>
              <w:rPr>
                <w:rFonts w:cs="Arial"/>
              </w:rPr>
            </w:pPr>
            <w:r w:rsidRPr="00BA0740">
              <w:t>Prepared By:</w:t>
            </w:r>
          </w:p>
        </w:tc>
      </w:tr>
      <w:tr w:rsidR="00A93CA2" w:rsidRPr="00BA0740" w14:paraId="66959250" w14:textId="77777777">
        <w:tc>
          <w:tcPr>
            <w:tcW w:w="4219" w:type="dxa"/>
          </w:tcPr>
          <w:p w14:paraId="5C93F0C6" w14:textId="406825BF" w:rsidR="0057253D" w:rsidRDefault="0057253D">
            <w:pPr>
              <w:pStyle w:val="TabletextR3"/>
            </w:pPr>
            <w:r>
              <w:t>Tim Wilsdon, Hannah Armstrong, Antun Sablek and Peter Cheng</w:t>
            </w:r>
          </w:p>
          <w:p w14:paraId="0F2A5899" w14:textId="662961A5" w:rsidR="00A93CA2" w:rsidRPr="00BA0740" w:rsidRDefault="00AA737E">
            <w:pPr>
              <w:pStyle w:val="TabletextR3"/>
            </w:pPr>
            <w:r w:rsidRPr="00BA0740">
              <w:t xml:space="preserve">Charles River Associates </w:t>
            </w:r>
          </w:p>
        </w:tc>
      </w:tr>
      <w:tr w:rsidR="00A93CA2" w:rsidRPr="00BA0740" w14:paraId="0BB9927F" w14:textId="77777777">
        <w:tc>
          <w:tcPr>
            <w:tcW w:w="4219" w:type="dxa"/>
          </w:tcPr>
          <w:p w14:paraId="131AF1C3" w14:textId="34E9ECE7" w:rsidR="00A93CA2" w:rsidRPr="00BA0740" w:rsidRDefault="006B7330">
            <w:pPr>
              <w:pStyle w:val="TabletextR3"/>
            </w:pPr>
            <w:r>
              <w:t>8 Finsbury Circus</w:t>
            </w:r>
          </w:p>
        </w:tc>
      </w:tr>
      <w:tr w:rsidR="00A93CA2" w:rsidRPr="00BA0740" w14:paraId="4DDF95BC" w14:textId="77777777">
        <w:tc>
          <w:tcPr>
            <w:tcW w:w="4219" w:type="dxa"/>
          </w:tcPr>
          <w:p w14:paraId="6935BEA4" w14:textId="411B4BFB" w:rsidR="00A93CA2" w:rsidRPr="00BA0740" w:rsidRDefault="00240433">
            <w:pPr>
              <w:pStyle w:val="TabletextR3"/>
            </w:pPr>
            <w:r w:rsidRPr="00BA0740">
              <w:t xml:space="preserve">London EC2M </w:t>
            </w:r>
            <w:r w:rsidR="006B7330">
              <w:t>7EA</w:t>
            </w:r>
          </w:p>
        </w:tc>
      </w:tr>
      <w:tr w:rsidR="00A93CA2" w:rsidRPr="00BA0740" w14:paraId="704A9CCF" w14:textId="77777777">
        <w:tc>
          <w:tcPr>
            <w:tcW w:w="4219" w:type="dxa"/>
          </w:tcPr>
          <w:p w14:paraId="15802651" w14:textId="77777777" w:rsidR="00A93CA2" w:rsidRPr="00BA0740" w:rsidRDefault="00A93CA2">
            <w:pPr>
              <w:pStyle w:val="TabletextR3"/>
              <w:rPr>
                <w:sz w:val="4"/>
              </w:rPr>
            </w:pPr>
          </w:p>
        </w:tc>
      </w:tr>
      <w:tr w:rsidR="00A93CA2" w:rsidRPr="00BA0740" w14:paraId="21D2E535" w14:textId="77777777">
        <w:tc>
          <w:tcPr>
            <w:tcW w:w="4219" w:type="dxa"/>
            <w:tcBorders>
              <w:bottom w:val="single" w:sz="4" w:space="0" w:color="auto"/>
            </w:tcBorders>
          </w:tcPr>
          <w:p w14:paraId="796E918E" w14:textId="19073A8B" w:rsidR="00A93CA2" w:rsidRPr="00BA0740" w:rsidRDefault="00A93CA2">
            <w:pPr>
              <w:pStyle w:val="TabletextR3"/>
            </w:pPr>
            <w:r w:rsidRPr="00BA0740">
              <w:t>Date:</w:t>
            </w:r>
            <w:r w:rsidR="00BC76AE">
              <w:t xml:space="preserve"> </w:t>
            </w:r>
            <w:r w:rsidR="004A1471">
              <w:t>3 October</w:t>
            </w:r>
            <w:r w:rsidR="00BC76AE">
              <w:t xml:space="preserve"> 2022</w:t>
            </w:r>
          </w:p>
        </w:tc>
      </w:tr>
      <w:tr w:rsidR="00A93CA2" w:rsidRPr="00BA0740" w14:paraId="1EB2B817" w14:textId="77777777">
        <w:tc>
          <w:tcPr>
            <w:tcW w:w="4219" w:type="dxa"/>
            <w:tcBorders>
              <w:top w:val="single" w:sz="4" w:space="0" w:color="auto"/>
            </w:tcBorders>
          </w:tcPr>
          <w:p w14:paraId="32AFD608" w14:textId="1FF84F27" w:rsidR="00A93CA2" w:rsidRPr="00BA0740" w:rsidRDefault="00A93CA2">
            <w:pPr>
              <w:pStyle w:val="TabletextR3"/>
            </w:pPr>
            <w:r w:rsidRPr="00BA0740">
              <w:t>CRA Project No.</w:t>
            </w:r>
            <w:r w:rsidR="006B7330">
              <w:t xml:space="preserve"> </w:t>
            </w:r>
            <w:r w:rsidR="006C17E7" w:rsidRPr="006C17E7">
              <w:t>D36423</w:t>
            </w:r>
          </w:p>
        </w:tc>
      </w:tr>
    </w:tbl>
    <w:p w14:paraId="494D1343" w14:textId="77777777" w:rsidR="00A93CA2" w:rsidRPr="00BA0740" w:rsidRDefault="00A93CA2" w:rsidP="0020342F">
      <w:pPr>
        <w:pStyle w:val="Tekstpodstawowy"/>
      </w:pPr>
    </w:p>
    <w:p w14:paraId="2CE8C111" w14:textId="77777777" w:rsidR="00A93CA2" w:rsidRPr="00BA0740" w:rsidRDefault="00A93CA2">
      <w:pPr>
        <w:pStyle w:val="Tekstpodstawowy"/>
        <w:sectPr w:rsidR="00A93CA2" w:rsidRPr="00BA0740" w:rsidSect="009C2CD4">
          <w:headerReference w:type="default" r:id="rId11"/>
          <w:footerReference w:type="even" r:id="rId12"/>
          <w:footerReference w:type="default" r:id="rId13"/>
          <w:headerReference w:type="first" r:id="rId14"/>
          <w:footerReference w:type="first" r:id="rId15"/>
          <w:pgSz w:w="11907" w:h="16839" w:code="9"/>
          <w:pgMar w:top="1440" w:right="1440" w:bottom="1440" w:left="1440" w:header="578" w:footer="431" w:gutter="1077"/>
          <w:paperSrc w:first="500" w:other="500"/>
          <w:cols w:space="720"/>
          <w:titlePg/>
          <w:docGrid w:linePitch="326"/>
        </w:sectPr>
      </w:pPr>
    </w:p>
    <w:p w14:paraId="4FED964F" w14:textId="33CBCCEA" w:rsidR="00005134" w:rsidRPr="00BA0740" w:rsidRDefault="00005134" w:rsidP="000C4E78">
      <w:pPr>
        <w:pStyle w:val="StyleSectionHeading"/>
      </w:pPr>
      <w:r w:rsidRPr="00BA0740">
        <w:lastRenderedPageBreak/>
        <w:t xml:space="preserve">Table of </w:t>
      </w:r>
      <w:r w:rsidR="00FD23A8">
        <w:t>c</w:t>
      </w:r>
      <w:r w:rsidRPr="00BA0740">
        <w:t>ontents</w:t>
      </w:r>
    </w:p>
    <w:p w14:paraId="799782D5" w14:textId="45B3CDB3" w:rsidR="00BA4F55" w:rsidRDefault="00DA17FA">
      <w:pPr>
        <w:pStyle w:val="Spistreci1"/>
        <w:rPr>
          <w:rFonts w:asciiTheme="minorHAnsi" w:eastAsiaTheme="minorEastAsia" w:hAnsiTheme="minorHAnsi" w:cstheme="minorBidi"/>
          <w:b w:val="0"/>
          <w:color w:val="auto"/>
          <w:sz w:val="22"/>
          <w:szCs w:val="22"/>
          <w:lang w:val="en-US"/>
        </w:rPr>
      </w:pPr>
      <w:r w:rsidRPr="000A2E03">
        <w:rPr>
          <w:rFonts w:ascii="Arial Bold" w:hAnsi="Arial Bold"/>
          <w:caps/>
          <w:sz w:val="26"/>
        </w:rPr>
        <w:fldChar w:fldCharType="begin"/>
      </w:r>
      <w:r w:rsidRPr="00D53D69">
        <w:rPr>
          <w:caps/>
          <w:sz w:val="18"/>
          <w:szCs w:val="18"/>
        </w:rPr>
        <w:instrText xml:space="preserve"> TOC \o "1-3" \h \z \t "Appendix 1,1,Appendix 2,2" </w:instrText>
      </w:r>
      <w:r w:rsidRPr="000A2E03">
        <w:rPr>
          <w:rFonts w:ascii="Arial Bold" w:hAnsi="Arial Bold"/>
          <w:caps/>
          <w:sz w:val="26"/>
        </w:rPr>
        <w:fldChar w:fldCharType="separate"/>
      </w:r>
      <w:hyperlink w:anchor="_Toc115717769" w:history="1">
        <w:r w:rsidR="00BA4F55" w:rsidRPr="001C7249">
          <w:rPr>
            <w:rStyle w:val="Hipercze"/>
          </w:rPr>
          <w:t>Abbreviations</w:t>
        </w:r>
        <w:r w:rsidR="00BA4F55">
          <w:rPr>
            <w:webHidden/>
          </w:rPr>
          <w:tab/>
        </w:r>
        <w:r w:rsidR="00BA4F55">
          <w:rPr>
            <w:webHidden/>
          </w:rPr>
          <w:fldChar w:fldCharType="begin"/>
        </w:r>
        <w:r w:rsidR="00BA4F55">
          <w:rPr>
            <w:webHidden/>
          </w:rPr>
          <w:instrText xml:space="preserve"> PAGEREF _Toc115717769 \h </w:instrText>
        </w:r>
        <w:r w:rsidR="00BA4F55">
          <w:rPr>
            <w:webHidden/>
          </w:rPr>
        </w:r>
        <w:r w:rsidR="00BA4F55">
          <w:rPr>
            <w:webHidden/>
          </w:rPr>
          <w:fldChar w:fldCharType="separate"/>
        </w:r>
        <w:r w:rsidR="00BA4F55">
          <w:rPr>
            <w:webHidden/>
          </w:rPr>
          <w:t>i</w:t>
        </w:r>
        <w:r w:rsidR="00BA4F55">
          <w:rPr>
            <w:webHidden/>
          </w:rPr>
          <w:fldChar w:fldCharType="end"/>
        </w:r>
      </w:hyperlink>
    </w:p>
    <w:p w14:paraId="448324FB" w14:textId="38BAE3B0" w:rsidR="00BA4F55" w:rsidRDefault="000F0501">
      <w:pPr>
        <w:pStyle w:val="Spistreci1"/>
        <w:rPr>
          <w:rFonts w:asciiTheme="minorHAnsi" w:eastAsiaTheme="minorEastAsia" w:hAnsiTheme="minorHAnsi" w:cstheme="minorBidi"/>
          <w:b w:val="0"/>
          <w:color w:val="auto"/>
          <w:sz w:val="22"/>
          <w:szCs w:val="22"/>
          <w:lang w:val="en-US"/>
        </w:rPr>
      </w:pPr>
      <w:hyperlink w:anchor="_Toc115717770" w:history="1">
        <w:r w:rsidR="00BA4F55" w:rsidRPr="001C7249">
          <w:rPr>
            <w:rStyle w:val="Hipercze"/>
          </w:rPr>
          <w:t>Executive summary</w:t>
        </w:r>
        <w:r w:rsidR="00BA4F55">
          <w:rPr>
            <w:webHidden/>
          </w:rPr>
          <w:tab/>
        </w:r>
        <w:r w:rsidR="00BA4F55">
          <w:rPr>
            <w:webHidden/>
          </w:rPr>
          <w:fldChar w:fldCharType="begin"/>
        </w:r>
        <w:r w:rsidR="00BA4F55">
          <w:rPr>
            <w:webHidden/>
          </w:rPr>
          <w:instrText xml:space="preserve"> PAGEREF _Toc115717770 \h </w:instrText>
        </w:r>
        <w:r w:rsidR="00BA4F55">
          <w:rPr>
            <w:webHidden/>
          </w:rPr>
        </w:r>
        <w:r w:rsidR="00BA4F55">
          <w:rPr>
            <w:webHidden/>
          </w:rPr>
          <w:fldChar w:fldCharType="separate"/>
        </w:r>
        <w:r w:rsidR="00BA4F55">
          <w:rPr>
            <w:webHidden/>
          </w:rPr>
          <w:t>1</w:t>
        </w:r>
        <w:r w:rsidR="00BA4F55">
          <w:rPr>
            <w:webHidden/>
          </w:rPr>
          <w:fldChar w:fldCharType="end"/>
        </w:r>
      </w:hyperlink>
    </w:p>
    <w:p w14:paraId="762E97E8" w14:textId="419BE286" w:rsidR="00BA4F55" w:rsidRDefault="000F0501">
      <w:pPr>
        <w:pStyle w:val="Spistreci1"/>
        <w:rPr>
          <w:rFonts w:asciiTheme="minorHAnsi" w:eastAsiaTheme="minorEastAsia" w:hAnsiTheme="minorHAnsi" w:cstheme="minorBidi"/>
          <w:b w:val="0"/>
          <w:color w:val="auto"/>
          <w:sz w:val="22"/>
          <w:szCs w:val="22"/>
          <w:lang w:val="en-US"/>
        </w:rPr>
      </w:pPr>
      <w:hyperlink w:anchor="_Toc115717771" w:history="1">
        <w:r w:rsidR="00BA4F55" w:rsidRPr="001C7249">
          <w:rPr>
            <w:rStyle w:val="Hipercze"/>
          </w:rPr>
          <w:t>1.</w:t>
        </w:r>
        <w:r w:rsidR="00BA4F55">
          <w:rPr>
            <w:rFonts w:asciiTheme="minorHAnsi" w:eastAsiaTheme="minorEastAsia" w:hAnsiTheme="minorHAnsi" w:cstheme="minorBidi"/>
            <w:b w:val="0"/>
            <w:color w:val="auto"/>
            <w:sz w:val="22"/>
            <w:szCs w:val="22"/>
            <w:lang w:val="en-US"/>
          </w:rPr>
          <w:tab/>
        </w:r>
        <w:r w:rsidR="00BA4F55" w:rsidRPr="001C7249">
          <w:rPr>
            <w:rStyle w:val="Hipercze"/>
          </w:rPr>
          <w:t>Introduction</w:t>
        </w:r>
        <w:r w:rsidR="00BA4F55">
          <w:rPr>
            <w:webHidden/>
          </w:rPr>
          <w:tab/>
        </w:r>
        <w:r w:rsidR="00BA4F55">
          <w:rPr>
            <w:webHidden/>
          </w:rPr>
          <w:fldChar w:fldCharType="begin"/>
        </w:r>
        <w:r w:rsidR="00BA4F55">
          <w:rPr>
            <w:webHidden/>
          </w:rPr>
          <w:instrText xml:space="preserve"> PAGEREF _Toc115717771 \h </w:instrText>
        </w:r>
        <w:r w:rsidR="00BA4F55">
          <w:rPr>
            <w:webHidden/>
          </w:rPr>
        </w:r>
        <w:r w:rsidR="00BA4F55">
          <w:rPr>
            <w:webHidden/>
          </w:rPr>
          <w:fldChar w:fldCharType="separate"/>
        </w:r>
        <w:r w:rsidR="00BA4F55">
          <w:rPr>
            <w:webHidden/>
          </w:rPr>
          <w:t>5</w:t>
        </w:r>
        <w:r w:rsidR="00BA4F55">
          <w:rPr>
            <w:webHidden/>
          </w:rPr>
          <w:fldChar w:fldCharType="end"/>
        </w:r>
      </w:hyperlink>
    </w:p>
    <w:p w14:paraId="7486A09B" w14:textId="02ED555B" w:rsidR="00BA4F55" w:rsidRDefault="000F0501">
      <w:pPr>
        <w:pStyle w:val="Spistreci2"/>
        <w:rPr>
          <w:rFonts w:asciiTheme="minorHAnsi" w:eastAsiaTheme="minorEastAsia" w:hAnsiTheme="minorHAnsi" w:cstheme="minorBidi"/>
          <w:sz w:val="22"/>
          <w:szCs w:val="22"/>
          <w:lang w:val="en-US"/>
        </w:rPr>
      </w:pPr>
      <w:hyperlink w:anchor="_Toc115717772" w:history="1">
        <w:r w:rsidR="00BA4F55" w:rsidRPr="001C7249">
          <w:rPr>
            <w:rStyle w:val="Hipercze"/>
          </w:rPr>
          <w:t>1.1.</w:t>
        </w:r>
        <w:r w:rsidR="00BA4F55">
          <w:rPr>
            <w:rFonts w:asciiTheme="minorHAnsi" w:eastAsiaTheme="minorEastAsia" w:hAnsiTheme="minorHAnsi" w:cstheme="minorBidi"/>
            <w:sz w:val="22"/>
            <w:szCs w:val="22"/>
            <w:lang w:val="en-US"/>
          </w:rPr>
          <w:tab/>
        </w:r>
        <w:r w:rsidR="00BA4F55" w:rsidRPr="001C7249">
          <w:rPr>
            <w:rStyle w:val="Hipercze"/>
          </w:rPr>
          <w:t>Background</w:t>
        </w:r>
        <w:r w:rsidR="00BA4F55">
          <w:rPr>
            <w:webHidden/>
          </w:rPr>
          <w:tab/>
        </w:r>
        <w:r w:rsidR="00BA4F55">
          <w:rPr>
            <w:webHidden/>
          </w:rPr>
          <w:fldChar w:fldCharType="begin"/>
        </w:r>
        <w:r w:rsidR="00BA4F55">
          <w:rPr>
            <w:webHidden/>
          </w:rPr>
          <w:instrText xml:space="preserve"> PAGEREF _Toc115717772 \h </w:instrText>
        </w:r>
        <w:r w:rsidR="00BA4F55">
          <w:rPr>
            <w:webHidden/>
          </w:rPr>
        </w:r>
        <w:r w:rsidR="00BA4F55">
          <w:rPr>
            <w:webHidden/>
          </w:rPr>
          <w:fldChar w:fldCharType="separate"/>
        </w:r>
        <w:r w:rsidR="00BA4F55">
          <w:rPr>
            <w:webHidden/>
          </w:rPr>
          <w:t>5</w:t>
        </w:r>
        <w:r w:rsidR="00BA4F55">
          <w:rPr>
            <w:webHidden/>
          </w:rPr>
          <w:fldChar w:fldCharType="end"/>
        </w:r>
      </w:hyperlink>
    </w:p>
    <w:p w14:paraId="6BCC47ED" w14:textId="6F7FC536" w:rsidR="00BA4F55" w:rsidRDefault="000F0501">
      <w:pPr>
        <w:pStyle w:val="Spistreci2"/>
        <w:rPr>
          <w:rFonts w:asciiTheme="minorHAnsi" w:eastAsiaTheme="minorEastAsia" w:hAnsiTheme="minorHAnsi" w:cstheme="minorBidi"/>
          <w:sz w:val="22"/>
          <w:szCs w:val="22"/>
          <w:lang w:val="en-US"/>
        </w:rPr>
      </w:pPr>
      <w:hyperlink w:anchor="_Toc115717773" w:history="1">
        <w:r w:rsidR="00BA4F55" w:rsidRPr="001C7249">
          <w:rPr>
            <w:rStyle w:val="Hipercze"/>
          </w:rPr>
          <w:t>1.2.</w:t>
        </w:r>
        <w:r w:rsidR="00BA4F55">
          <w:rPr>
            <w:rFonts w:asciiTheme="minorHAnsi" w:eastAsiaTheme="minorEastAsia" w:hAnsiTheme="minorHAnsi" w:cstheme="minorBidi"/>
            <w:sz w:val="22"/>
            <w:szCs w:val="22"/>
            <w:lang w:val="en-US"/>
          </w:rPr>
          <w:tab/>
        </w:r>
        <w:r w:rsidR="00BA4F55" w:rsidRPr="001C7249">
          <w:rPr>
            <w:rStyle w:val="Hipercze"/>
          </w:rPr>
          <w:t>Methodology</w:t>
        </w:r>
        <w:r w:rsidR="00BA4F55">
          <w:rPr>
            <w:webHidden/>
          </w:rPr>
          <w:tab/>
        </w:r>
        <w:r w:rsidR="00BA4F55">
          <w:rPr>
            <w:webHidden/>
          </w:rPr>
          <w:fldChar w:fldCharType="begin"/>
        </w:r>
        <w:r w:rsidR="00BA4F55">
          <w:rPr>
            <w:webHidden/>
          </w:rPr>
          <w:instrText xml:space="preserve"> PAGEREF _Toc115717773 \h </w:instrText>
        </w:r>
        <w:r w:rsidR="00BA4F55">
          <w:rPr>
            <w:webHidden/>
          </w:rPr>
        </w:r>
        <w:r w:rsidR="00BA4F55">
          <w:rPr>
            <w:webHidden/>
          </w:rPr>
          <w:fldChar w:fldCharType="separate"/>
        </w:r>
        <w:r w:rsidR="00BA4F55">
          <w:rPr>
            <w:webHidden/>
          </w:rPr>
          <w:t>7</w:t>
        </w:r>
        <w:r w:rsidR="00BA4F55">
          <w:rPr>
            <w:webHidden/>
          </w:rPr>
          <w:fldChar w:fldCharType="end"/>
        </w:r>
      </w:hyperlink>
    </w:p>
    <w:p w14:paraId="16F0456A" w14:textId="50E59F15" w:rsidR="00BA4F55" w:rsidRDefault="000F0501">
      <w:pPr>
        <w:pStyle w:val="Spistreci3"/>
        <w:rPr>
          <w:rFonts w:asciiTheme="minorHAnsi" w:eastAsiaTheme="minorEastAsia" w:hAnsiTheme="minorHAnsi" w:cstheme="minorBidi"/>
          <w:sz w:val="22"/>
          <w:szCs w:val="22"/>
          <w:lang w:val="en-US"/>
        </w:rPr>
      </w:pPr>
      <w:hyperlink w:anchor="_Toc115717774" w:history="1">
        <w:r w:rsidR="00BA4F55" w:rsidRPr="001C7249">
          <w:rPr>
            <w:rStyle w:val="Hipercze"/>
          </w:rPr>
          <w:t>1.2.1.</w:t>
        </w:r>
        <w:r w:rsidR="00BA4F55">
          <w:rPr>
            <w:rFonts w:asciiTheme="minorHAnsi" w:eastAsiaTheme="minorEastAsia" w:hAnsiTheme="minorHAnsi" w:cstheme="minorBidi"/>
            <w:sz w:val="22"/>
            <w:szCs w:val="22"/>
            <w:lang w:val="en-US"/>
          </w:rPr>
          <w:tab/>
        </w:r>
        <w:r w:rsidR="00BA4F55" w:rsidRPr="001C7249">
          <w:rPr>
            <w:rStyle w:val="Hipercze"/>
          </w:rPr>
          <w:t>Literature review</w:t>
        </w:r>
        <w:r w:rsidR="00BA4F55">
          <w:rPr>
            <w:webHidden/>
          </w:rPr>
          <w:tab/>
        </w:r>
        <w:r w:rsidR="00BA4F55">
          <w:rPr>
            <w:webHidden/>
          </w:rPr>
          <w:fldChar w:fldCharType="begin"/>
        </w:r>
        <w:r w:rsidR="00BA4F55">
          <w:rPr>
            <w:webHidden/>
          </w:rPr>
          <w:instrText xml:space="preserve"> PAGEREF _Toc115717774 \h </w:instrText>
        </w:r>
        <w:r w:rsidR="00BA4F55">
          <w:rPr>
            <w:webHidden/>
          </w:rPr>
        </w:r>
        <w:r w:rsidR="00BA4F55">
          <w:rPr>
            <w:webHidden/>
          </w:rPr>
          <w:fldChar w:fldCharType="separate"/>
        </w:r>
        <w:r w:rsidR="00BA4F55">
          <w:rPr>
            <w:webHidden/>
          </w:rPr>
          <w:t>7</w:t>
        </w:r>
        <w:r w:rsidR="00BA4F55">
          <w:rPr>
            <w:webHidden/>
          </w:rPr>
          <w:fldChar w:fldCharType="end"/>
        </w:r>
      </w:hyperlink>
    </w:p>
    <w:p w14:paraId="1AA39FCB" w14:textId="6E93D1D5" w:rsidR="00BA4F55" w:rsidRDefault="000F0501">
      <w:pPr>
        <w:pStyle w:val="Spistreci3"/>
        <w:rPr>
          <w:rFonts w:asciiTheme="minorHAnsi" w:eastAsiaTheme="minorEastAsia" w:hAnsiTheme="minorHAnsi" w:cstheme="minorBidi"/>
          <w:sz w:val="22"/>
          <w:szCs w:val="22"/>
          <w:lang w:val="en-US"/>
        </w:rPr>
      </w:pPr>
      <w:hyperlink w:anchor="_Toc115717775" w:history="1">
        <w:r w:rsidR="00BA4F55" w:rsidRPr="001C7249">
          <w:rPr>
            <w:rStyle w:val="Hipercze"/>
          </w:rPr>
          <w:t>1.2.2.</w:t>
        </w:r>
        <w:r w:rsidR="00BA4F55">
          <w:rPr>
            <w:rFonts w:asciiTheme="minorHAnsi" w:eastAsiaTheme="minorEastAsia" w:hAnsiTheme="minorHAnsi" w:cstheme="minorBidi"/>
            <w:sz w:val="22"/>
            <w:szCs w:val="22"/>
            <w:lang w:val="en-US"/>
          </w:rPr>
          <w:tab/>
        </w:r>
        <w:r w:rsidR="00BA4F55" w:rsidRPr="001C7249">
          <w:rPr>
            <w:rStyle w:val="Hipercze"/>
          </w:rPr>
          <w:t>Data analysis</w:t>
        </w:r>
        <w:r w:rsidR="00BA4F55">
          <w:rPr>
            <w:webHidden/>
          </w:rPr>
          <w:tab/>
        </w:r>
        <w:r w:rsidR="00BA4F55">
          <w:rPr>
            <w:webHidden/>
          </w:rPr>
          <w:fldChar w:fldCharType="begin"/>
        </w:r>
        <w:r w:rsidR="00BA4F55">
          <w:rPr>
            <w:webHidden/>
          </w:rPr>
          <w:instrText xml:space="preserve"> PAGEREF _Toc115717775 \h </w:instrText>
        </w:r>
        <w:r w:rsidR="00BA4F55">
          <w:rPr>
            <w:webHidden/>
          </w:rPr>
        </w:r>
        <w:r w:rsidR="00BA4F55">
          <w:rPr>
            <w:webHidden/>
          </w:rPr>
          <w:fldChar w:fldCharType="separate"/>
        </w:r>
        <w:r w:rsidR="00BA4F55">
          <w:rPr>
            <w:webHidden/>
          </w:rPr>
          <w:t>8</w:t>
        </w:r>
        <w:r w:rsidR="00BA4F55">
          <w:rPr>
            <w:webHidden/>
          </w:rPr>
          <w:fldChar w:fldCharType="end"/>
        </w:r>
      </w:hyperlink>
    </w:p>
    <w:p w14:paraId="1235EFA3" w14:textId="2E4A936A" w:rsidR="00BA4F55" w:rsidRDefault="000F0501">
      <w:pPr>
        <w:pStyle w:val="Spistreci3"/>
        <w:rPr>
          <w:rFonts w:asciiTheme="minorHAnsi" w:eastAsiaTheme="minorEastAsia" w:hAnsiTheme="minorHAnsi" w:cstheme="minorBidi"/>
          <w:sz w:val="22"/>
          <w:szCs w:val="22"/>
          <w:lang w:val="en-US"/>
        </w:rPr>
      </w:pPr>
      <w:hyperlink w:anchor="_Toc115717776" w:history="1">
        <w:r w:rsidR="00BA4F55" w:rsidRPr="001C7249">
          <w:rPr>
            <w:rStyle w:val="Hipercze"/>
          </w:rPr>
          <w:t>1.2.3.</w:t>
        </w:r>
        <w:r w:rsidR="00BA4F55">
          <w:rPr>
            <w:rFonts w:asciiTheme="minorHAnsi" w:eastAsiaTheme="minorEastAsia" w:hAnsiTheme="minorHAnsi" w:cstheme="minorBidi"/>
            <w:sz w:val="22"/>
            <w:szCs w:val="22"/>
            <w:lang w:val="en-US"/>
          </w:rPr>
          <w:tab/>
        </w:r>
        <w:r w:rsidR="00BA4F55" w:rsidRPr="001C7249">
          <w:rPr>
            <w:rStyle w:val="Hipercze"/>
          </w:rPr>
          <w:t>Interview programme</w:t>
        </w:r>
        <w:r w:rsidR="00BA4F55">
          <w:rPr>
            <w:webHidden/>
          </w:rPr>
          <w:tab/>
        </w:r>
        <w:r w:rsidR="00BA4F55">
          <w:rPr>
            <w:webHidden/>
          </w:rPr>
          <w:fldChar w:fldCharType="begin"/>
        </w:r>
        <w:r w:rsidR="00BA4F55">
          <w:rPr>
            <w:webHidden/>
          </w:rPr>
          <w:instrText xml:space="preserve"> PAGEREF _Toc115717776 \h </w:instrText>
        </w:r>
        <w:r w:rsidR="00BA4F55">
          <w:rPr>
            <w:webHidden/>
          </w:rPr>
        </w:r>
        <w:r w:rsidR="00BA4F55">
          <w:rPr>
            <w:webHidden/>
          </w:rPr>
          <w:fldChar w:fldCharType="separate"/>
        </w:r>
        <w:r w:rsidR="00BA4F55">
          <w:rPr>
            <w:webHidden/>
          </w:rPr>
          <w:t>9</w:t>
        </w:r>
        <w:r w:rsidR="00BA4F55">
          <w:rPr>
            <w:webHidden/>
          </w:rPr>
          <w:fldChar w:fldCharType="end"/>
        </w:r>
      </w:hyperlink>
    </w:p>
    <w:p w14:paraId="3A36FF3B" w14:textId="62402A9D" w:rsidR="00BA4F55" w:rsidRDefault="000F0501">
      <w:pPr>
        <w:pStyle w:val="Spistreci2"/>
        <w:rPr>
          <w:rFonts w:asciiTheme="minorHAnsi" w:eastAsiaTheme="minorEastAsia" w:hAnsiTheme="minorHAnsi" w:cstheme="minorBidi"/>
          <w:sz w:val="22"/>
          <w:szCs w:val="22"/>
          <w:lang w:val="en-US"/>
        </w:rPr>
      </w:pPr>
      <w:hyperlink w:anchor="_Toc115717777" w:history="1">
        <w:r w:rsidR="00BA4F55" w:rsidRPr="001C7249">
          <w:rPr>
            <w:rStyle w:val="Hipercze"/>
          </w:rPr>
          <w:t>1.3.</w:t>
        </w:r>
        <w:r w:rsidR="00BA4F55">
          <w:rPr>
            <w:rFonts w:asciiTheme="minorHAnsi" w:eastAsiaTheme="minorEastAsia" w:hAnsiTheme="minorHAnsi" w:cstheme="minorBidi"/>
            <w:sz w:val="22"/>
            <w:szCs w:val="22"/>
            <w:lang w:val="en-US"/>
          </w:rPr>
          <w:tab/>
        </w:r>
        <w:r w:rsidR="00BA4F55" w:rsidRPr="001C7249">
          <w:rPr>
            <w:rStyle w:val="Hipercze"/>
          </w:rPr>
          <w:t>Structure of this report</w:t>
        </w:r>
        <w:r w:rsidR="00BA4F55">
          <w:rPr>
            <w:webHidden/>
          </w:rPr>
          <w:tab/>
        </w:r>
        <w:r w:rsidR="00BA4F55">
          <w:rPr>
            <w:webHidden/>
          </w:rPr>
          <w:fldChar w:fldCharType="begin"/>
        </w:r>
        <w:r w:rsidR="00BA4F55">
          <w:rPr>
            <w:webHidden/>
          </w:rPr>
          <w:instrText xml:space="preserve"> PAGEREF _Toc115717777 \h </w:instrText>
        </w:r>
        <w:r w:rsidR="00BA4F55">
          <w:rPr>
            <w:webHidden/>
          </w:rPr>
        </w:r>
        <w:r w:rsidR="00BA4F55">
          <w:rPr>
            <w:webHidden/>
          </w:rPr>
          <w:fldChar w:fldCharType="separate"/>
        </w:r>
        <w:r w:rsidR="00BA4F55">
          <w:rPr>
            <w:webHidden/>
          </w:rPr>
          <w:t>9</w:t>
        </w:r>
        <w:r w:rsidR="00BA4F55">
          <w:rPr>
            <w:webHidden/>
          </w:rPr>
          <w:fldChar w:fldCharType="end"/>
        </w:r>
      </w:hyperlink>
    </w:p>
    <w:p w14:paraId="6AEA4B0E" w14:textId="60DCD23F" w:rsidR="00BA4F55" w:rsidRDefault="000F0501">
      <w:pPr>
        <w:pStyle w:val="Spistreci1"/>
        <w:rPr>
          <w:rFonts w:asciiTheme="minorHAnsi" w:eastAsiaTheme="minorEastAsia" w:hAnsiTheme="minorHAnsi" w:cstheme="minorBidi"/>
          <w:b w:val="0"/>
          <w:color w:val="auto"/>
          <w:sz w:val="22"/>
          <w:szCs w:val="22"/>
          <w:lang w:val="en-US"/>
        </w:rPr>
      </w:pPr>
      <w:hyperlink w:anchor="_Toc115717778" w:history="1">
        <w:r w:rsidR="00BA4F55" w:rsidRPr="001C7249">
          <w:rPr>
            <w:rStyle w:val="Hipercze"/>
          </w:rPr>
          <w:t>2.</w:t>
        </w:r>
        <w:r w:rsidR="00BA4F55">
          <w:rPr>
            <w:rFonts w:asciiTheme="minorHAnsi" w:eastAsiaTheme="minorEastAsia" w:hAnsiTheme="minorHAnsi" w:cstheme="minorBidi"/>
            <w:b w:val="0"/>
            <w:color w:val="auto"/>
            <w:sz w:val="22"/>
            <w:szCs w:val="22"/>
            <w:lang w:val="en-US"/>
          </w:rPr>
          <w:tab/>
        </w:r>
        <w:r w:rsidR="00BA4F55" w:rsidRPr="001C7249">
          <w:rPr>
            <w:rStyle w:val="Hipercze"/>
          </w:rPr>
          <w:t>Trends in investment in R&amp;D, clinical trials, and different types of manufacturing</w:t>
        </w:r>
        <w:r w:rsidR="00BA4F55">
          <w:rPr>
            <w:webHidden/>
          </w:rPr>
          <w:tab/>
        </w:r>
        <w:r w:rsidR="00BA4F55">
          <w:rPr>
            <w:webHidden/>
          </w:rPr>
          <w:fldChar w:fldCharType="begin"/>
        </w:r>
        <w:r w:rsidR="00BA4F55">
          <w:rPr>
            <w:webHidden/>
          </w:rPr>
          <w:instrText xml:space="preserve"> PAGEREF _Toc115717778 \h </w:instrText>
        </w:r>
        <w:r w:rsidR="00BA4F55">
          <w:rPr>
            <w:webHidden/>
          </w:rPr>
        </w:r>
        <w:r w:rsidR="00BA4F55">
          <w:rPr>
            <w:webHidden/>
          </w:rPr>
          <w:fldChar w:fldCharType="separate"/>
        </w:r>
        <w:r w:rsidR="00BA4F55">
          <w:rPr>
            <w:webHidden/>
          </w:rPr>
          <w:t>10</w:t>
        </w:r>
        <w:r w:rsidR="00BA4F55">
          <w:rPr>
            <w:webHidden/>
          </w:rPr>
          <w:fldChar w:fldCharType="end"/>
        </w:r>
      </w:hyperlink>
    </w:p>
    <w:p w14:paraId="394E4302" w14:textId="112920B0" w:rsidR="00BA4F55" w:rsidRDefault="000F0501">
      <w:pPr>
        <w:pStyle w:val="Spistreci2"/>
        <w:rPr>
          <w:rFonts w:asciiTheme="minorHAnsi" w:eastAsiaTheme="minorEastAsia" w:hAnsiTheme="minorHAnsi" w:cstheme="minorBidi"/>
          <w:sz w:val="22"/>
          <w:szCs w:val="22"/>
          <w:lang w:val="en-US"/>
        </w:rPr>
      </w:pPr>
      <w:hyperlink w:anchor="_Toc115717779" w:history="1">
        <w:r w:rsidR="00BA4F55" w:rsidRPr="001C7249">
          <w:rPr>
            <w:rStyle w:val="Hipercze"/>
          </w:rPr>
          <w:t>2.1.</w:t>
        </w:r>
        <w:r w:rsidR="00BA4F55">
          <w:rPr>
            <w:rFonts w:asciiTheme="minorHAnsi" w:eastAsiaTheme="minorEastAsia" w:hAnsiTheme="minorHAnsi" w:cstheme="minorBidi"/>
            <w:sz w:val="22"/>
            <w:szCs w:val="22"/>
            <w:lang w:val="en-US"/>
          </w:rPr>
          <w:tab/>
        </w:r>
        <w:r w:rsidR="00BA4F55" w:rsidRPr="001C7249">
          <w:rPr>
            <w:rStyle w:val="Hipercze"/>
          </w:rPr>
          <w:t>Trends in R&amp;D expenditure</w:t>
        </w:r>
        <w:r w:rsidR="00BA4F55">
          <w:rPr>
            <w:webHidden/>
          </w:rPr>
          <w:tab/>
        </w:r>
        <w:r w:rsidR="00BA4F55">
          <w:rPr>
            <w:webHidden/>
          </w:rPr>
          <w:fldChar w:fldCharType="begin"/>
        </w:r>
        <w:r w:rsidR="00BA4F55">
          <w:rPr>
            <w:webHidden/>
          </w:rPr>
          <w:instrText xml:space="preserve"> PAGEREF _Toc115717779 \h </w:instrText>
        </w:r>
        <w:r w:rsidR="00BA4F55">
          <w:rPr>
            <w:webHidden/>
          </w:rPr>
        </w:r>
        <w:r w:rsidR="00BA4F55">
          <w:rPr>
            <w:webHidden/>
          </w:rPr>
          <w:fldChar w:fldCharType="separate"/>
        </w:r>
        <w:r w:rsidR="00BA4F55">
          <w:rPr>
            <w:webHidden/>
          </w:rPr>
          <w:t>10</w:t>
        </w:r>
        <w:r w:rsidR="00BA4F55">
          <w:rPr>
            <w:webHidden/>
          </w:rPr>
          <w:fldChar w:fldCharType="end"/>
        </w:r>
      </w:hyperlink>
    </w:p>
    <w:p w14:paraId="0A6D855D" w14:textId="3E228B22" w:rsidR="00BA4F55" w:rsidRDefault="000F0501">
      <w:pPr>
        <w:pStyle w:val="Spistreci2"/>
        <w:rPr>
          <w:rFonts w:asciiTheme="minorHAnsi" w:eastAsiaTheme="minorEastAsia" w:hAnsiTheme="minorHAnsi" w:cstheme="minorBidi"/>
          <w:sz w:val="22"/>
          <w:szCs w:val="22"/>
          <w:lang w:val="en-US"/>
        </w:rPr>
      </w:pPr>
      <w:hyperlink w:anchor="_Toc115717780" w:history="1">
        <w:r w:rsidR="00BA4F55" w:rsidRPr="001C7249">
          <w:rPr>
            <w:rStyle w:val="Hipercze"/>
          </w:rPr>
          <w:t>2.2.</w:t>
        </w:r>
        <w:r w:rsidR="00BA4F55">
          <w:rPr>
            <w:rFonts w:asciiTheme="minorHAnsi" w:eastAsiaTheme="minorEastAsia" w:hAnsiTheme="minorHAnsi" w:cstheme="minorBidi"/>
            <w:sz w:val="22"/>
            <w:szCs w:val="22"/>
            <w:lang w:val="en-US"/>
          </w:rPr>
          <w:tab/>
        </w:r>
        <w:r w:rsidR="00BA4F55" w:rsidRPr="001C7249">
          <w:rPr>
            <w:rStyle w:val="Hipercze"/>
          </w:rPr>
          <w:t>The location of clinical trials</w:t>
        </w:r>
        <w:r w:rsidR="00BA4F55">
          <w:rPr>
            <w:webHidden/>
          </w:rPr>
          <w:tab/>
        </w:r>
        <w:r w:rsidR="00BA4F55">
          <w:rPr>
            <w:webHidden/>
          </w:rPr>
          <w:fldChar w:fldCharType="begin"/>
        </w:r>
        <w:r w:rsidR="00BA4F55">
          <w:rPr>
            <w:webHidden/>
          </w:rPr>
          <w:instrText xml:space="preserve"> PAGEREF _Toc115717780 \h </w:instrText>
        </w:r>
        <w:r w:rsidR="00BA4F55">
          <w:rPr>
            <w:webHidden/>
          </w:rPr>
        </w:r>
        <w:r w:rsidR="00BA4F55">
          <w:rPr>
            <w:webHidden/>
          </w:rPr>
          <w:fldChar w:fldCharType="separate"/>
        </w:r>
        <w:r w:rsidR="00BA4F55">
          <w:rPr>
            <w:webHidden/>
          </w:rPr>
          <w:t>15</w:t>
        </w:r>
        <w:r w:rsidR="00BA4F55">
          <w:rPr>
            <w:webHidden/>
          </w:rPr>
          <w:fldChar w:fldCharType="end"/>
        </w:r>
      </w:hyperlink>
    </w:p>
    <w:p w14:paraId="26A1E7E6" w14:textId="763EF411" w:rsidR="00BA4F55" w:rsidRDefault="000F0501">
      <w:pPr>
        <w:pStyle w:val="Spistreci2"/>
        <w:rPr>
          <w:rFonts w:asciiTheme="minorHAnsi" w:eastAsiaTheme="minorEastAsia" w:hAnsiTheme="minorHAnsi" w:cstheme="minorBidi"/>
          <w:sz w:val="22"/>
          <w:szCs w:val="22"/>
          <w:lang w:val="en-US"/>
        </w:rPr>
      </w:pPr>
      <w:hyperlink w:anchor="_Toc115717781" w:history="1">
        <w:r w:rsidR="00BA4F55" w:rsidRPr="001C7249">
          <w:rPr>
            <w:rStyle w:val="Hipercze"/>
          </w:rPr>
          <w:t>2.3.</w:t>
        </w:r>
        <w:r w:rsidR="00BA4F55">
          <w:rPr>
            <w:rFonts w:asciiTheme="minorHAnsi" w:eastAsiaTheme="minorEastAsia" w:hAnsiTheme="minorHAnsi" w:cstheme="minorBidi"/>
            <w:sz w:val="22"/>
            <w:szCs w:val="22"/>
            <w:lang w:val="en-US"/>
          </w:rPr>
          <w:tab/>
        </w:r>
        <w:r w:rsidR="00BA4F55" w:rsidRPr="001C7249">
          <w:rPr>
            <w:rStyle w:val="Hipercze"/>
          </w:rPr>
          <w:t>The location of investigational and commercial manufacturing</w:t>
        </w:r>
        <w:r w:rsidR="00BA4F55">
          <w:rPr>
            <w:webHidden/>
          </w:rPr>
          <w:tab/>
        </w:r>
        <w:r w:rsidR="00BA4F55">
          <w:rPr>
            <w:webHidden/>
          </w:rPr>
          <w:fldChar w:fldCharType="begin"/>
        </w:r>
        <w:r w:rsidR="00BA4F55">
          <w:rPr>
            <w:webHidden/>
          </w:rPr>
          <w:instrText xml:space="preserve"> PAGEREF _Toc115717781 \h </w:instrText>
        </w:r>
        <w:r w:rsidR="00BA4F55">
          <w:rPr>
            <w:webHidden/>
          </w:rPr>
        </w:r>
        <w:r w:rsidR="00BA4F55">
          <w:rPr>
            <w:webHidden/>
          </w:rPr>
          <w:fldChar w:fldCharType="separate"/>
        </w:r>
        <w:r w:rsidR="00BA4F55">
          <w:rPr>
            <w:webHidden/>
          </w:rPr>
          <w:t>19</w:t>
        </w:r>
        <w:r w:rsidR="00BA4F55">
          <w:rPr>
            <w:webHidden/>
          </w:rPr>
          <w:fldChar w:fldCharType="end"/>
        </w:r>
      </w:hyperlink>
    </w:p>
    <w:p w14:paraId="2C4A355A" w14:textId="43F3212D" w:rsidR="00BA4F55" w:rsidRDefault="000F0501">
      <w:pPr>
        <w:pStyle w:val="Spistreci2"/>
        <w:rPr>
          <w:rFonts w:asciiTheme="minorHAnsi" w:eastAsiaTheme="minorEastAsia" w:hAnsiTheme="minorHAnsi" w:cstheme="minorBidi"/>
          <w:sz w:val="22"/>
          <w:szCs w:val="22"/>
          <w:lang w:val="en-US"/>
        </w:rPr>
      </w:pPr>
      <w:hyperlink w:anchor="_Toc115717782" w:history="1">
        <w:r w:rsidR="00BA4F55" w:rsidRPr="001C7249">
          <w:rPr>
            <w:rStyle w:val="Hipercze"/>
          </w:rPr>
          <w:t>2.4.</w:t>
        </w:r>
        <w:r w:rsidR="00BA4F55">
          <w:rPr>
            <w:rFonts w:asciiTheme="minorHAnsi" w:eastAsiaTheme="minorEastAsia" w:hAnsiTheme="minorHAnsi" w:cstheme="minorBidi"/>
            <w:sz w:val="22"/>
            <w:szCs w:val="22"/>
            <w:lang w:val="en-US"/>
          </w:rPr>
          <w:tab/>
        </w:r>
        <w:r w:rsidR="00BA4F55" w:rsidRPr="001C7249">
          <w:rPr>
            <w:rStyle w:val="Hipercze"/>
          </w:rPr>
          <w:t>Foreign direct investment and exports</w:t>
        </w:r>
        <w:r w:rsidR="00BA4F55">
          <w:rPr>
            <w:webHidden/>
          </w:rPr>
          <w:tab/>
        </w:r>
        <w:r w:rsidR="00BA4F55">
          <w:rPr>
            <w:webHidden/>
          </w:rPr>
          <w:fldChar w:fldCharType="begin"/>
        </w:r>
        <w:r w:rsidR="00BA4F55">
          <w:rPr>
            <w:webHidden/>
          </w:rPr>
          <w:instrText xml:space="preserve"> PAGEREF _Toc115717782 \h </w:instrText>
        </w:r>
        <w:r w:rsidR="00BA4F55">
          <w:rPr>
            <w:webHidden/>
          </w:rPr>
        </w:r>
        <w:r w:rsidR="00BA4F55">
          <w:rPr>
            <w:webHidden/>
          </w:rPr>
          <w:fldChar w:fldCharType="separate"/>
        </w:r>
        <w:r w:rsidR="00BA4F55">
          <w:rPr>
            <w:webHidden/>
          </w:rPr>
          <w:t>22</w:t>
        </w:r>
        <w:r w:rsidR="00BA4F55">
          <w:rPr>
            <w:webHidden/>
          </w:rPr>
          <w:fldChar w:fldCharType="end"/>
        </w:r>
      </w:hyperlink>
    </w:p>
    <w:p w14:paraId="35ED8C85" w14:textId="40A3D852" w:rsidR="00BA4F55" w:rsidRDefault="000F0501">
      <w:pPr>
        <w:pStyle w:val="Spistreci2"/>
        <w:rPr>
          <w:rFonts w:asciiTheme="minorHAnsi" w:eastAsiaTheme="minorEastAsia" w:hAnsiTheme="minorHAnsi" w:cstheme="minorBidi"/>
          <w:sz w:val="22"/>
          <w:szCs w:val="22"/>
          <w:lang w:val="en-US"/>
        </w:rPr>
      </w:pPr>
      <w:hyperlink w:anchor="_Toc115717783" w:history="1">
        <w:r w:rsidR="00BA4F55" w:rsidRPr="001C7249">
          <w:rPr>
            <w:rStyle w:val="Hipercze"/>
          </w:rPr>
          <w:t>2.5.</w:t>
        </w:r>
        <w:r w:rsidR="00BA4F55">
          <w:rPr>
            <w:rFonts w:asciiTheme="minorHAnsi" w:eastAsiaTheme="minorEastAsia" w:hAnsiTheme="minorHAnsi" w:cstheme="minorBidi"/>
            <w:sz w:val="22"/>
            <w:szCs w:val="22"/>
            <w:lang w:val="en-US"/>
          </w:rPr>
          <w:tab/>
        </w:r>
        <w:r w:rsidR="00BA4F55" w:rsidRPr="001C7249">
          <w:rPr>
            <w:rStyle w:val="Hipercze"/>
          </w:rPr>
          <w:t>Summary</w:t>
        </w:r>
        <w:r w:rsidR="00BA4F55">
          <w:rPr>
            <w:webHidden/>
          </w:rPr>
          <w:tab/>
        </w:r>
        <w:r w:rsidR="00BA4F55">
          <w:rPr>
            <w:webHidden/>
          </w:rPr>
          <w:fldChar w:fldCharType="begin"/>
        </w:r>
        <w:r w:rsidR="00BA4F55">
          <w:rPr>
            <w:webHidden/>
          </w:rPr>
          <w:instrText xml:space="preserve"> PAGEREF _Toc115717783 \h </w:instrText>
        </w:r>
        <w:r w:rsidR="00BA4F55">
          <w:rPr>
            <w:webHidden/>
          </w:rPr>
        </w:r>
        <w:r w:rsidR="00BA4F55">
          <w:rPr>
            <w:webHidden/>
          </w:rPr>
          <w:fldChar w:fldCharType="separate"/>
        </w:r>
        <w:r w:rsidR="00BA4F55">
          <w:rPr>
            <w:webHidden/>
          </w:rPr>
          <w:t>24</w:t>
        </w:r>
        <w:r w:rsidR="00BA4F55">
          <w:rPr>
            <w:webHidden/>
          </w:rPr>
          <w:fldChar w:fldCharType="end"/>
        </w:r>
      </w:hyperlink>
    </w:p>
    <w:p w14:paraId="7534A773" w14:textId="08F7B1BC" w:rsidR="00BA4F55" w:rsidRDefault="000F0501">
      <w:pPr>
        <w:pStyle w:val="Spistreci1"/>
        <w:rPr>
          <w:rFonts w:asciiTheme="minorHAnsi" w:eastAsiaTheme="minorEastAsia" w:hAnsiTheme="minorHAnsi" w:cstheme="minorBidi"/>
          <w:b w:val="0"/>
          <w:color w:val="auto"/>
          <w:sz w:val="22"/>
          <w:szCs w:val="22"/>
          <w:lang w:val="en-US"/>
        </w:rPr>
      </w:pPr>
      <w:hyperlink w:anchor="_Toc115717784" w:history="1">
        <w:r w:rsidR="00BA4F55" w:rsidRPr="001C7249">
          <w:rPr>
            <w:rStyle w:val="Hipercze"/>
          </w:rPr>
          <w:t>3.</w:t>
        </w:r>
        <w:r w:rsidR="00BA4F55">
          <w:rPr>
            <w:rFonts w:asciiTheme="minorHAnsi" w:eastAsiaTheme="minorEastAsia" w:hAnsiTheme="minorHAnsi" w:cstheme="minorBidi"/>
            <w:b w:val="0"/>
            <w:color w:val="auto"/>
            <w:sz w:val="22"/>
            <w:szCs w:val="22"/>
            <w:lang w:val="en-US"/>
          </w:rPr>
          <w:tab/>
        </w:r>
        <w:r w:rsidR="00BA4F55" w:rsidRPr="001C7249">
          <w:rPr>
            <w:rStyle w:val="Hipercze"/>
          </w:rPr>
          <w:t>Factors driving the location of biopharmaceutical R&amp;D and investigational and commercial manufacturing</w:t>
        </w:r>
        <w:r w:rsidR="00BA4F55">
          <w:rPr>
            <w:webHidden/>
          </w:rPr>
          <w:tab/>
        </w:r>
        <w:r w:rsidR="00BA4F55">
          <w:rPr>
            <w:webHidden/>
          </w:rPr>
          <w:fldChar w:fldCharType="begin"/>
        </w:r>
        <w:r w:rsidR="00BA4F55">
          <w:rPr>
            <w:webHidden/>
          </w:rPr>
          <w:instrText xml:space="preserve"> PAGEREF _Toc115717784 \h </w:instrText>
        </w:r>
        <w:r w:rsidR="00BA4F55">
          <w:rPr>
            <w:webHidden/>
          </w:rPr>
        </w:r>
        <w:r w:rsidR="00BA4F55">
          <w:rPr>
            <w:webHidden/>
          </w:rPr>
          <w:fldChar w:fldCharType="separate"/>
        </w:r>
        <w:r w:rsidR="00BA4F55">
          <w:rPr>
            <w:webHidden/>
          </w:rPr>
          <w:t>26</w:t>
        </w:r>
        <w:r w:rsidR="00BA4F55">
          <w:rPr>
            <w:webHidden/>
          </w:rPr>
          <w:fldChar w:fldCharType="end"/>
        </w:r>
      </w:hyperlink>
    </w:p>
    <w:p w14:paraId="0008DE84" w14:textId="2C3768C1" w:rsidR="00BA4F55" w:rsidRDefault="000F0501">
      <w:pPr>
        <w:pStyle w:val="Spistreci2"/>
        <w:rPr>
          <w:rFonts w:asciiTheme="minorHAnsi" w:eastAsiaTheme="minorEastAsia" w:hAnsiTheme="minorHAnsi" w:cstheme="minorBidi"/>
          <w:sz w:val="22"/>
          <w:szCs w:val="22"/>
          <w:lang w:val="en-US"/>
        </w:rPr>
      </w:pPr>
      <w:hyperlink w:anchor="_Toc115717785" w:history="1">
        <w:r w:rsidR="00BA4F55" w:rsidRPr="001C7249">
          <w:rPr>
            <w:rStyle w:val="Hipercze"/>
          </w:rPr>
          <w:t>3.1.</w:t>
        </w:r>
        <w:r w:rsidR="00BA4F55">
          <w:rPr>
            <w:rFonts w:asciiTheme="minorHAnsi" w:eastAsiaTheme="minorEastAsia" w:hAnsiTheme="minorHAnsi" w:cstheme="minorBidi"/>
            <w:sz w:val="22"/>
            <w:szCs w:val="22"/>
            <w:lang w:val="en-US"/>
          </w:rPr>
          <w:tab/>
        </w:r>
        <w:r w:rsidR="00BA4F55" w:rsidRPr="001C7249">
          <w:rPr>
            <w:rStyle w:val="Hipercze"/>
          </w:rPr>
          <w:t>Research hubs</w:t>
        </w:r>
        <w:r w:rsidR="00BA4F55">
          <w:rPr>
            <w:webHidden/>
          </w:rPr>
          <w:tab/>
        </w:r>
        <w:r w:rsidR="00BA4F55">
          <w:rPr>
            <w:webHidden/>
          </w:rPr>
          <w:fldChar w:fldCharType="begin"/>
        </w:r>
        <w:r w:rsidR="00BA4F55">
          <w:rPr>
            <w:webHidden/>
          </w:rPr>
          <w:instrText xml:space="preserve"> PAGEREF _Toc115717785 \h </w:instrText>
        </w:r>
        <w:r w:rsidR="00BA4F55">
          <w:rPr>
            <w:webHidden/>
          </w:rPr>
        </w:r>
        <w:r w:rsidR="00BA4F55">
          <w:rPr>
            <w:webHidden/>
          </w:rPr>
          <w:fldChar w:fldCharType="separate"/>
        </w:r>
        <w:r w:rsidR="00BA4F55">
          <w:rPr>
            <w:webHidden/>
          </w:rPr>
          <w:t>26</w:t>
        </w:r>
        <w:r w:rsidR="00BA4F55">
          <w:rPr>
            <w:webHidden/>
          </w:rPr>
          <w:fldChar w:fldCharType="end"/>
        </w:r>
      </w:hyperlink>
    </w:p>
    <w:p w14:paraId="6F4D2B9E" w14:textId="12FC5136" w:rsidR="00BA4F55" w:rsidRDefault="000F0501">
      <w:pPr>
        <w:pStyle w:val="Spistreci2"/>
        <w:rPr>
          <w:rFonts w:asciiTheme="minorHAnsi" w:eastAsiaTheme="minorEastAsia" w:hAnsiTheme="minorHAnsi" w:cstheme="minorBidi"/>
          <w:sz w:val="22"/>
          <w:szCs w:val="22"/>
          <w:lang w:val="en-US"/>
        </w:rPr>
      </w:pPr>
      <w:hyperlink w:anchor="_Toc115717786" w:history="1">
        <w:r w:rsidR="00BA4F55" w:rsidRPr="001C7249">
          <w:rPr>
            <w:rStyle w:val="Hipercze"/>
          </w:rPr>
          <w:t>3.2.</w:t>
        </w:r>
        <w:r w:rsidR="00BA4F55">
          <w:rPr>
            <w:rFonts w:asciiTheme="minorHAnsi" w:eastAsiaTheme="minorEastAsia" w:hAnsiTheme="minorHAnsi" w:cstheme="minorBidi"/>
            <w:sz w:val="22"/>
            <w:szCs w:val="22"/>
            <w:lang w:val="en-US"/>
          </w:rPr>
          <w:tab/>
        </w:r>
        <w:r w:rsidR="00BA4F55" w:rsidRPr="001C7249">
          <w:rPr>
            <w:rStyle w:val="Hipercze"/>
          </w:rPr>
          <w:t>Clinical trials</w:t>
        </w:r>
        <w:r w:rsidR="00BA4F55">
          <w:rPr>
            <w:webHidden/>
          </w:rPr>
          <w:tab/>
        </w:r>
        <w:r w:rsidR="00BA4F55">
          <w:rPr>
            <w:webHidden/>
          </w:rPr>
          <w:fldChar w:fldCharType="begin"/>
        </w:r>
        <w:r w:rsidR="00BA4F55">
          <w:rPr>
            <w:webHidden/>
          </w:rPr>
          <w:instrText xml:space="preserve"> PAGEREF _Toc115717786 \h </w:instrText>
        </w:r>
        <w:r w:rsidR="00BA4F55">
          <w:rPr>
            <w:webHidden/>
          </w:rPr>
        </w:r>
        <w:r w:rsidR="00BA4F55">
          <w:rPr>
            <w:webHidden/>
          </w:rPr>
          <w:fldChar w:fldCharType="separate"/>
        </w:r>
        <w:r w:rsidR="00BA4F55">
          <w:rPr>
            <w:webHidden/>
          </w:rPr>
          <w:t>31</w:t>
        </w:r>
        <w:r w:rsidR="00BA4F55">
          <w:rPr>
            <w:webHidden/>
          </w:rPr>
          <w:fldChar w:fldCharType="end"/>
        </w:r>
      </w:hyperlink>
    </w:p>
    <w:p w14:paraId="7E8F390B" w14:textId="2A8E3827" w:rsidR="00BA4F55" w:rsidRDefault="000F0501">
      <w:pPr>
        <w:pStyle w:val="Spistreci2"/>
        <w:rPr>
          <w:rFonts w:asciiTheme="minorHAnsi" w:eastAsiaTheme="minorEastAsia" w:hAnsiTheme="minorHAnsi" w:cstheme="minorBidi"/>
          <w:sz w:val="22"/>
          <w:szCs w:val="22"/>
          <w:lang w:val="en-US"/>
        </w:rPr>
      </w:pPr>
      <w:hyperlink w:anchor="_Toc115717787" w:history="1">
        <w:r w:rsidR="00BA4F55" w:rsidRPr="001C7249">
          <w:rPr>
            <w:rStyle w:val="Hipercze"/>
          </w:rPr>
          <w:t>3.3.</w:t>
        </w:r>
        <w:r w:rsidR="00BA4F55">
          <w:rPr>
            <w:rFonts w:asciiTheme="minorHAnsi" w:eastAsiaTheme="minorEastAsia" w:hAnsiTheme="minorHAnsi" w:cstheme="minorBidi"/>
            <w:sz w:val="22"/>
            <w:szCs w:val="22"/>
            <w:lang w:val="en-US"/>
          </w:rPr>
          <w:tab/>
        </w:r>
        <w:r w:rsidR="00BA4F55" w:rsidRPr="001C7249">
          <w:rPr>
            <w:rStyle w:val="Hipercze"/>
          </w:rPr>
          <w:t>Investigational and commercial manufacturing sites</w:t>
        </w:r>
        <w:r w:rsidR="00BA4F55">
          <w:rPr>
            <w:webHidden/>
          </w:rPr>
          <w:tab/>
        </w:r>
        <w:r w:rsidR="00BA4F55">
          <w:rPr>
            <w:webHidden/>
          </w:rPr>
          <w:fldChar w:fldCharType="begin"/>
        </w:r>
        <w:r w:rsidR="00BA4F55">
          <w:rPr>
            <w:webHidden/>
          </w:rPr>
          <w:instrText xml:space="preserve"> PAGEREF _Toc115717787 \h </w:instrText>
        </w:r>
        <w:r w:rsidR="00BA4F55">
          <w:rPr>
            <w:webHidden/>
          </w:rPr>
        </w:r>
        <w:r w:rsidR="00BA4F55">
          <w:rPr>
            <w:webHidden/>
          </w:rPr>
          <w:fldChar w:fldCharType="separate"/>
        </w:r>
        <w:r w:rsidR="00BA4F55">
          <w:rPr>
            <w:webHidden/>
          </w:rPr>
          <w:t>38</w:t>
        </w:r>
        <w:r w:rsidR="00BA4F55">
          <w:rPr>
            <w:webHidden/>
          </w:rPr>
          <w:fldChar w:fldCharType="end"/>
        </w:r>
      </w:hyperlink>
    </w:p>
    <w:p w14:paraId="578C5128" w14:textId="55631E4B" w:rsidR="00BA4F55" w:rsidRDefault="000F0501">
      <w:pPr>
        <w:pStyle w:val="Spistreci2"/>
        <w:rPr>
          <w:rFonts w:asciiTheme="minorHAnsi" w:eastAsiaTheme="minorEastAsia" w:hAnsiTheme="minorHAnsi" w:cstheme="minorBidi"/>
          <w:sz w:val="22"/>
          <w:szCs w:val="22"/>
          <w:lang w:val="en-US"/>
        </w:rPr>
      </w:pPr>
      <w:hyperlink w:anchor="_Toc115717788" w:history="1">
        <w:r w:rsidR="00BA4F55" w:rsidRPr="001C7249">
          <w:rPr>
            <w:rStyle w:val="Hipercze"/>
          </w:rPr>
          <w:t>3.4.</w:t>
        </w:r>
        <w:r w:rsidR="00BA4F55">
          <w:rPr>
            <w:rFonts w:asciiTheme="minorHAnsi" w:eastAsiaTheme="minorEastAsia" w:hAnsiTheme="minorHAnsi" w:cstheme="minorBidi"/>
            <w:sz w:val="22"/>
            <w:szCs w:val="22"/>
            <w:lang w:val="en-US"/>
          </w:rPr>
          <w:tab/>
        </w:r>
        <w:r w:rsidR="00BA4F55" w:rsidRPr="001C7249">
          <w:rPr>
            <w:rStyle w:val="Hipercze"/>
          </w:rPr>
          <w:t>Summary</w:t>
        </w:r>
        <w:r w:rsidR="00BA4F55">
          <w:rPr>
            <w:webHidden/>
          </w:rPr>
          <w:tab/>
        </w:r>
        <w:r w:rsidR="00BA4F55">
          <w:rPr>
            <w:webHidden/>
          </w:rPr>
          <w:fldChar w:fldCharType="begin"/>
        </w:r>
        <w:r w:rsidR="00BA4F55">
          <w:rPr>
            <w:webHidden/>
          </w:rPr>
          <w:instrText xml:space="preserve"> PAGEREF _Toc115717788 \h </w:instrText>
        </w:r>
        <w:r w:rsidR="00BA4F55">
          <w:rPr>
            <w:webHidden/>
          </w:rPr>
        </w:r>
        <w:r w:rsidR="00BA4F55">
          <w:rPr>
            <w:webHidden/>
          </w:rPr>
          <w:fldChar w:fldCharType="separate"/>
        </w:r>
        <w:r w:rsidR="00BA4F55">
          <w:rPr>
            <w:webHidden/>
          </w:rPr>
          <w:t>49</w:t>
        </w:r>
        <w:r w:rsidR="00BA4F55">
          <w:rPr>
            <w:webHidden/>
          </w:rPr>
          <w:fldChar w:fldCharType="end"/>
        </w:r>
      </w:hyperlink>
    </w:p>
    <w:p w14:paraId="3D12569B" w14:textId="46B98B54" w:rsidR="00BA4F55" w:rsidRDefault="000F0501">
      <w:pPr>
        <w:pStyle w:val="Spistreci1"/>
        <w:rPr>
          <w:rFonts w:asciiTheme="minorHAnsi" w:eastAsiaTheme="minorEastAsia" w:hAnsiTheme="minorHAnsi" w:cstheme="minorBidi"/>
          <w:b w:val="0"/>
          <w:color w:val="auto"/>
          <w:sz w:val="22"/>
          <w:szCs w:val="22"/>
          <w:lang w:val="en-US"/>
        </w:rPr>
      </w:pPr>
      <w:hyperlink w:anchor="_Toc115717789" w:history="1">
        <w:r w:rsidR="00BA4F55" w:rsidRPr="001C7249">
          <w:rPr>
            <w:rStyle w:val="Hipercze"/>
          </w:rPr>
          <w:t>4.</w:t>
        </w:r>
        <w:r w:rsidR="00BA4F55">
          <w:rPr>
            <w:rFonts w:asciiTheme="minorHAnsi" w:eastAsiaTheme="minorEastAsia" w:hAnsiTheme="minorHAnsi" w:cstheme="minorBidi"/>
            <w:b w:val="0"/>
            <w:color w:val="auto"/>
            <w:sz w:val="22"/>
            <w:szCs w:val="22"/>
            <w:lang w:val="en-US"/>
          </w:rPr>
          <w:tab/>
        </w:r>
        <w:r w:rsidR="00BA4F55" w:rsidRPr="001C7249">
          <w:rPr>
            <w:rStyle w:val="Hipercze"/>
          </w:rPr>
          <w:t>Attracting greater biopharmaceutical inward investment in Europe</w:t>
        </w:r>
        <w:r w:rsidR="00BA4F55">
          <w:rPr>
            <w:webHidden/>
          </w:rPr>
          <w:tab/>
        </w:r>
        <w:r w:rsidR="00BA4F55">
          <w:rPr>
            <w:webHidden/>
          </w:rPr>
          <w:fldChar w:fldCharType="begin"/>
        </w:r>
        <w:r w:rsidR="00BA4F55">
          <w:rPr>
            <w:webHidden/>
          </w:rPr>
          <w:instrText xml:space="preserve"> PAGEREF _Toc115717789 \h </w:instrText>
        </w:r>
        <w:r w:rsidR="00BA4F55">
          <w:rPr>
            <w:webHidden/>
          </w:rPr>
        </w:r>
        <w:r w:rsidR="00BA4F55">
          <w:rPr>
            <w:webHidden/>
          </w:rPr>
          <w:fldChar w:fldCharType="separate"/>
        </w:r>
        <w:r w:rsidR="00BA4F55">
          <w:rPr>
            <w:webHidden/>
          </w:rPr>
          <w:t>52</w:t>
        </w:r>
        <w:r w:rsidR="00BA4F55">
          <w:rPr>
            <w:webHidden/>
          </w:rPr>
          <w:fldChar w:fldCharType="end"/>
        </w:r>
      </w:hyperlink>
    </w:p>
    <w:p w14:paraId="03914171" w14:textId="1BB0D7F5" w:rsidR="00BA4F55" w:rsidRDefault="000F0501">
      <w:pPr>
        <w:pStyle w:val="Spistreci2"/>
        <w:rPr>
          <w:rFonts w:asciiTheme="minorHAnsi" w:eastAsiaTheme="minorEastAsia" w:hAnsiTheme="minorHAnsi" w:cstheme="minorBidi"/>
          <w:sz w:val="22"/>
          <w:szCs w:val="22"/>
          <w:lang w:val="en-US"/>
        </w:rPr>
      </w:pPr>
      <w:hyperlink w:anchor="_Toc115717790" w:history="1">
        <w:r w:rsidR="00BA4F55" w:rsidRPr="001C7249">
          <w:rPr>
            <w:rStyle w:val="Hipercze"/>
          </w:rPr>
          <w:t>4.1.</w:t>
        </w:r>
        <w:r w:rsidR="00BA4F55">
          <w:rPr>
            <w:rFonts w:asciiTheme="minorHAnsi" w:eastAsiaTheme="minorEastAsia" w:hAnsiTheme="minorHAnsi" w:cstheme="minorBidi"/>
            <w:sz w:val="22"/>
            <w:szCs w:val="22"/>
            <w:lang w:val="en-US"/>
          </w:rPr>
          <w:tab/>
        </w:r>
        <w:r w:rsidR="00BA4F55" w:rsidRPr="001C7249">
          <w:rPr>
            <w:rStyle w:val="Hipercze"/>
          </w:rPr>
          <w:t>Addressing Europe’s relative decline in attractiveness as a centre for biopharmaceutical investment</w:t>
        </w:r>
        <w:r w:rsidR="00BA4F55">
          <w:rPr>
            <w:webHidden/>
          </w:rPr>
          <w:tab/>
        </w:r>
        <w:r w:rsidR="00BA4F55">
          <w:rPr>
            <w:webHidden/>
          </w:rPr>
          <w:fldChar w:fldCharType="begin"/>
        </w:r>
        <w:r w:rsidR="00BA4F55">
          <w:rPr>
            <w:webHidden/>
          </w:rPr>
          <w:instrText xml:space="preserve"> PAGEREF _Toc115717790 \h </w:instrText>
        </w:r>
        <w:r w:rsidR="00BA4F55">
          <w:rPr>
            <w:webHidden/>
          </w:rPr>
        </w:r>
        <w:r w:rsidR="00BA4F55">
          <w:rPr>
            <w:webHidden/>
          </w:rPr>
          <w:fldChar w:fldCharType="separate"/>
        </w:r>
        <w:r w:rsidR="00BA4F55">
          <w:rPr>
            <w:webHidden/>
          </w:rPr>
          <w:t>53</w:t>
        </w:r>
        <w:r w:rsidR="00BA4F55">
          <w:rPr>
            <w:webHidden/>
          </w:rPr>
          <w:fldChar w:fldCharType="end"/>
        </w:r>
      </w:hyperlink>
    </w:p>
    <w:p w14:paraId="76884A50" w14:textId="694F888A" w:rsidR="00BA4F55" w:rsidRDefault="000F0501">
      <w:pPr>
        <w:pStyle w:val="Spistreci2"/>
        <w:rPr>
          <w:rFonts w:asciiTheme="minorHAnsi" w:eastAsiaTheme="minorEastAsia" w:hAnsiTheme="minorHAnsi" w:cstheme="minorBidi"/>
          <w:sz w:val="22"/>
          <w:szCs w:val="22"/>
          <w:lang w:val="en-US"/>
        </w:rPr>
      </w:pPr>
      <w:hyperlink w:anchor="_Toc115717791" w:history="1">
        <w:r w:rsidR="00BA4F55" w:rsidRPr="001C7249">
          <w:rPr>
            <w:rStyle w:val="Hipercze"/>
          </w:rPr>
          <w:t>4.2.</w:t>
        </w:r>
        <w:r w:rsidR="00BA4F55">
          <w:rPr>
            <w:rFonts w:asciiTheme="minorHAnsi" w:eastAsiaTheme="minorEastAsia" w:hAnsiTheme="minorHAnsi" w:cstheme="minorBidi"/>
            <w:sz w:val="22"/>
            <w:szCs w:val="22"/>
            <w:lang w:val="en-US"/>
          </w:rPr>
          <w:tab/>
        </w:r>
        <w:r w:rsidR="00BA4F55" w:rsidRPr="001C7249">
          <w:rPr>
            <w:rStyle w:val="Hipercze"/>
          </w:rPr>
          <w:t>Responding to the impact of new therapeutic solutions on dynamics and location of investment, using ATMPs and digital technologies as examples</w:t>
        </w:r>
        <w:r w:rsidR="00BA4F55">
          <w:rPr>
            <w:webHidden/>
          </w:rPr>
          <w:tab/>
        </w:r>
        <w:r w:rsidR="00BA4F55">
          <w:rPr>
            <w:webHidden/>
          </w:rPr>
          <w:fldChar w:fldCharType="begin"/>
        </w:r>
        <w:r w:rsidR="00BA4F55">
          <w:rPr>
            <w:webHidden/>
          </w:rPr>
          <w:instrText xml:space="preserve"> PAGEREF _Toc115717791 \h </w:instrText>
        </w:r>
        <w:r w:rsidR="00BA4F55">
          <w:rPr>
            <w:webHidden/>
          </w:rPr>
        </w:r>
        <w:r w:rsidR="00BA4F55">
          <w:rPr>
            <w:webHidden/>
          </w:rPr>
          <w:fldChar w:fldCharType="separate"/>
        </w:r>
        <w:r w:rsidR="00BA4F55">
          <w:rPr>
            <w:webHidden/>
          </w:rPr>
          <w:t>60</w:t>
        </w:r>
        <w:r w:rsidR="00BA4F55">
          <w:rPr>
            <w:webHidden/>
          </w:rPr>
          <w:fldChar w:fldCharType="end"/>
        </w:r>
      </w:hyperlink>
    </w:p>
    <w:p w14:paraId="6597DD17" w14:textId="710B375F" w:rsidR="00BA4F55" w:rsidRDefault="000F0501">
      <w:pPr>
        <w:pStyle w:val="Spistreci2"/>
        <w:rPr>
          <w:rFonts w:asciiTheme="minorHAnsi" w:eastAsiaTheme="minorEastAsia" w:hAnsiTheme="minorHAnsi" w:cstheme="minorBidi"/>
          <w:sz w:val="22"/>
          <w:szCs w:val="22"/>
          <w:lang w:val="en-US"/>
        </w:rPr>
      </w:pPr>
      <w:hyperlink w:anchor="_Toc115717792" w:history="1">
        <w:r w:rsidR="00BA4F55" w:rsidRPr="001C7249">
          <w:rPr>
            <w:rStyle w:val="Hipercze"/>
          </w:rPr>
          <w:t>4.3.</w:t>
        </w:r>
        <w:r w:rsidR="00BA4F55">
          <w:rPr>
            <w:rFonts w:asciiTheme="minorHAnsi" w:eastAsiaTheme="minorEastAsia" w:hAnsiTheme="minorHAnsi" w:cstheme="minorBidi"/>
            <w:sz w:val="22"/>
            <w:szCs w:val="22"/>
            <w:lang w:val="en-US"/>
          </w:rPr>
          <w:tab/>
        </w:r>
        <w:r w:rsidR="00BA4F55" w:rsidRPr="001C7249">
          <w:rPr>
            <w:rStyle w:val="Hipercze"/>
          </w:rPr>
          <w:t>Learning from COVID-19 and managing risk and the external environment</w:t>
        </w:r>
        <w:r w:rsidR="00BA4F55">
          <w:rPr>
            <w:webHidden/>
          </w:rPr>
          <w:tab/>
        </w:r>
        <w:r w:rsidR="00BA4F55">
          <w:rPr>
            <w:webHidden/>
          </w:rPr>
          <w:fldChar w:fldCharType="begin"/>
        </w:r>
        <w:r w:rsidR="00BA4F55">
          <w:rPr>
            <w:webHidden/>
          </w:rPr>
          <w:instrText xml:space="preserve"> PAGEREF _Toc115717792 \h </w:instrText>
        </w:r>
        <w:r w:rsidR="00BA4F55">
          <w:rPr>
            <w:webHidden/>
          </w:rPr>
        </w:r>
        <w:r w:rsidR="00BA4F55">
          <w:rPr>
            <w:webHidden/>
          </w:rPr>
          <w:fldChar w:fldCharType="separate"/>
        </w:r>
        <w:r w:rsidR="00BA4F55">
          <w:rPr>
            <w:webHidden/>
          </w:rPr>
          <w:t>69</w:t>
        </w:r>
        <w:r w:rsidR="00BA4F55">
          <w:rPr>
            <w:webHidden/>
          </w:rPr>
          <w:fldChar w:fldCharType="end"/>
        </w:r>
      </w:hyperlink>
    </w:p>
    <w:p w14:paraId="0E09A947" w14:textId="032BD001" w:rsidR="00BA4F55" w:rsidRDefault="000F0501">
      <w:pPr>
        <w:pStyle w:val="Spistreci1"/>
        <w:rPr>
          <w:rFonts w:asciiTheme="minorHAnsi" w:eastAsiaTheme="minorEastAsia" w:hAnsiTheme="minorHAnsi" w:cstheme="minorBidi"/>
          <w:b w:val="0"/>
          <w:color w:val="auto"/>
          <w:sz w:val="22"/>
          <w:szCs w:val="22"/>
          <w:lang w:val="en-US"/>
        </w:rPr>
      </w:pPr>
      <w:hyperlink w:anchor="_Toc115717793" w:history="1">
        <w:r w:rsidR="00BA4F55" w:rsidRPr="001C7249">
          <w:rPr>
            <w:rStyle w:val="Hipercze"/>
          </w:rPr>
          <w:t>Appendix</w:t>
        </w:r>
        <w:r w:rsidR="00BA4F55">
          <w:rPr>
            <w:webHidden/>
          </w:rPr>
          <w:tab/>
        </w:r>
        <w:r w:rsidR="00BA4F55">
          <w:rPr>
            <w:webHidden/>
          </w:rPr>
          <w:fldChar w:fldCharType="begin"/>
        </w:r>
        <w:r w:rsidR="00BA4F55">
          <w:rPr>
            <w:webHidden/>
          </w:rPr>
          <w:instrText xml:space="preserve"> PAGEREF _Toc115717793 \h </w:instrText>
        </w:r>
        <w:r w:rsidR="00BA4F55">
          <w:rPr>
            <w:webHidden/>
          </w:rPr>
        </w:r>
        <w:r w:rsidR="00BA4F55">
          <w:rPr>
            <w:webHidden/>
          </w:rPr>
          <w:fldChar w:fldCharType="separate"/>
        </w:r>
        <w:r w:rsidR="00BA4F55">
          <w:rPr>
            <w:webHidden/>
          </w:rPr>
          <w:t>74</w:t>
        </w:r>
        <w:r w:rsidR="00BA4F55">
          <w:rPr>
            <w:webHidden/>
          </w:rPr>
          <w:fldChar w:fldCharType="end"/>
        </w:r>
      </w:hyperlink>
    </w:p>
    <w:p w14:paraId="6ECF6910" w14:textId="23AFCE2E" w:rsidR="00D6252F" w:rsidRDefault="00DA17FA" w:rsidP="009C2CD4">
      <w:pPr>
        <w:pStyle w:val="StyleSectionHeading"/>
        <w:tabs>
          <w:tab w:val="right" w:leader="dot" w:pos="7920"/>
        </w:tabs>
        <w:rPr>
          <w:noProof/>
        </w:rPr>
      </w:pPr>
      <w:r w:rsidRPr="000A2E03">
        <w:rPr>
          <w:rFonts w:ascii="Arial" w:hAnsi="Arial"/>
          <w:caps/>
          <w:sz w:val="18"/>
        </w:rPr>
        <w:fldChar w:fldCharType="end"/>
      </w:r>
      <w:r w:rsidR="002D2850" w:rsidRPr="00BA0740">
        <w:rPr>
          <w:noProof/>
        </w:rPr>
        <w:br w:type="page"/>
      </w:r>
      <w:r w:rsidR="002D2850" w:rsidRPr="00BA0740">
        <w:rPr>
          <w:noProof/>
        </w:rPr>
        <w:lastRenderedPageBreak/>
        <w:t xml:space="preserve">Table of </w:t>
      </w:r>
      <w:r w:rsidR="00FD23A8">
        <w:rPr>
          <w:noProof/>
        </w:rPr>
        <w:t>f</w:t>
      </w:r>
      <w:r w:rsidR="002D2850" w:rsidRPr="00BA0740">
        <w:rPr>
          <w:noProof/>
        </w:rPr>
        <w:t>igures</w:t>
      </w:r>
    </w:p>
    <w:p w14:paraId="24CA062C" w14:textId="4A7014FB" w:rsidR="00BA4F55" w:rsidRDefault="002D2850">
      <w:pPr>
        <w:pStyle w:val="Spisilustracji"/>
        <w:tabs>
          <w:tab w:val="right" w:leader="dot" w:pos="7940"/>
        </w:tabs>
        <w:rPr>
          <w:rFonts w:asciiTheme="minorHAnsi" w:eastAsiaTheme="minorEastAsia" w:hAnsiTheme="minorHAnsi" w:cstheme="minorBidi"/>
          <w:bCs w:val="0"/>
          <w:noProof/>
          <w:sz w:val="22"/>
          <w:szCs w:val="22"/>
          <w:lang w:val="en-US"/>
        </w:rPr>
      </w:pPr>
      <w:r w:rsidRPr="000A2E03">
        <w:fldChar w:fldCharType="begin"/>
      </w:r>
      <w:r w:rsidRPr="00BA0740">
        <w:rPr>
          <w:noProof/>
        </w:rPr>
        <w:instrText xml:space="preserve"> TOC \h \z \c "Figure" </w:instrText>
      </w:r>
      <w:r w:rsidRPr="000A2E03">
        <w:fldChar w:fldCharType="separate"/>
      </w:r>
      <w:hyperlink w:anchor="_Toc115717794" w:history="1">
        <w:r w:rsidR="00BA4F55" w:rsidRPr="00457752">
          <w:rPr>
            <w:rStyle w:val="Hipercze"/>
            <w:noProof/>
          </w:rPr>
          <w:t>Figure 1: Pharmaceutical companies’ R&amp;D expenditure is growing in all major markets, but fastest in the US and China</w:t>
        </w:r>
        <w:r w:rsidR="00BA4F55">
          <w:rPr>
            <w:noProof/>
            <w:webHidden/>
          </w:rPr>
          <w:tab/>
        </w:r>
        <w:r w:rsidR="00BA4F55">
          <w:rPr>
            <w:noProof/>
            <w:webHidden/>
          </w:rPr>
          <w:fldChar w:fldCharType="begin"/>
        </w:r>
        <w:r w:rsidR="00BA4F55">
          <w:rPr>
            <w:noProof/>
            <w:webHidden/>
          </w:rPr>
          <w:instrText xml:space="preserve"> PAGEREF _Toc115717794 \h </w:instrText>
        </w:r>
        <w:r w:rsidR="00BA4F55">
          <w:rPr>
            <w:noProof/>
            <w:webHidden/>
          </w:rPr>
        </w:r>
        <w:r w:rsidR="00BA4F55">
          <w:rPr>
            <w:noProof/>
            <w:webHidden/>
          </w:rPr>
          <w:fldChar w:fldCharType="separate"/>
        </w:r>
        <w:r w:rsidR="00BA4F55">
          <w:rPr>
            <w:noProof/>
            <w:webHidden/>
          </w:rPr>
          <w:t>12</w:t>
        </w:r>
        <w:r w:rsidR="00BA4F55">
          <w:rPr>
            <w:noProof/>
            <w:webHidden/>
          </w:rPr>
          <w:fldChar w:fldCharType="end"/>
        </w:r>
      </w:hyperlink>
    </w:p>
    <w:p w14:paraId="755B86A5" w14:textId="66509249"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795" w:history="1">
        <w:r w:rsidR="00BA4F55" w:rsidRPr="00457752">
          <w:rPr>
            <w:rStyle w:val="Hipercze"/>
            <w:noProof/>
          </w:rPr>
          <w:t>Figure 2: The US and China represent a growing share of biopharmaceutical R&amp;D investments made in major markets</w:t>
        </w:r>
        <w:r w:rsidR="00BA4F55">
          <w:rPr>
            <w:noProof/>
            <w:webHidden/>
          </w:rPr>
          <w:tab/>
        </w:r>
        <w:r w:rsidR="00BA4F55">
          <w:rPr>
            <w:noProof/>
            <w:webHidden/>
          </w:rPr>
          <w:fldChar w:fldCharType="begin"/>
        </w:r>
        <w:r w:rsidR="00BA4F55">
          <w:rPr>
            <w:noProof/>
            <w:webHidden/>
          </w:rPr>
          <w:instrText xml:space="preserve"> PAGEREF _Toc115717795 \h </w:instrText>
        </w:r>
        <w:r w:rsidR="00BA4F55">
          <w:rPr>
            <w:noProof/>
            <w:webHidden/>
          </w:rPr>
        </w:r>
        <w:r w:rsidR="00BA4F55">
          <w:rPr>
            <w:noProof/>
            <w:webHidden/>
          </w:rPr>
          <w:fldChar w:fldCharType="separate"/>
        </w:r>
        <w:r w:rsidR="00BA4F55">
          <w:rPr>
            <w:noProof/>
            <w:webHidden/>
          </w:rPr>
          <w:t>13</w:t>
        </w:r>
        <w:r w:rsidR="00BA4F55">
          <w:rPr>
            <w:noProof/>
            <w:webHidden/>
          </w:rPr>
          <w:fldChar w:fldCharType="end"/>
        </w:r>
      </w:hyperlink>
    </w:p>
    <w:p w14:paraId="53495EC7" w14:textId="600BF4D7"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796" w:history="1">
        <w:r w:rsidR="00BA4F55" w:rsidRPr="00457752">
          <w:rPr>
            <w:rStyle w:val="Hipercze"/>
            <w:noProof/>
          </w:rPr>
          <w:t>Figure 3: Pharmaceutical R&amp;D employment has grown at a much faster rate in China than in other major markets</w:t>
        </w:r>
        <w:r w:rsidR="00BA4F55">
          <w:rPr>
            <w:noProof/>
            <w:webHidden/>
          </w:rPr>
          <w:tab/>
        </w:r>
        <w:r w:rsidR="00BA4F55">
          <w:rPr>
            <w:noProof/>
            <w:webHidden/>
          </w:rPr>
          <w:fldChar w:fldCharType="begin"/>
        </w:r>
        <w:r w:rsidR="00BA4F55">
          <w:rPr>
            <w:noProof/>
            <w:webHidden/>
          </w:rPr>
          <w:instrText xml:space="preserve"> PAGEREF _Toc115717796 \h </w:instrText>
        </w:r>
        <w:r w:rsidR="00BA4F55">
          <w:rPr>
            <w:noProof/>
            <w:webHidden/>
          </w:rPr>
        </w:r>
        <w:r w:rsidR="00BA4F55">
          <w:rPr>
            <w:noProof/>
            <w:webHidden/>
          </w:rPr>
          <w:fldChar w:fldCharType="separate"/>
        </w:r>
        <w:r w:rsidR="00BA4F55">
          <w:rPr>
            <w:noProof/>
            <w:webHidden/>
          </w:rPr>
          <w:t>14</w:t>
        </w:r>
        <w:r w:rsidR="00BA4F55">
          <w:rPr>
            <w:noProof/>
            <w:webHidden/>
          </w:rPr>
          <w:fldChar w:fldCharType="end"/>
        </w:r>
      </w:hyperlink>
    </w:p>
    <w:p w14:paraId="40C5D56E" w14:textId="40A7DE4E"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797" w:history="1">
        <w:r w:rsidR="00BA4F55" w:rsidRPr="00457752">
          <w:rPr>
            <w:rStyle w:val="Hipercze"/>
            <w:noProof/>
          </w:rPr>
          <w:t>Figure 4: US continues to outcompete Europe, China and Japan as the most attractive location for industry-sponsored clinical trials*</w:t>
        </w:r>
        <w:r w:rsidR="00BA4F55">
          <w:rPr>
            <w:noProof/>
            <w:webHidden/>
          </w:rPr>
          <w:tab/>
        </w:r>
        <w:r w:rsidR="00BA4F55">
          <w:rPr>
            <w:noProof/>
            <w:webHidden/>
          </w:rPr>
          <w:fldChar w:fldCharType="begin"/>
        </w:r>
        <w:r w:rsidR="00BA4F55">
          <w:rPr>
            <w:noProof/>
            <w:webHidden/>
          </w:rPr>
          <w:instrText xml:space="preserve"> PAGEREF _Toc115717797 \h </w:instrText>
        </w:r>
        <w:r w:rsidR="00BA4F55">
          <w:rPr>
            <w:noProof/>
            <w:webHidden/>
          </w:rPr>
        </w:r>
        <w:r w:rsidR="00BA4F55">
          <w:rPr>
            <w:noProof/>
            <w:webHidden/>
          </w:rPr>
          <w:fldChar w:fldCharType="separate"/>
        </w:r>
        <w:r w:rsidR="00BA4F55">
          <w:rPr>
            <w:noProof/>
            <w:webHidden/>
          </w:rPr>
          <w:t>16</w:t>
        </w:r>
        <w:r w:rsidR="00BA4F55">
          <w:rPr>
            <w:noProof/>
            <w:webHidden/>
          </w:rPr>
          <w:fldChar w:fldCharType="end"/>
        </w:r>
      </w:hyperlink>
    </w:p>
    <w:p w14:paraId="0099AE56" w14:textId="64BD42F2"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798" w:history="1">
        <w:r w:rsidR="00BA4F55" w:rsidRPr="00457752">
          <w:rPr>
            <w:rStyle w:val="Hipercze"/>
            <w:noProof/>
          </w:rPr>
          <w:t>Figure 5: The location of Advanced Therapy Medicinal Products (ATMP) clinical trials differ from the overall geographic pattern of biopharma clinical trial activity</w:t>
        </w:r>
        <w:r w:rsidR="00BA4F55">
          <w:rPr>
            <w:noProof/>
            <w:webHidden/>
          </w:rPr>
          <w:tab/>
        </w:r>
        <w:r w:rsidR="00BA4F55">
          <w:rPr>
            <w:noProof/>
            <w:webHidden/>
          </w:rPr>
          <w:fldChar w:fldCharType="begin"/>
        </w:r>
        <w:r w:rsidR="00BA4F55">
          <w:rPr>
            <w:noProof/>
            <w:webHidden/>
          </w:rPr>
          <w:instrText xml:space="preserve"> PAGEREF _Toc115717798 \h </w:instrText>
        </w:r>
        <w:r w:rsidR="00BA4F55">
          <w:rPr>
            <w:noProof/>
            <w:webHidden/>
          </w:rPr>
        </w:r>
        <w:r w:rsidR="00BA4F55">
          <w:rPr>
            <w:noProof/>
            <w:webHidden/>
          </w:rPr>
          <w:fldChar w:fldCharType="separate"/>
        </w:r>
        <w:r w:rsidR="00BA4F55">
          <w:rPr>
            <w:noProof/>
            <w:webHidden/>
          </w:rPr>
          <w:t>18</w:t>
        </w:r>
        <w:r w:rsidR="00BA4F55">
          <w:rPr>
            <w:noProof/>
            <w:webHidden/>
          </w:rPr>
          <w:fldChar w:fldCharType="end"/>
        </w:r>
      </w:hyperlink>
    </w:p>
    <w:p w14:paraId="22C1D6C3" w14:textId="2F70CCEC"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799" w:history="1">
        <w:r w:rsidR="00BA4F55" w:rsidRPr="00457752">
          <w:rPr>
            <w:rStyle w:val="Hipercze"/>
            <w:noProof/>
          </w:rPr>
          <w:t>Figure 6: Relative growth in pharmaceutical manufacturing (including APIs and generics) is greatest in China</w:t>
        </w:r>
        <w:r w:rsidR="00BA4F55">
          <w:rPr>
            <w:noProof/>
            <w:webHidden/>
          </w:rPr>
          <w:tab/>
        </w:r>
        <w:r w:rsidR="00BA4F55">
          <w:rPr>
            <w:noProof/>
            <w:webHidden/>
          </w:rPr>
          <w:fldChar w:fldCharType="begin"/>
        </w:r>
        <w:r w:rsidR="00BA4F55">
          <w:rPr>
            <w:noProof/>
            <w:webHidden/>
          </w:rPr>
          <w:instrText xml:space="preserve"> PAGEREF _Toc115717799 \h </w:instrText>
        </w:r>
        <w:r w:rsidR="00BA4F55">
          <w:rPr>
            <w:noProof/>
            <w:webHidden/>
          </w:rPr>
        </w:r>
        <w:r w:rsidR="00BA4F55">
          <w:rPr>
            <w:noProof/>
            <w:webHidden/>
          </w:rPr>
          <w:fldChar w:fldCharType="separate"/>
        </w:r>
        <w:r w:rsidR="00BA4F55">
          <w:rPr>
            <w:noProof/>
            <w:webHidden/>
          </w:rPr>
          <w:t>21</w:t>
        </w:r>
        <w:r w:rsidR="00BA4F55">
          <w:rPr>
            <w:noProof/>
            <w:webHidden/>
          </w:rPr>
          <w:fldChar w:fldCharType="end"/>
        </w:r>
      </w:hyperlink>
    </w:p>
    <w:p w14:paraId="0158AF31" w14:textId="37687068"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0" w:history="1">
        <w:r w:rsidR="00BA4F55" w:rsidRPr="00457752">
          <w:rPr>
            <w:rStyle w:val="Hipercze"/>
            <w:noProof/>
          </w:rPr>
          <w:t>Figure 7: The number of facilities capable of producing ATMPs is highest in the US</w:t>
        </w:r>
        <w:r w:rsidR="00BA4F55">
          <w:rPr>
            <w:noProof/>
            <w:webHidden/>
          </w:rPr>
          <w:tab/>
        </w:r>
        <w:r w:rsidR="00BA4F55">
          <w:rPr>
            <w:noProof/>
            <w:webHidden/>
          </w:rPr>
          <w:fldChar w:fldCharType="begin"/>
        </w:r>
        <w:r w:rsidR="00BA4F55">
          <w:rPr>
            <w:noProof/>
            <w:webHidden/>
          </w:rPr>
          <w:instrText xml:space="preserve"> PAGEREF _Toc115717800 \h </w:instrText>
        </w:r>
        <w:r w:rsidR="00BA4F55">
          <w:rPr>
            <w:noProof/>
            <w:webHidden/>
          </w:rPr>
        </w:r>
        <w:r w:rsidR="00BA4F55">
          <w:rPr>
            <w:noProof/>
            <w:webHidden/>
          </w:rPr>
          <w:fldChar w:fldCharType="separate"/>
        </w:r>
        <w:r w:rsidR="00BA4F55">
          <w:rPr>
            <w:noProof/>
            <w:webHidden/>
          </w:rPr>
          <w:t>22</w:t>
        </w:r>
        <w:r w:rsidR="00BA4F55">
          <w:rPr>
            <w:noProof/>
            <w:webHidden/>
          </w:rPr>
          <w:fldChar w:fldCharType="end"/>
        </w:r>
      </w:hyperlink>
    </w:p>
    <w:p w14:paraId="42459A31" w14:textId="35EADB70"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1" w:history="1">
        <w:r w:rsidR="00BA4F55" w:rsidRPr="00457752">
          <w:rPr>
            <w:rStyle w:val="Hipercze"/>
            <w:noProof/>
          </w:rPr>
          <w:t>Figure 8: Europe as a region still attracts more pharmaceutical greenfield FDI projects than the US or China</w:t>
        </w:r>
        <w:r w:rsidR="00BA4F55">
          <w:rPr>
            <w:noProof/>
            <w:webHidden/>
          </w:rPr>
          <w:tab/>
        </w:r>
        <w:r w:rsidR="00BA4F55">
          <w:rPr>
            <w:noProof/>
            <w:webHidden/>
          </w:rPr>
          <w:fldChar w:fldCharType="begin"/>
        </w:r>
        <w:r w:rsidR="00BA4F55">
          <w:rPr>
            <w:noProof/>
            <w:webHidden/>
          </w:rPr>
          <w:instrText xml:space="preserve"> PAGEREF _Toc115717801 \h </w:instrText>
        </w:r>
        <w:r w:rsidR="00BA4F55">
          <w:rPr>
            <w:noProof/>
            <w:webHidden/>
          </w:rPr>
        </w:r>
        <w:r w:rsidR="00BA4F55">
          <w:rPr>
            <w:noProof/>
            <w:webHidden/>
          </w:rPr>
          <w:fldChar w:fldCharType="separate"/>
        </w:r>
        <w:r w:rsidR="00BA4F55">
          <w:rPr>
            <w:noProof/>
            <w:webHidden/>
          </w:rPr>
          <w:t>23</w:t>
        </w:r>
        <w:r w:rsidR="00BA4F55">
          <w:rPr>
            <w:noProof/>
            <w:webHidden/>
          </w:rPr>
          <w:fldChar w:fldCharType="end"/>
        </w:r>
      </w:hyperlink>
    </w:p>
    <w:p w14:paraId="03393285" w14:textId="5FC5F6CA"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2" w:history="1">
        <w:r w:rsidR="00BA4F55" w:rsidRPr="00457752">
          <w:rPr>
            <w:rStyle w:val="Hipercze"/>
            <w:noProof/>
          </w:rPr>
          <w:t>Figure 9: Europe has retained its position as the biggest exporter of pharmaceuticals compared to the US, China and Japan over the last decade</w:t>
        </w:r>
        <w:r w:rsidR="00BA4F55">
          <w:rPr>
            <w:noProof/>
            <w:webHidden/>
          </w:rPr>
          <w:tab/>
        </w:r>
        <w:r w:rsidR="00BA4F55">
          <w:rPr>
            <w:noProof/>
            <w:webHidden/>
          </w:rPr>
          <w:fldChar w:fldCharType="begin"/>
        </w:r>
        <w:r w:rsidR="00BA4F55">
          <w:rPr>
            <w:noProof/>
            <w:webHidden/>
          </w:rPr>
          <w:instrText xml:space="preserve"> PAGEREF _Toc115717802 \h </w:instrText>
        </w:r>
        <w:r w:rsidR="00BA4F55">
          <w:rPr>
            <w:noProof/>
            <w:webHidden/>
          </w:rPr>
        </w:r>
        <w:r w:rsidR="00BA4F55">
          <w:rPr>
            <w:noProof/>
            <w:webHidden/>
          </w:rPr>
          <w:fldChar w:fldCharType="separate"/>
        </w:r>
        <w:r w:rsidR="00BA4F55">
          <w:rPr>
            <w:noProof/>
            <w:webHidden/>
          </w:rPr>
          <w:t>24</w:t>
        </w:r>
        <w:r w:rsidR="00BA4F55">
          <w:rPr>
            <w:noProof/>
            <w:webHidden/>
          </w:rPr>
          <w:fldChar w:fldCharType="end"/>
        </w:r>
      </w:hyperlink>
    </w:p>
    <w:p w14:paraId="4453BE15" w14:textId="3377BB87"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3" w:history="1">
        <w:r w:rsidR="00BA4F55" w:rsidRPr="00457752">
          <w:rPr>
            <w:rStyle w:val="Hipercze"/>
            <w:noProof/>
          </w:rPr>
          <w:t>Figure 10: The US and China are the top performers in more investment performance metrics than Europe, exhibiting stronger growth trends</w:t>
        </w:r>
        <w:r w:rsidR="00BA4F55">
          <w:rPr>
            <w:noProof/>
            <w:webHidden/>
          </w:rPr>
          <w:tab/>
        </w:r>
        <w:r w:rsidR="00BA4F55">
          <w:rPr>
            <w:noProof/>
            <w:webHidden/>
          </w:rPr>
          <w:fldChar w:fldCharType="begin"/>
        </w:r>
        <w:r w:rsidR="00BA4F55">
          <w:rPr>
            <w:noProof/>
            <w:webHidden/>
          </w:rPr>
          <w:instrText xml:space="preserve"> PAGEREF _Toc115717803 \h </w:instrText>
        </w:r>
        <w:r w:rsidR="00BA4F55">
          <w:rPr>
            <w:noProof/>
            <w:webHidden/>
          </w:rPr>
        </w:r>
        <w:r w:rsidR="00BA4F55">
          <w:rPr>
            <w:noProof/>
            <w:webHidden/>
          </w:rPr>
          <w:fldChar w:fldCharType="separate"/>
        </w:r>
        <w:r w:rsidR="00BA4F55">
          <w:rPr>
            <w:noProof/>
            <w:webHidden/>
          </w:rPr>
          <w:t>25</w:t>
        </w:r>
        <w:r w:rsidR="00BA4F55">
          <w:rPr>
            <w:noProof/>
            <w:webHidden/>
          </w:rPr>
          <w:fldChar w:fldCharType="end"/>
        </w:r>
      </w:hyperlink>
    </w:p>
    <w:p w14:paraId="5BAFF416" w14:textId="6A83B490"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4" w:history="1">
        <w:r w:rsidR="00BA4F55" w:rsidRPr="00457752">
          <w:rPr>
            <w:rStyle w:val="Hipercze"/>
            <w:noProof/>
          </w:rPr>
          <w:t>Figure 11: The majority of large multinational pharmaceutical companies now have an R&amp;D centre in China</w:t>
        </w:r>
        <w:r w:rsidR="00BA4F55">
          <w:rPr>
            <w:noProof/>
            <w:webHidden/>
          </w:rPr>
          <w:tab/>
        </w:r>
        <w:r w:rsidR="00BA4F55">
          <w:rPr>
            <w:noProof/>
            <w:webHidden/>
          </w:rPr>
          <w:fldChar w:fldCharType="begin"/>
        </w:r>
        <w:r w:rsidR="00BA4F55">
          <w:rPr>
            <w:noProof/>
            <w:webHidden/>
          </w:rPr>
          <w:instrText xml:space="preserve"> PAGEREF _Toc115717804 \h </w:instrText>
        </w:r>
        <w:r w:rsidR="00BA4F55">
          <w:rPr>
            <w:noProof/>
            <w:webHidden/>
          </w:rPr>
        </w:r>
        <w:r w:rsidR="00BA4F55">
          <w:rPr>
            <w:noProof/>
            <w:webHidden/>
          </w:rPr>
          <w:fldChar w:fldCharType="separate"/>
        </w:r>
        <w:r w:rsidR="00BA4F55">
          <w:rPr>
            <w:noProof/>
            <w:webHidden/>
          </w:rPr>
          <w:t>29</w:t>
        </w:r>
        <w:r w:rsidR="00BA4F55">
          <w:rPr>
            <w:noProof/>
            <w:webHidden/>
          </w:rPr>
          <w:fldChar w:fldCharType="end"/>
        </w:r>
      </w:hyperlink>
    </w:p>
    <w:p w14:paraId="0833D347" w14:textId="1B1FF94A"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5" w:history="1">
        <w:r w:rsidR="00BA4F55" w:rsidRPr="00457752">
          <w:rPr>
            <w:rStyle w:val="Hipercze"/>
            <w:noProof/>
          </w:rPr>
          <w:t>Figure 12: There has been strong growth in the number of clinical trials employing digital technologies or virtual interactions</w:t>
        </w:r>
        <w:r w:rsidR="00BA4F55">
          <w:rPr>
            <w:noProof/>
            <w:webHidden/>
          </w:rPr>
          <w:tab/>
        </w:r>
        <w:r w:rsidR="00BA4F55">
          <w:rPr>
            <w:noProof/>
            <w:webHidden/>
          </w:rPr>
          <w:fldChar w:fldCharType="begin"/>
        </w:r>
        <w:r w:rsidR="00BA4F55">
          <w:rPr>
            <w:noProof/>
            <w:webHidden/>
          </w:rPr>
          <w:instrText xml:space="preserve"> PAGEREF _Toc115717805 \h </w:instrText>
        </w:r>
        <w:r w:rsidR="00BA4F55">
          <w:rPr>
            <w:noProof/>
            <w:webHidden/>
          </w:rPr>
        </w:r>
        <w:r w:rsidR="00BA4F55">
          <w:rPr>
            <w:noProof/>
            <w:webHidden/>
          </w:rPr>
          <w:fldChar w:fldCharType="separate"/>
        </w:r>
        <w:r w:rsidR="00BA4F55">
          <w:rPr>
            <w:noProof/>
            <w:webHidden/>
          </w:rPr>
          <w:t>35</w:t>
        </w:r>
        <w:r w:rsidR="00BA4F55">
          <w:rPr>
            <w:noProof/>
            <w:webHidden/>
          </w:rPr>
          <w:fldChar w:fldCharType="end"/>
        </w:r>
      </w:hyperlink>
    </w:p>
    <w:p w14:paraId="473CF1C1" w14:textId="6C2A1605"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6" w:history="1">
        <w:r w:rsidR="00BA4F55" w:rsidRPr="00457752">
          <w:rPr>
            <w:rStyle w:val="Hipercze"/>
            <w:noProof/>
          </w:rPr>
          <w:t>Figure 13: The location of clinical trial sites and commercial sales of first cell therapies are similar</w:t>
        </w:r>
        <w:r w:rsidR="00BA4F55">
          <w:rPr>
            <w:noProof/>
            <w:webHidden/>
          </w:rPr>
          <w:tab/>
        </w:r>
        <w:r w:rsidR="00BA4F55">
          <w:rPr>
            <w:noProof/>
            <w:webHidden/>
          </w:rPr>
          <w:fldChar w:fldCharType="begin"/>
        </w:r>
        <w:r w:rsidR="00BA4F55">
          <w:rPr>
            <w:noProof/>
            <w:webHidden/>
          </w:rPr>
          <w:instrText xml:space="preserve"> PAGEREF _Toc115717806 \h </w:instrText>
        </w:r>
        <w:r w:rsidR="00BA4F55">
          <w:rPr>
            <w:noProof/>
            <w:webHidden/>
          </w:rPr>
        </w:r>
        <w:r w:rsidR="00BA4F55">
          <w:rPr>
            <w:noProof/>
            <w:webHidden/>
          </w:rPr>
          <w:fldChar w:fldCharType="separate"/>
        </w:r>
        <w:r w:rsidR="00BA4F55">
          <w:rPr>
            <w:noProof/>
            <w:webHidden/>
          </w:rPr>
          <w:t>38</w:t>
        </w:r>
        <w:r w:rsidR="00BA4F55">
          <w:rPr>
            <w:noProof/>
            <w:webHidden/>
          </w:rPr>
          <w:fldChar w:fldCharType="end"/>
        </w:r>
      </w:hyperlink>
    </w:p>
    <w:p w14:paraId="08136457" w14:textId="139E0AFA"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7" w:history="1">
        <w:r w:rsidR="00BA4F55" w:rsidRPr="00457752">
          <w:rPr>
            <w:rStyle w:val="Hipercze"/>
            <w:noProof/>
          </w:rPr>
          <w:t>Figure 14: The decision of where to locate manufacturing activities depends on which type of activity is being undertaken</w:t>
        </w:r>
        <w:r w:rsidR="00BA4F55">
          <w:rPr>
            <w:noProof/>
            <w:webHidden/>
          </w:rPr>
          <w:tab/>
        </w:r>
        <w:r w:rsidR="00BA4F55">
          <w:rPr>
            <w:noProof/>
            <w:webHidden/>
          </w:rPr>
          <w:fldChar w:fldCharType="begin"/>
        </w:r>
        <w:r w:rsidR="00BA4F55">
          <w:rPr>
            <w:noProof/>
            <w:webHidden/>
          </w:rPr>
          <w:instrText xml:space="preserve"> PAGEREF _Toc115717807 \h </w:instrText>
        </w:r>
        <w:r w:rsidR="00BA4F55">
          <w:rPr>
            <w:noProof/>
            <w:webHidden/>
          </w:rPr>
        </w:r>
        <w:r w:rsidR="00BA4F55">
          <w:rPr>
            <w:noProof/>
            <w:webHidden/>
          </w:rPr>
          <w:fldChar w:fldCharType="separate"/>
        </w:r>
        <w:r w:rsidR="00BA4F55">
          <w:rPr>
            <w:noProof/>
            <w:webHidden/>
          </w:rPr>
          <w:t>40</w:t>
        </w:r>
        <w:r w:rsidR="00BA4F55">
          <w:rPr>
            <w:noProof/>
            <w:webHidden/>
          </w:rPr>
          <w:fldChar w:fldCharType="end"/>
        </w:r>
      </w:hyperlink>
    </w:p>
    <w:p w14:paraId="6AFD0E4E" w14:textId="32DC80E5"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8" w:history="1">
        <w:r w:rsidR="00BA4F55" w:rsidRPr="00457752">
          <w:rPr>
            <w:rStyle w:val="Hipercze"/>
            <w:noProof/>
          </w:rPr>
          <w:t>Figure 15: Summary of factors driving the location of biopharmaceutical investments</w:t>
        </w:r>
        <w:r w:rsidR="00BA4F55">
          <w:rPr>
            <w:noProof/>
            <w:webHidden/>
          </w:rPr>
          <w:tab/>
        </w:r>
        <w:r w:rsidR="00BA4F55">
          <w:rPr>
            <w:noProof/>
            <w:webHidden/>
          </w:rPr>
          <w:fldChar w:fldCharType="begin"/>
        </w:r>
        <w:r w:rsidR="00BA4F55">
          <w:rPr>
            <w:noProof/>
            <w:webHidden/>
          </w:rPr>
          <w:instrText xml:space="preserve"> PAGEREF _Toc115717808 \h </w:instrText>
        </w:r>
        <w:r w:rsidR="00BA4F55">
          <w:rPr>
            <w:noProof/>
            <w:webHidden/>
          </w:rPr>
        </w:r>
        <w:r w:rsidR="00BA4F55">
          <w:rPr>
            <w:noProof/>
            <w:webHidden/>
          </w:rPr>
          <w:fldChar w:fldCharType="separate"/>
        </w:r>
        <w:r w:rsidR="00BA4F55">
          <w:rPr>
            <w:noProof/>
            <w:webHidden/>
          </w:rPr>
          <w:t>51</w:t>
        </w:r>
        <w:r w:rsidR="00BA4F55">
          <w:rPr>
            <w:noProof/>
            <w:webHidden/>
          </w:rPr>
          <w:fldChar w:fldCharType="end"/>
        </w:r>
      </w:hyperlink>
    </w:p>
    <w:p w14:paraId="091AC917" w14:textId="7E6ACEFC"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09" w:history="1">
        <w:r w:rsidR="00BA4F55" w:rsidRPr="00457752">
          <w:rPr>
            <w:rStyle w:val="Hipercze"/>
            <w:noProof/>
          </w:rPr>
          <w:t>Figure 16: NIH spending per capita is greater in the strongest US bioclusters</w:t>
        </w:r>
        <w:r w:rsidR="00BA4F55">
          <w:rPr>
            <w:noProof/>
            <w:webHidden/>
          </w:rPr>
          <w:tab/>
        </w:r>
        <w:r w:rsidR="00BA4F55">
          <w:rPr>
            <w:noProof/>
            <w:webHidden/>
          </w:rPr>
          <w:fldChar w:fldCharType="begin"/>
        </w:r>
        <w:r w:rsidR="00BA4F55">
          <w:rPr>
            <w:noProof/>
            <w:webHidden/>
          </w:rPr>
          <w:instrText xml:space="preserve"> PAGEREF _Toc115717809 \h </w:instrText>
        </w:r>
        <w:r w:rsidR="00BA4F55">
          <w:rPr>
            <w:noProof/>
            <w:webHidden/>
          </w:rPr>
        </w:r>
        <w:r w:rsidR="00BA4F55">
          <w:rPr>
            <w:noProof/>
            <w:webHidden/>
          </w:rPr>
          <w:fldChar w:fldCharType="separate"/>
        </w:r>
        <w:r w:rsidR="00BA4F55">
          <w:rPr>
            <w:noProof/>
            <w:webHidden/>
          </w:rPr>
          <w:t>54</w:t>
        </w:r>
        <w:r w:rsidR="00BA4F55">
          <w:rPr>
            <w:noProof/>
            <w:webHidden/>
          </w:rPr>
          <w:fldChar w:fldCharType="end"/>
        </w:r>
      </w:hyperlink>
    </w:p>
    <w:p w14:paraId="63A1297B" w14:textId="27EC2B01"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0" w:history="1">
        <w:r w:rsidR="00BA4F55" w:rsidRPr="00457752">
          <w:rPr>
            <w:rStyle w:val="Hipercze"/>
            <w:noProof/>
          </w:rPr>
          <w:t>Figure 17: Horizon 2020 research spending in Europe is not concentrated in Member States with high R&amp;D activity</w:t>
        </w:r>
        <w:r w:rsidR="00BA4F55">
          <w:rPr>
            <w:noProof/>
            <w:webHidden/>
          </w:rPr>
          <w:tab/>
        </w:r>
        <w:r w:rsidR="00BA4F55">
          <w:rPr>
            <w:noProof/>
            <w:webHidden/>
          </w:rPr>
          <w:fldChar w:fldCharType="begin"/>
        </w:r>
        <w:r w:rsidR="00BA4F55">
          <w:rPr>
            <w:noProof/>
            <w:webHidden/>
          </w:rPr>
          <w:instrText xml:space="preserve"> PAGEREF _Toc115717810 \h </w:instrText>
        </w:r>
        <w:r w:rsidR="00BA4F55">
          <w:rPr>
            <w:noProof/>
            <w:webHidden/>
          </w:rPr>
        </w:r>
        <w:r w:rsidR="00BA4F55">
          <w:rPr>
            <w:noProof/>
            <w:webHidden/>
          </w:rPr>
          <w:fldChar w:fldCharType="separate"/>
        </w:r>
        <w:r w:rsidR="00BA4F55">
          <w:rPr>
            <w:noProof/>
            <w:webHidden/>
          </w:rPr>
          <w:t>55</w:t>
        </w:r>
        <w:r w:rsidR="00BA4F55">
          <w:rPr>
            <w:noProof/>
            <w:webHidden/>
          </w:rPr>
          <w:fldChar w:fldCharType="end"/>
        </w:r>
      </w:hyperlink>
    </w:p>
    <w:p w14:paraId="38C14161" w14:textId="60484C94"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1" w:history="1">
        <w:r w:rsidR="00BA4F55" w:rsidRPr="00457752">
          <w:rPr>
            <w:rStyle w:val="Hipercze"/>
            <w:noProof/>
          </w:rPr>
          <w:t>Figure 18: Individual European clusters are outcompeted by those in the US based on presence of major biopharmaceutical companies</w:t>
        </w:r>
        <w:r w:rsidR="00BA4F55">
          <w:rPr>
            <w:noProof/>
            <w:webHidden/>
          </w:rPr>
          <w:tab/>
        </w:r>
        <w:r w:rsidR="00BA4F55">
          <w:rPr>
            <w:noProof/>
            <w:webHidden/>
          </w:rPr>
          <w:fldChar w:fldCharType="begin"/>
        </w:r>
        <w:r w:rsidR="00BA4F55">
          <w:rPr>
            <w:noProof/>
            <w:webHidden/>
          </w:rPr>
          <w:instrText xml:space="preserve"> PAGEREF _Toc115717811 \h </w:instrText>
        </w:r>
        <w:r w:rsidR="00BA4F55">
          <w:rPr>
            <w:noProof/>
            <w:webHidden/>
          </w:rPr>
        </w:r>
        <w:r w:rsidR="00BA4F55">
          <w:rPr>
            <w:noProof/>
            <w:webHidden/>
          </w:rPr>
          <w:fldChar w:fldCharType="separate"/>
        </w:r>
        <w:r w:rsidR="00BA4F55">
          <w:rPr>
            <w:noProof/>
            <w:webHidden/>
          </w:rPr>
          <w:t>56</w:t>
        </w:r>
        <w:r w:rsidR="00BA4F55">
          <w:rPr>
            <w:noProof/>
            <w:webHidden/>
          </w:rPr>
          <w:fldChar w:fldCharType="end"/>
        </w:r>
      </w:hyperlink>
    </w:p>
    <w:p w14:paraId="68F5FD14" w14:textId="1BCE86C6"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2" w:history="1">
        <w:r w:rsidR="00BA4F55" w:rsidRPr="00457752">
          <w:rPr>
            <w:rStyle w:val="Hipercze"/>
            <w:noProof/>
          </w:rPr>
          <w:t>Figure 19: There is a degree of interconnectivity in the value chain for ATMPs, between research, clinical development and manufacturing</w:t>
        </w:r>
        <w:r w:rsidR="00BA4F55">
          <w:rPr>
            <w:noProof/>
            <w:webHidden/>
          </w:rPr>
          <w:tab/>
        </w:r>
        <w:r w:rsidR="00BA4F55">
          <w:rPr>
            <w:noProof/>
            <w:webHidden/>
          </w:rPr>
          <w:fldChar w:fldCharType="begin"/>
        </w:r>
        <w:r w:rsidR="00BA4F55">
          <w:rPr>
            <w:noProof/>
            <w:webHidden/>
          </w:rPr>
          <w:instrText xml:space="preserve"> PAGEREF _Toc115717812 \h </w:instrText>
        </w:r>
        <w:r w:rsidR="00BA4F55">
          <w:rPr>
            <w:noProof/>
            <w:webHidden/>
          </w:rPr>
        </w:r>
        <w:r w:rsidR="00BA4F55">
          <w:rPr>
            <w:noProof/>
            <w:webHidden/>
          </w:rPr>
          <w:fldChar w:fldCharType="separate"/>
        </w:r>
        <w:r w:rsidR="00BA4F55">
          <w:rPr>
            <w:noProof/>
            <w:webHidden/>
          </w:rPr>
          <w:t>61</w:t>
        </w:r>
        <w:r w:rsidR="00BA4F55">
          <w:rPr>
            <w:noProof/>
            <w:webHidden/>
          </w:rPr>
          <w:fldChar w:fldCharType="end"/>
        </w:r>
      </w:hyperlink>
    </w:p>
    <w:p w14:paraId="3FFAD61C" w14:textId="6171526C"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3" w:history="1">
        <w:r w:rsidR="00BA4F55" w:rsidRPr="00457752">
          <w:rPr>
            <w:rStyle w:val="Hipercze"/>
            <w:noProof/>
          </w:rPr>
          <w:t>Figure 20: Europe’s strongest biopharma R&amp;D centres do not rank highly on digital competitiveness</w:t>
        </w:r>
        <w:r w:rsidR="00BA4F55">
          <w:rPr>
            <w:noProof/>
            <w:webHidden/>
          </w:rPr>
          <w:tab/>
        </w:r>
        <w:r w:rsidR="00BA4F55">
          <w:rPr>
            <w:noProof/>
            <w:webHidden/>
          </w:rPr>
          <w:fldChar w:fldCharType="begin"/>
        </w:r>
        <w:r w:rsidR="00BA4F55">
          <w:rPr>
            <w:noProof/>
            <w:webHidden/>
          </w:rPr>
          <w:instrText xml:space="preserve"> PAGEREF _Toc115717813 \h </w:instrText>
        </w:r>
        <w:r w:rsidR="00BA4F55">
          <w:rPr>
            <w:noProof/>
            <w:webHidden/>
          </w:rPr>
        </w:r>
        <w:r w:rsidR="00BA4F55">
          <w:rPr>
            <w:noProof/>
            <w:webHidden/>
          </w:rPr>
          <w:fldChar w:fldCharType="separate"/>
        </w:r>
        <w:r w:rsidR="00BA4F55">
          <w:rPr>
            <w:noProof/>
            <w:webHidden/>
          </w:rPr>
          <w:t>68</w:t>
        </w:r>
        <w:r w:rsidR="00BA4F55">
          <w:rPr>
            <w:noProof/>
            <w:webHidden/>
          </w:rPr>
          <w:fldChar w:fldCharType="end"/>
        </w:r>
      </w:hyperlink>
    </w:p>
    <w:p w14:paraId="43E22E0B" w14:textId="14F4D4F4" w:rsidR="00A37509" w:rsidRDefault="002D2850" w:rsidP="009C2CD4">
      <w:pPr>
        <w:pStyle w:val="StyleSectionHeading"/>
        <w:tabs>
          <w:tab w:val="right" w:leader="dot" w:pos="7920"/>
        </w:tabs>
        <w:rPr>
          <w:noProof/>
        </w:rPr>
      </w:pPr>
      <w:r w:rsidRPr="000A2E03">
        <w:rPr>
          <w:b w:val="0"/>
        </w:rPr>
        <w:lastRenderedPageBreak/>
        <w:fldChar w:fldCharType="end"/>
      </w:r>
      <w:r w:rsidRPr="00BA0740">
        <w:rPr>
          <w:noProof/>
        </w:rPr>
        <w:t xml:space="preserve">Table of </w:t>
      </w:r>
      <w:r w:rsidR="00FD23A8">
        <w:rPr>
          <w:noProof/>
        </w:rPr>
        <w:t>t</w:t>
      </w:r>
      <w:r w:rsidRPr="00BA0740">
        <w:rPr>
          <w:noProof/>
        </w:rPr>
        <w:t>ables</w:t>
      </w:r>
    </w:p>
    <w:p w14:paraId="67160C4C" w14:textId="1680F760" w:rsidR="00BA4F55" w:rsidRDefault="002D2850">
      <w:pPr>
        <w:pStyle w:val="Spisilustracji"/>
        <w:tabs>
          <w:tab w:val="right" w:leader="dot" w:pos="7940"/>
        </w:tabs>
        <w:rPr>
          <w:rFonts w:asciiTheme="minorHAnsi" w:eastAsiaTheme="minorEastAsia" w:hAnsiTheme="minorHAnsi" w:cstheme="minorBidi"/>
          <w:bCs w:val="0"/>
          <w:noProof/>
          <w:sz w:val="22"/>
          <w:szCs w:val="22"/>
          <w:lang w:val="en-US"/>
        </w:rPr>
      </w:pPr>
      <w:r w:rsidRPr="000A2E03">
        <w:fldChar w:fldCharType="begin"/>
      </w:r>
      <w:r w:rsidRPr="00BA0740">
        <w:rPr>
          <w:noProof/>
        </w:rPr>
        <w:instrText xml:space="preserve"> TOC \h \z \c "Table" </w:instrText>
      </w:r>
      <w:r w:rsidRPr="000A2E03">
        <w:fldChar w:fldCharType="separate"/>
      </w:r>
      <w:hyperlink w:anchor="_Toc115717814" w:history="1">
        <w:r w:rsidR="00BA4F55" w:rsidRPr="005F231D">
          <w:rPr>
            <w:rStyle w:val="Hipercze"/>
            <w:noProof/>
          </w:rPr>
          <w:t>Table 1: Guidance regarding regulatory requirements for local clinical trial evidence appears to be relatively uniform</w:t>
        </w:r>
        <w:r w:rsidR="00BA4F55">
          <w:rPr>
            <w:noProof/>
            <w:webHidden/>
          </w:rPr>
          <w:tab/>
        </w:r>
        <w:r w:rsidR="00BA4F55">
          <w:rPr>
            <w:noProof/>
            <w:webHidden/>
          </w:rPr>
          <w:fldChar w:fldCharType="begin"/>
        </w:r>
        <w:r w:rsidR="00BA4F55">
          <w:rPr>
            <w:noProof/>
            <w:webHidden/>
          </w:rPr>
          <w:instrText xml:space="preserve"> PAGEREF _Toc115717814 \h </w:instrText>
        </w:r>
        <w:r w:rsidR="00BA4F55">
          <w:rPr>
            <w:noProof/>
            <w:webHidden/>
          </w:rPr>
        </w:r>
        <w:r w:rsidR="00BA4F55">
          <w:rPr>
            <w:noProof/>
            <w:webHidden/>
          </w:rPr>
          <w:fldChar w:fldCharType="separate"/>
        </w:r>
        <w:r w:rsidR="00BA4F55">
          <w:rPr>
            <w:noProof/>
            <w:webHidden/>
          </w:rPr>
          <w:t>32</w:t>
        </w:r>
        <w:r w:rsidR="00BA4F55">
          <w:rPr>
            <w:noProof/>
            <w:webHidden/>
          </w:rPr>
          <w:fldChar w:fldCharType="end"/>
        </w:r>
      </w:hyperlink>
    </w:p>
    <w:p w14:paraId="53E2BF36" w14:textId="6D0BBE14"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5" w:history="1">
        <w:r w:rsidR="00BA4F55" w:rsidRPr="005F231D">
          <w:rPr>
            <w:rStyle w:val="Hipercze"/>
            <w:noProof/>
          </w:rPr>
          <w:t>Table 2: Global pharmaceutical companies typically conduct R&amp;D across a range of major markets, including their headquarter location</w:t>
        </w:r>
        <w:r w:rsidR="00BA4F55">
          <w:rPr>
            <w:noProof/>
            <w:webHidden/>
          </w:rPr>
          <w:tab/>
        </w:r>
        <w:r w:rsidR="00BA4F55">
          <w:rPr>
            <w:noProof/>
            <w:webHidden/>
          </w:rPr>
          <w:fldChar w:fldCharType="begin"/>
        </w:r>
        <w:r w:rsidR="00BA4F55">
          <w:rPr>
            <w:noProof/>
            <w:webHidden/>
          </w:rPr>
          <w:instrText xml:space="preserve"> PAGEREF _Toc115717815 \h </w:instrText>
        </w:r>
        <w:r w:rsidR="00BA4F55">
          <w:rPr>
            <w:noProof/>
            <w:webHidden/>
          </w:rPr>
        </w:r>
        <w:r w:rsidR="00BA4F55">
          <w:rPr>
            <w:noProof/>
            <w:webHidden/>
          </w:rPr>
          <w:fldChar w:fldCharType="separate"/>
        </w:r>
        <w:r w:rsidR="00BA4F55">
          <w:rPr>
            <w:noProof/>
            <w:webHidden/>
          </w:rPr>
          <w:t>58</w:t>
        </w:r>
        <w:r w:rsidR="00BA4F55">
          <w:rPr>
            <w:noProof/>
            <w:webHidden/>
          </w:rPr>
          <w:fldChar w:fldCharType="end"/>
        </w:r>
      </w:hyperlink>
    </w:p>
    <w:p w14:paraId="3CCE6145" w14:textId="489CF5B0"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6" w:history="1">
        <w:r w:rsidR="00BA4F55" w:rsidRPr="005F231D">
          <w:rPr>
            <w:rStyle w:val="Hipercze"/>
            <w:noProof/>
          </w:rPr>
          <w:t>Table 3: Kearney FDI Confidence Index rankings show investors remain most confident in the US market</w:t>
        </w:r>
        <w:r w:rsidR="00BA4F55">
          <w:rPr>
            <w:noProof/>
            <w:webHidden/>
          </w:rPr>
          <w:tab/>
        </w:r>
        <w:r w:rsidR="00BA4F55">
          <w:rPr>
            <w:noProof/>
            <w:webHidden/>
          </w:rPr>
          <w:fldChar w:fldCharType="begin"/>
        </w:r>
        <w:r w:rsidR="00BA4F55">
          <w:rPr>
            <w:noProof/>
            <w:webHidden/>
          </w:rPr>
          <w:instrText xml:space="preserve"> PAGEREF _Toc115717816 \h </w:instrText>
        </w:r>
        <w:r w:rsidR="00BA4F55">
          <w:rPr>
            <w:noProof/>
            <w:webHidden/>
          </w:rPr>
        </w:r>
        <w:r w:rsidR="00BA4F55">
          <w:rPr>
            <w:noProof/>
            <w:webHidden/>
          </w:rPr>
          <w:fldChar w:fldCharType="separate"/>
        </w:r>
        <w:r w:rsidR="00BA4F55">
          <w:rPr>
            <w:noProof/>
            <w:webHidden/>
          </w:rPr>
          <w:t>74</w:t>
        </w:r>
        <w:r w:rsidR="00BA4F55">
          <w:rPr>
            <w:noProof/>
            <w:webHidden/>
          </w:rPr>
          <w:fldChar w:fldCharType="end"/>
        </w:r>
      </w:hyperlink>
    </w:p>
    <w:p w14:paraId="5476680F" w14:textId="69396C6C" w:rsidR="00BA4F55" w:rsidRDefault="000F0501">
      <w:pPr>
        <w:pStyle w:val="Spisilustracji"/>
        <w:tabs>
          <w:tab w:val="right" w:leader="dot" w:pos="7940"/>
        </w:tabs>
        <w:rPr>
          <w:rFonts w:asciiTheme="minorHAnsi" w:eastAsiaTheme="minorEastAsia" w:hAnsiTheme="minorHAnsi" w:cstheme="minorBidi"/>
          <w:bCs w:val="0"/>
          <w:noProof/>
          <w:sz w:val="22"/>
          <w:szCs w:val="22"/>
          <w:lang w:val="en-US"/>
        </w:rPr>
      </w:pPr>
      <w:hyperlink w:anchor="_Toc115717817" w:history="1">
        <w:r w:rsidR="00BA4F55" w:rsidRPr="005F231D">
          <w:rPr>
            <w:rStyle w:val="Hipercze"/>
            <w:noProof/>
          </w:rPr>
          <w:t>Table 4: Sixteen biopharmaceutical investment case studies were reviewed during the interview programme</w:t>
        </w:r>
        <w:r w:rsidR="00BA4F55">
          <w:rPr>
            <w:noProof/>
            <w:webHidden/>
          </w:rPr>
          <w:tab/>
        </w:r>
        <w:r w:rsidR="00BA4F55">
          <w:rPr>
            <w:noProof/>
            <w:webHidden/>
          </w:rPr>
          <w:fldChar w:fldCharType="begin"/>
        </w:r>
        <w:r w:rsidR="00BA4F55">
          <w:rPr>
            <w:noProof/>
            <w:webHidden/>
          </w:rPr>
          <w:instrText xml:space="preserve"> PAGEREF _Toc115717817 \h </w:instrText>
        </w:r>
        <w:r w:rsidR="00BA4F55">
          <w:rPr>
            <w:noProof/>
            <w:webHidden/>
          </w:rPr>
        </w:r>
        <w:r w:rsidR="00BA4F55">
          <w:rPr>
            <w:noProof/>
            <w:webHidden/>
          </w:rPr>
          <w:fldChar w:fldCharType="separate"/>
        </w:r>
        <w:r w:rsidR="00BA4F55">
          <w:rPr>
            <w:noProof/>
            <w:webHidden/>
          </w:rPr>
          <w:t>75</w:t>
        </w:r>
        <w:r w:rsidR="00BA4F55">
          <w:rPr>
            <w:noProof/>
            <w:webHidden/>
          </w:rPr>
          <w:fldChar w:fldCharType="end"/>
        </w:r>
      </w:hyperlink>
    </w:p>
    <w:p w14:paraId="36098DE1" w14:textId="5D82F90A" w:rsidR="00712C54" w:rsidRDefault="002D2850" w:rsidP="009C2CD4">
      <w:pPr>
        <w:pStyle w:val="StyleSectionHeading"/>
        <w:tabs>
          <w:tab w:val="right" w:leader="dot" w:pos="7920"/>
        </w:tabs>
        <w:sectPr w:rsidR="00712C54" w:rsidSect="009C2CD4">
          <w:footerReference w:type="default" r:id="rId16"/>
          <w:headerReference w:type="first" r:id="rId17"/>
          <w:footerReference w:type="first" r:id="rId18"/>
          <w:pgSz w:w="11907" w:h="16839" w:code="9"/>
          <w:pgMar w:top="1440" w:right="1440" w:bottom="1440" w:left="1440" w:header="578" w:footer="403" w:gutter="1077"/>
          <w:paperSrc w:first="500" w:other="500"/>
          <w:pgNumType w:fmt="lowerRoman" w:start="1"/>
          <w:cols w:space="720"/>
          <w:docGrid w:linePitch="326"/>
        </w:sectPr>
      </w:pPr>
      <w:r w:rsidRPr="000A2E03">
        <w:fldChar w:fldCharType="end"/>
      </w:r>
    </w:p>
    <w:p w14:paraId="542566A2" w14:textId="561A8972" w:rsidR="00712C54" w:rsidRDefault="00712C54" w:rsidP="00A64AC0">
      <w:pPr>
        <w:pStyle w:val="Nagwek1"/>
        <w:numPr>
          <w:ilvl w:val="0"/>
          <w:numId w:val="0"/>
        </w:numPr>
      </w:pPr>
      <w:bookmarkStart w:id="1" w:name="_Toc107949160"/>
      <w:bookmarkStart w:id="2" w:name="_Toc115717769"/>
      <w:r w:rsidRPr="00A64AC0">
        <w:lastRenderedPageBreak/>
        <w:t>Abbreviations</w:t>
      </w:r>
      <w:bookmarkEnd w:id="1"/>
      <w:bookmarkEnd w:id="2"/>
      <w:r w:rsidRPr="00A64AC0">
        <w:t xml:space="preserve"> </w:t>
      </w:r>
    </w:p>
    <w:p w14:paraId="5317B0CE" w14:textId="77777777" w:rsidR="00A64AC0" w:rsidRPr="00A64AC0" w:rsidRDefault="00A64AC0" w:rsidP="002823BC">
      <w:pPr>
        <w:pStyle w:val="Tekstpodstawowy"/>
      </w:pPr>
    </w:p>
    <w:p w14:paraId="39DF24CD" w14:textId="6F6BC3F3" w:rsidR="00712C54" w:rsidRDefault="00712C54" w:rsidP="00712C54">
      <w:pPr>
        <w:pStyle w:val="Tekstpodstawowy"/>
      </w:pPr>
      <w:r>
        <w:t>AMR</w:t>
      </w:r>
      <w:r>
        <w:tab/>
        <w:t>antimicrobial resistance</w:t>
      </w:r>
    </w:p>
    <w:p w14:paraId="2CCB0F73"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API</w:t>
      </w:r>
      <w:r w:rsidRPr="005D3D82">
        <w:rPr>
          <w:rFonts w:ascii="Arial" w:hAnsi="Arial" w:cs="Arial"/>
          <w:color w:val="000000"/>
          <w:sz w:val="20"/>
        </w:rPr>
        <w:tab/>
      </w:r>
      <w:r w:rsidRPr="005D3D82">
        <w:rPr>
          <w:rFonts w:ascii="Arial" w:hAnsi="Arial" w:cs="Arial"/>
          <w:color w:val="000000" w:themeColor="text1"/>
          <w:sz w:val="20"/>
        </w:rPr>
        <w:t>active pharmaceutical ingredient</w:t>
      </w:r>
    </w:p>
    <w:p w14:paraId="051C8C24"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ATMP</w:t>
      </w:r>
      <w:r w:rsidRPr="005D3D82">
        <w:rPr>
          <w:rFonts w:ascii="Arial" w:hAnsi="Arial" w:cs="Arial"/>
          <w:sz w:val="20"/>
        </w:rPr>
        <w:tab/>
        <w:t>advanced therapy medicinal product</w:t>
      </w:r>
    </w:p>
    <w:p w14:paraId="333900FE"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CAGR</w:t>
      </w:r>
      <w:r w:rsidRPr="005D3D82">
        <w:rPr>
          <w:rFonts w:ascii="Arial" w:hAnsi="Arial" w:cs="Arial"/>
          <w:sz w:val="20"/>
        </w:rPr>
        <w:tab/>
        <w:t>compound annual growth rate</w:t>
      </w:r>
    </w:p>
    <w:p w14:paraId="2CE7E7CB"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CDMO</w:t>
      </w:r>
      <w:r w:rsidRPr="005D3D82">
        <w:rPr>
          <w:rFonts w:ascii="Arial" w:hAnsi="Arial" w:cs="Arial"/>
          <w:sz w:val="20"/>
        </w:rPr>
        <w:tab/>
        <w:t>contract development and manufacturing organisation</w:t>
      </w:r>
    </w:p>
    <w:p w14:paraId="57B41037"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sz w:val="20"/>
        </w:rPr>
        <w:t>CH</w:t>
      </w:r>
      <w:r w:rsidRPr="005D3D82">
        <w:rPr>
          <w:rFonts w:ascii="Arial" w:hAnsi="Arial" w:cs="Arial"/>
          <w:sz w:val="20"/>
        </w:rPr>
        <w:tab/>
        <w:t>Switzerland</w:t>
      </w:r>
    </w:p>
    <w:p w14:paraId="31DEF409"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CHMP</w:t>
      </w:r>
      <w:r w:rsidRPr="005D3D82">
        <w:rPr>
          <w:rFonts w:ascii="Arial" w:hAnsi="Arial" w:cs="Arial"/>
          <w:color w:val="000000"/>
          <w:sz w:val="20"/>
        </w:rPr>
        <w:tab/>
      </w:r>
      <w:r w:rsidRPr="005D3D82">
        <w:rPr>
          <w:rFonts w:ascii="Arial" w:hAnsi="Arial" w:cs="Arial"/>
          <w:sz w:val="20"/>
        </w:rPr>
        <w:t xml:space="preserve">Committee for Medicinal Products for Human Use </w:t>
      </w:r>
    </w:p>
    <w:p w14:paraId="5144BFE1"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CMC</w:t>
      </w:r>
      <w:r w:rsidRPr="005D3D82">
        <w:rPr>
          <w:rFonts w:ascii="Arial" w:hAnsi="Arial" w:cs="Arial"/>
          <w:color w:val="000000"/>
          <w:sz w:val="20"/>
        </w:rPr>
        <w:tab/>
      </w:r>
      <w:r w:rsidRPr="005D3D82">
        <w:rPr>
          <w:rFonts w:ascii="Arial" w:hAnsi="Arial" w:cs="Arial"/>
          <w:sz w:val="20"/>
        </w:rPr>
        <w:t>chemistry, manufacturing and controls</w:t>
      </w:r>
    </w:p>
    <w:p w14:paraId="558206EF"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CMO</w:t>
      </w:r>
      <w:r w:rsidRPr="005D3D82">
        <w:rPr>
          <w:rFonts w:ascii="Arial" w:hAnsi="Arial" w:cs="Arial"/>
          <w:color w:val="000000"/>
          <w:sz w:val="20"/>
        </w:rPr>
        <w:tab/>
        <w:t>contract manufacturing organisation</w:t>
      </w:r>
    </w:p>
    <w:p w14:paraId="7850E3C0"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CRO</w:t>
      </w:r>
      <w:r w:rsidRPr="005D3D82">
        <w:rPr>
          <w:rFonts w:ascii="Arial" w:hAnsi="Arial" w:cs="Arial"/>
          <w:color w:val="000000"/>
          <w:sz w:val="20"/>
        </w:rPr>
        <w:tab/>
        <w:t>contract research organisation</w:t>
      </w:r>
    </w:p>
    <w:p w14:paraId="523E304A"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EMA</w:t>
      </w:r>
      <w:r w:rsidRPr="005D3D82">
        <w:rPr>
          <w:rFonts w:ascii="Arial" w:hAnsi="Arial" w:cs="Arial"/>
          <w:color w:val="000000"/>
          <w:sz w:val="20"/>
        </w:rPr>
        <w:tab/>
        <w:t>European Medicines Agency</w:t>
      </w:r>
    </w:p>
    <w:p w14:paraId="36CF6452"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EU</w:t>
      </w:r>
      <w:r w:rsidRPr="005D3D82">
        <w:rPr>
          <w:rFonts w:ascii="Arial" w:hAnsi="Arial" w:cs="Arial"/>
          <w:color w:val="000000"/>
          <w:sz w:val="20"/>
        </w:rPr>
        <w:tab/>
        <w:t xml:space="preserve">European Union </w:t>
      </w:r>
    </w:p>
    <w:p w14:paraId="4D4864AC"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FDA</w:t>
      </w:r>
      <w:r w:rsidRPr="005D3D82">
        <w:rPr>
          <w:rFonts w:ascii="Arial" w:hAnsi="Arial" w:cs="Arial"/>
          <w:color w:val="000000"/>
          <w:sz w:val="20"/>
        </w:rPr>
        <w:tab/>
        <w:t>Food and Drug Administration</w:t>
      </w:r>
    </w:p>
    <w:p w14:paraId="6D4AEDE1"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FDI</w:t>
      </w:r>
      <w:r w:rsidRPr="005D3D82">
        <w:rPr>
          <w:rFonts w:ascii="Arial" w:hAnsi="Arial" w:cs="Arial"/>
          <w:color w:val="000000"/>
          <w:sz w:val="20"/>
        </w:rPr>
        <w:tab/>
      </w:r>
      <w:r>
        <w:rPr>
          <w:rFonts w:ascii="Arial" w:hAnsi="Arial" w:cs="Arial"/>
          <w:color w:val="000000" w:themeColor="text1"/>
          <w:sz w:val="20"/>
        </w:rPr>
        <w:t>f</w:t>
      </w:r>
      <w:r w:rsidRPr="005D3D82">
        <w:rPr>
          <w:rFonts w:ascii="Arial" w:hAnsi="Arial" w:cs="Arial"/>
          <w:color w:val="000000" w:themeColor="text1"/>
          <w:sz w:val="20"/>
        </w:rPr>
        <w:t>oreign direct investment</w:t>
      </w:r>
    </w:p>
    <w:p w14:paraId="6E94B0F2" w14:textId="77777777" w:rsidR="00712C54" w:rsidRPr="005D3D82" w:rsidRDefault="00712C54" w:rsidP="002823BC">
      <w:pPr>
        <w:spacing w:line="288" w:lineRule="auto"/>
        <w:ind w:left="0"/>
        <w:rPr>
          <w:rFonts w:ascii="Arial" w:hAnsi="Arial" w:cs="Arial"/>
          <w:sz w:val="20"/>
        </w:rPr>
      </w:pPr>
      <w:r w:rsidRPr="005D3D82">
        <w:rPr>
          <w:rFonts w:ascii="Arial" w:hAnsi="Arial" w:cs="Arial"/>
          <w:color w:val="000000"/>
          <w:sz w:val="20"/>
        </w:rPr>
        <w:t>HTA</w:t>
      </w:r>
      <w:r w:rsidRPr="005D3D82">
        <w:rPr>
          <w:rFonts w:ascii="Arial" w:hAnsi="Arial" w:cs="Arial"/>
          <w:color w:val="000000"/>
          <w:sz w:val="20"/>
        </w:rPr>
        <w:tab/>
      </w:r>
      <w:r w:rsidRPr="005D3D82">
        <w:rPr>
          <w:rFonts w:ascii="Arial" w:hAnsi="Arial" w:cs="Arial"/>
          <w:sz w:val="20"/>
        </w:rPr>
        <w:t>health technology assessment</w:t>
      </w:r>
    </w:p>
    <w:p w14:paraId="59551672"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IMP</w:t>
      </w:r>
      <w:r w:rsidRPr="005D3D82">
        <w:rPr>
          <w:rFonts w:ascii="Arial" w:hAnsi="Arial" w:cs="Arial"/>
          <w:sz w:val="20"/>
        </w:rPr>
        <w:tab/>
        <w:t xml:space="preserve">investigational medicinal product </w:t>
      </w:r>
    </w:p>
    <w:p w14:paraId="304AE7DC"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IP</w:t>
      </w:r>
      <w:r w:rsidRPr="005D3D82">
        <w:rPr>
          <w:rFonts w:ascii="Arial" w:hAnsi="Arial" w:cs="Arial"/>
          <w:sz w:val="20"/>
        </w:rPr>
        <w:tab/>
        <w:t xml:space="preserve">intellectual property </w:t>
      </w:r>
    </w:p>
    <w:p w14:paraId="44ADB199"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sz w:val="20"/>
        </w:rPr>
        <w:t>NGO</w:t>
      </w:r>
      <w:r w:rsidRPr="005D3D82">
        <w:rPr>
          <w:rFonts w:ascii="Arial" w:hAnsi="Arial" w:cs="Arial"/>
          <w:sz w:val="20"/>
        </w:rPr>
        <w:tab/>
        <w:t xml:space="preserve">non-governmental organisation </w:t>
      </w:r>
    </w:p>
    <w:p w14:paraId="568309C8"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NIH</w:t>
      </w:r>
      <w:r w:rsidRPr="005D3D82">
        <w:rPr>
          <w:rFonts w:ascii="Arial" w:hAnsi="Arial" w:cs="Arial"/>
          <w:color w:val="000000"/>
          <w:sz w:val="20"/>
        </w:rPr>
        <w:tab/>
        <w:t>National Institutes of Health</w:t>
      </w:r>
    </w:p>
    <w:p w14:paraId="7C1B1744"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R&amp;D</w:t>
      </w:r>
      <w:r w:rsidRPr="005D3D82">
        <w:rPr>
          <w:rFonts w:ascii="Arial" w:hAnsi="Arial" w:cs="Arial"/>
          <w:color w:val="000000"/>
          <w:sz w:val="20"/>
        </w:rPr>
        <w:tab/>
        <w:t>research and development</w:t>
      </w:r>
    </w:p>
    <w:p w14:paraId="36589533" w14:textId="77777777" w:rsidR="00712C54" w:rsidRPr="005D3D82" w:rsidRDefault="00712C54" w:rsidP="002823BC">
      <w:pPr>
        <w:spacing w:line="288" w:lineRule="auto"/>
        <w:ind w:left="0"/>
        <w:rPr>
          <w:rFonts w:ascii="Arial" w:hAnsi="Arial" w:cs="Arial"/>
          <w:color w:val="000000"/>
          <w:sz w:val="20"/>
        </w:rPr>
      </w:pPr>
      <w:r w:rsidRPr="005D3D82">
        <w:rPr>
          <w:rFonts w:ascii="Arial" w:hAnsi="Arial" w:cs="Arial"/>
          <w:color w:val="000000"/>
          <w:sz w:val="20"/>
        </w:rPr>
        <w:t>RWE</w:t>
      </w:r>
      <w:r w:rsidRPr="005D3D82">
        <w:rPr>
          <w:rFonts w:ascii="Arial" w:hAnsi="Arial" w:cs="Arial"/>
          <w:color w:val="000000"/>
          <w:sz w:val="20"/>
        </w:rPr>
        <w:tab/>
      </w:r>
      <w:r w:rsidRPr="005D3D82">
        <w:rPr>
          <w:rFonts w:ascii="Arial" w:hAnsi="Arial" w:cs="Arial"/>
          <w:color w:val="000000" w:themeColor="text1"/>
          <w:sz w:val="20"/>
        </w:rPr>
        <w:t>real-world evidence</w:t>
      </w:r>
    </w:p>
    <w:p w14:paraId="7F6084FD"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UK</w:t>
      </w:r>
      <w:r w:rsidRPr="005D3D82">
        <w:rPr>
          <w:rFonts w:ascii="Arial" w:hAnsi="Arial" w:cs="Arial"/>
          <w:sz w:val="20"/>
        </w:rPr>
        <w:tab/>
        <w:t>United Kingdom</w:t>
      </w:r>
    </w:p>
    <w:p w14:paraId="34DAD858"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US</w:t>
      </w:r>
      <w:r w:rsidRPr="005D3D82">
        <w:rPr>
          <w:rFonts w:ascii="Arial" w:hAnsi="Arial" w:cs="Arial"/>
          <w:sz w:val="20"/>
        </w:rPr>
        <w:tab/>
        <w:t>United States</w:t>
      </w:r>
    </w:p>
    <w:p w14:paraId="4AAA7A51" w14:textId="77777777" w:rsidR="00712C54" w:rsidRPr="005D3D82" w:rsidRDefault="00712C54" w:rsidP="002823BC">
      <w:pPr>
        <w:spacing w:line="288" w:lineRule="auto"/>
        <w:ind w:left="0"/>
        <w:rPr>
          <w:rFonts w:ascii="Arial" w:hAnsi="Arial" w:cs="Arial"/>
          <w:sz w:val="20"/>
        </w:rPr>
      </w:pPr>
      <w:r w:rsidRPr="005D3D82">
        <w:rPr>
          <w:rFonts w:ascii="Arial" w:hAnsi="Arial" w:cs="Arial"/>
          <w:sz w:val="20"/>
        </w:rPr>
        <w:t>WHO</w:t>
      </w:r>
      <w:r w:rsidRPr="005D3D82">
        <w:rPr>
          <w:rFonts w:ascii="Arial" w:hAnsi="Arial" w:cs="Arial"/>
          <w:sz w:val="20"/>
        </w:rPr>
        <w:tab/>
        <w:t>World Health Organization</w:t>
      </w:r>
    </w:p>
    <w:p w14:paraId="53E29433" w14:textId="77777777" w:rsidR="00712C54" w:rsidRDefault="00712C54" w:rsidP="00712C54">
      <w:pPr>
        <w:pStyle w:val="Tekstpodstawowy"/>
      </w:pPr>
    </w:p>
    <w:p w14:paraId="4A1C3421" w14:textId="77777777" w:rsidR="009C2CD4" w:rsidRDefault="009C2CD4" w:rsidP="002823BC">
      <w:pPr>
        <w:pStyle w:val="StyleSectionHeading"/>
        <w:tabs>
          <w:tab w:val="right" w:leader="dot" w:pos="7920"/>
        </w:tabs>
        <w:jc w:val="left"/>
        <w:rPr>
          <w:noProof/>
        </w:rPr>
      </w:pPr>
    </w:p>
    <w:p w14:paraId="5DCFF87C" w14:textId="77777777" w:rsidR="00712C54" w:rsidRDefault="00712C54" w:rsidP="002823BC">
      <w:pPr>
        <w:pStyle w:val="SectionHeading"/>
        <w:jc w:val="left"/>
      </w:pPr>
    </w:p>
    <w:p w14:paraId="1756954F" w14:textId="01ACD0B9" w:rsidR="00A37300" w:rsidRPr="002823BC" w:rsidRDefault="00A37300" w:rsidP="002823BC">
      <w:pPr>
        <w:pStyle w:val="SectionHeading"/>
        <w:sectPr w:rsidR="00A37300" w:rsidRPr="002823BC" w:rsidSect="009C2CD4">
          <w:pgSz w:w="11907" w:h="16839" w:code="9"/>
          <w:pgMar w:top="1440" w:right="1440" w:bottom="1440" w:left="1440" w:header="578" w:footer="403" w:gutter="1077"/>
          <w:paperSrc w:first="500" w:other="500"/>
          <w:pgNumType w:fmt="lowerRoman" w:start="1"/>
          <w:cols w:space="720"/>
          <w:docGrid w:linePitch="326"/>
        </w:sectPr>
      </w:pPr>
    </w:p>
    <w:p w14:paraId="5CD4A7BB" w14:textId="015E9E7B" w:rsidR="00A352F7" w:rsidRDefault="00A352F7" w:rsidP="005E7C34">
      <w:pPr>
        <w:pStyle w:val="Nagwek1"/>
        <w:numPr>
          <w:ilvl w:val="0"/>
          <w:numId w:val="0"/>
        </w:numPr>
      </w:pPr>
      <w:bookmarkStart w:id="3" w:name="_Toc109849578"/>
      <w:bookmarkStart w:id="4" w:name="_Toc115717770"/>
      <w:bookmarkStart w:id="5" w:name="_Toc106104517"/>
      <w:r>
        <w:lastRenderedPageBreak/>
        <w:t xml:space="preserve">Executive </w:t>
      </w:r>
      <w:r w:rsidR="00FD23A8">
        <w:t>s</w:t>
      </w:r>
      <w:r>
        <w:t>ummary</w:t>
      </w:r>
      <w:bookmarkEnd w:id="3"/>
      <w:bookmarkEnd w:id="4"/>
    </w:p>
    <w:p w14:paraId="6357161F" w14:textId="08A923EF" w:rsidR="00B93E57" w:rsidRDefault="00E201F8" w:rsidP="00712C54">
      <w:pPr>
        <w:pStyle w:val="Tekstpodstawowy"/>
      </w:pPr>
      <w:r>
        <w:t xml:space="preserve">The </w:t>
      </w:r>
      <w:r w:rsidR="00A352F7">
        <w:t xml:space="preserve">European Federation of Pharmaceutical Industries and Associations (‘EFPIA’) </w:t>
      </w:r>
      <w:r w:rsidR="009427C1">
        <w:t xml:space="preserve">asked Charles River Associates to </w:t>
      </w:r>
      <w:r>
        <w:t xml:space="preserve">research </w:t>
      </w:r>
      <w:r w:rsidR="009427C1">
        <w:t xml:space="preserve">the factors affecting the location of biopharmaceutical investments in Europe relative to other global regions (with a particular focus on the </w:t>
      </w:r>
      <w:r w:rsidR="002D4335">
        <w:t>United States</w:t>
      </w:r>
      <w:r w:rsidR="00BD4C5B">
        <w:t xml:space="preserve"> (</w:t>
      </w:r>
      <w:r w:rsidR="009427C1">
        <w:t>US</w:t>
      </w:r>
      <w:r w:rsidR="00BD4C5B">
        <w:t>)</w:t>
      </w:r>
      <w:r w:rsidR="009427C1">
        <w:t>, Japan, China)</w:t>
      </w:r>
      <w:r w:rsidR="00A352F7">
        <w:t>:</w:t>
      </w:r>
    </w:p>
    <w:p w14:paraId="06767310" w14:textId="439FA13B" w:rsidR="00A352F7" w:rsidRDefault="00A352F7" w:rsidP="000A2E03">
      <w:pPr>
        <w:pStyle w:val="Tekstpodstawowy"/>
        <w:numPr>
          <w:ilvl w:val="0"/>
          <w:numId w:val="141"/>
        </w:numPr>
      </w:pPr>
      <w:r>
        <w:t xml:space="preserve">Distinguishing between investment drivers and patterns </w:t>
      </w:r>
      <w:r w:rsidR="00AE0330">
        <w:t xml:space="preserve">in the location of </w:t>
      </w:r>
      <w:r>
        <w:t>research hubs, clinical</w:t>
      </w:r>
      <w:r w:rsidR="00B93E57">
        <w:t xml:space="preserve"> </w:t>
      </w:r>
      <w:r>
        <w:t>trial</w:t>
      </w:r>
      <w:r w:rsidR="00AE0330">
        <w:t xml:space="preserve"> sites</w:t>
      </w:r>
      <w:r>
        <w:t>, investigational manufacturing and commercial manufacturing</w:t>
      </w:r>
    </w:p>
    <w:p w14:paraId="0928CFBC" w14:textId="3C0C3E1E" w:rsidR="00A352F7" w:rsidRDefault="00A352F7" w:rsidP="000A2E03">
      <w:pPr>
        <w:pStyle w:val="Tekstpodstawowy"/>
        <w:numPr>
          <w:ilvl w:val="0"/>
          <w:numId w:val="141"/>
        </w:numPr>
      </w:pPr>
      <w:r>
        <w:t xml:space="preserve">Accounting for the impact of evolving technologies and the implications </w:t>
      </w:r>
      <w:r w:rsidR="002D4335">
        <w:t xml:space="preserve">of </w:t>
      </w:r>
      <w:r>
        <w:t>these for industry’s investments</w:t>
      </w:r>
    </w:p>
    <w:p w14:paraId="7DB60522" w14:textId="3CB7E5EE" w:rsidR="00A352F7" w:rsidRDefault="00A352F7" w:rsidP="000A2E03">
      <w:pPr>
        <w:pStyle w:val="Tekstpodstawowy"/>
        <w:numPr>
          <w:ilvl w:val="0"/>
          <w:numId w:val="141"/>
        </w:numPr>
      </w:pPr>
      <w:r>
        <w:t>Relating theory to real-life, recent investment decisions</w:t>
      </w:r>
    </w:p>
    <w:p w14:paraId="4AEFDF23" w14:textId="5A2D50D5" w:rsidR="00A352F7" w:rsidRDefault="00A352F7" w:rsidP="00A352F7">
      <w:pPr>
        <w:pStyle w:val="Tekstpodstawowy"/>
      </w:pPr>
      <w:r>
        <w:t>This was achieved through a literature review at global, regional and national level</w:t>
      </w:r>
      <w:r w:rsidR="00782709">
        <w:t>s</w:t>
      </w:r>
      <w:r w:rsidR="009427C1">
        <w:t xml:space="preserve"> focused on trends but also the impact of the recent COVID-19 pandemic</w:t>
      </w:r>
      <w:r w:rsidR="00782709">
        <w:t>;</w:t>
      </w:r>
      <w:r>
        <w:t xml:space="preserve"> a long-term analysis of investment data patterns</w:t>
      </w:r>
      <w:r w:rsidR="00782709">
        <w:t>;</w:t>
      </w:r>
      <w:r>
        <w:t xml:space="preserve"> and an interview programme with </w:t>
      </w:r>
      <w:r w:rsidR="009427C1">
        <w:t xml:space="preserve">senior executives from 15 </w:t>
      </w:r>
      <w:r>
        <w:t xml:space="preserve">pharmaceutical companies focused on actual recent </w:t>
      </w:r>
      <w:r w:rsidR="007D046B">
        <w:t>major</w:t>
      </w:r>
      <w:r w:rsidR="00CD602C">
        <w:t xml:space="preserve"> </w:t>
      </w:r>
      <w:r>
        <w:t xml:space="preserve">investment decisions. </w:t>
      </w:r>
    </w:p>
    <w:p w14:paraId="27BD2835" w14:textId="1AB21661" w:rsidR="007F3E94" w:rsidRDefault="007F3E94" w:rsidP="000A2E03">
      <w:pPr>
        <w:pStyle w:val="Legenda"/>
      </w:pPr>
      <w:r>
        <w:t xml:space="preserve">Box </w:t>
      </w:r>
      <w:r>
        <w:fldChar w:fldCharType="begin"/>
      </w:r>
      <w:r>
        <w:instrText xml:space="preserve"> SEQ Box \* ARABIC </w:instrText>
      </w:r>
      <w:r>
        <w:fldChar w:fldCharType="separate"/>
      </w:r>
      <w:r>
        <w:rPr>
          <w:noProof/>
        </w:rPr>
        <w:t>1</w:t>
      </w:r>
      <w:r>
        <w:fldChar w:fldCharType="end"/>
      </w:r>
      <w:r>
        <w:t>: Summary of key findings</w:t>
      </w:r>
    </w:p>
    <w:tbl>
      <w:tblPr>
        <w:tblStyle w:val="Tabela-Siatka"/>
        <w:tblW w:w="0" w:type="auto"/>
        <w:tblLook w:val="04A0" w:firstRow="1" w:lastRow="0" w:firstColumn="1" w:lastColumn="0" w:noHBand="0" w:noVBand="1"/>
      </w:tblPr>
      <w:tblGrid>
        <w:gridCol w:w="7920"/>
      </w:tblGrid>
      <w:tr w:rsidR="003C5F65" w14:paraId="6B9B7E9C" w14:textId="77777777" w:rsidTr="000A2E03">
        <w:tc>
          <w:tcPr>
            <w:tcW w:w="7920" w:type="dxa"/>
            <w:tcBorders>
              <w:top w:val="single" w:sz="12" w:space="0" w:color="C0C0C0" w:themeColor="text2"/>
              <w:left w:val="single" w:sz="12" w:space="0" w:color="C0C0C0" w:themeColor="text2"/>
              <w:bottom w:val="single" w:sz="12" w:space="0" w:color="C0C0C0" w:themeColor="text2"/>
              <w:right w:val="single" w:sz="12" w:space="0" w:color="C0C0C0" w:themeColor="text2"/>
            </w:tcBorders>
            <w:shd w:val="clear" w:color="auto" w:fill="EBF4FB" w:themeFill="accent2" w:themeFillTint="33"/>
          </w:tcPr>
          <w:p w14:paraId="2E83F7AE" w14:textId="3D1135EB" w:rsidR="009077CB" w:rsidRDefault="00D57605" w:rsidP="00FF329E">
            <w:pPr>
              <w:pStyle w:val="Tekstpodstawowy"/>
              <w:numPr>
                <w:ilvl w:val="0"/>
                <w:numId w:val="146"/>
              </w:numPr>
            </w:pPr>
            <w:r>
              <w:t>Twenty years ago</w:t>
            </w:r>
            <w:r w:rsidR="008B695D">
              <w:t xml:space="preserve">, </w:t>
            </w:r>
            <w:r w:rsidR="00FF329E">
              <w:t>the</w:t>
            </w:r>
            <w:r w:rsidR="0005284E">
              <w:t xml:space="preserve"> </w:t>
            </w:r>
            <w:r>
              <w:t>amount</w:t>
            </w:r>
            <w:r w:rsidR="0005284E">
              <w:t xml:space="preserve"> of </w:t>
            </w:r>
            <w:r w:rsidR="00431C65">
              <w:t>investment</w:t>
            </w:r>
            <w:r w:rsidR="00260874">
              <w:t xml:space="preserve"> </w:t>
            </w:r>
            <w:r>
              <w:t xml:space="preserve">made </w:t>
            </w:r>
            <w:r w:rsidR="00260874">
              <w:t>by pharmaceutical companies</w:t>
            </w:r>
            <w:r w:rsidR="00431C65">
              <w:t xml:space="preserve"> in</w:t>
            </w:r>
            <w:r>
              <w:t xml:space="preserve"> R&amp;D in</w:t>
            </w:r>
            <w:r w:rsidR="00431C65">
              <w:t xml:space="preserve"> the US</w:t>
            </w:r>
            <w:r w:rsidR="00FF329E">
              <w:t xml:space="preserve"> </w:t>
            </w:r>
            <w:r w:rsidR="008B695D">
              <w:t>and Europe differe</w:t>
            </w:r>
            <w:r w:rsidR="001A7ACB">
              <w:t xml:space="preserve">d by only </w:t>
            </w:r>
            <w:r w:rsidR="002514CA">
              <w:t>€2 billion; in 2020, th</w:t>
            </w:r>
            <w:r w:rsidR="00CD56FD">
              <w:t>e</w:t>
            </w:r>
            <w:r w:rsidR="002514CA">
              <w:t xml:space="preserve"> difference had</w:t>
            </w:r>
            <w:r w:rsidR="001470BD">
              <w:t xml:space="preserve"> increased to almost €25 billion</w:t>
            </w:r>
            <w:r w:rsidR="008C1500">
              <w:t>, with Europe increasingly lagging behind</w:t>
            </w:r>
            <w:r w:rsidR="00E571FC">
              <w:t>.</w:t>
            </w:r>
          </w:p>
          <w:p w14:paraId="5246A9C2" w14:textId="66E1EDCE" w:rsidR="00994CAC" w:rsidRDefault="00F64626" w:rsidP="00FF329E">
            <w:pPr>
              <w:pStyle w:val="Tekstpodstawowy"/>
              <w:numPr>
                <w:ilvl w:val="0"/>
                <w:numId w:val="146"/>
              </w:numPr>
            </w:pPr>
            <w:r>
              <w:t>China</w:t>
            </w:r>
            <w:r w:rsidR="00AF0E4A">
              <w:t xml:space="preserve"> is emerging as a</w:t>
            </w:r>
            <w:r w:rsidR="00C16DFD">
              <w:t xml:space="preserve">n increasingly competitive region for companies to locate their activities; </w:t>
            </w:r>
            <w:r w:rsidR="009B6CB8">
              <w:t xml:space="preserve">this is </w:t>
            </w:r>
            <w:r w:rsidR="00EA07B5">
              <w:t>evidenced</w:t>
            </w:r>
            <w:r w:rsidR="00B51AA3">
              <w:t xml:space="preserve"> through the establishment of regional research hubs, increased clinical trial activity, and </w:t>
            </w:r>
            <w:r w:rsidR="00E571FC">
              <w:t>rapid growth in manufacturing capacity.</w:t>
            </w:r>
          </w:p>
          <w:p w14:paraId="4D58ADC7" w14:textId="23234C33" w:rsidR="00F64626" w:rsidRDefault="00E209C9" w:rsidP="00FF329E">
            <w:pPr>
              <w:pStyle w:val="Tekstpodstawowy"/>
              <w:numPr>
                <w:ilvl w:val="0"/>
                <w:numId w:val="146"/>
              </w:numPr>
            </w:pPr>
            <w:r>
              <w:t>Areas</w:t>
            </w:r>
            <w:r w:rsidR="00F35499">
              <w:t xml:space="preserve"> </w:t>
            </w:r>
            <w:r w:rsidR="00FD5AAA">
              <w:t xml:space="preserve">of </w:t>
            </w:r>
            <w:r w:rsidR="00F35499">
              <w:t xml:space="preserve">weakness in </w:t>
            </w:r>
            <w:r w:rsidR="00345873">
              <w:t xml:space="preserve">Europe’s </w:t>
            </w:r>
            <w:r>
              <w:t xml:space="preserve">competitiveness include </w:t>
            </w:r>
            <w:r w:rsidR="00FD5AAA">
              <w:t xml:space="preserve">a siloed approach to policymaking </w:t>
            </w:r>
            <w:r w:rsidR="00AC36F0">
              <w:t xml:space="preserve">and missed opportunities with </w:t>
            </w:r>
            <w:r w:rsidR="00E73CAF">
              <w:t xml:space="preserve">new </w:t>
            </w:r>
            <w:r w:rsidR="00BC2F20">
              <w:t>therapeutic solutions</w:t>
            </w:r>
            <w:r w:rsidR="00DD3593">
              <w:t>, such as Advanced Therapy Medicinal Products and</w:t>
            </w:r>
            <w:r w:rsidR="004E7BD3">
              <w:t xml:space="preserve"> the</w:t>
            </w:r>
            <w:r w:rsidR="00DD3593">
              <w:t xml:space="preserve"> digital transformation.</w:t>
            </w:r>
          </w:p>
          <w:p w14:paraId="55AFA033" w14:textId="0E7D9985" w:rsidR="00525E26" w:rsidRDefault="00E12A13" w:rsidP="007F3E94">
            <w:pPr>
              <w:pStyle w:val="Tekstpodstawowy"/>
              <w:numPr>
                <w:ilvl w:val="0"/>
                <w:numId w:val="146"/>
              </w:numPr>
            </w:pPr>
            <w:r>
              <w:t>The revision of the EU pharmaceutical legislation currently falls short of protecting and future-proofing Europe’s life science sector</w:t>
            </w:r>
            <w:r w:rsidR="00D1707F">
              <w:t>.</w:t>
            </w:r>
          </w:p>
          <w:p w14:paraId="23681933" w14:textId="1782D55F" w:rsidR="009E7B46" w:rsidRDefault="009E4EE7" w:rsidP="000A2E03">
            <w:pPr>
              <w:pStyle w:val="Tekstpodstawowy"/>
              <w:numPr>
                <w:ilvl w:val="0"/>
                <w:numId w:val="146"/>
              </w:numPr>
            </w:pPr>
            <w:r>
              <w:t xml:space="preserve">In this report we identify seven new areas of </w:t>
            </w:r>
            <w:r w:rsidR="003E4740">
              <w:t>policy focus</w:t>
            </w:r>
            <w:r w:rsidR="00345873">
              <w:t xml:space="preserve"> to</w:t>
            </w:r>
            <w:r w:rsidR="0086553B">
              <w:t xml:space="preserve"> </w:t>
            </w:r>
            <w:r w:rsidR="00D27347">
              <w:t xml:space="preserve">help </w:t>
            </w:r>
            <w:r w:rsidR="009B6CB8">
              <w:t xml:space="preserve">Europe </w:t>
            </w:r>
            <w:r w:rsidR="00F00F27">
              <w:t xml:space="preserve">reverse </w:t>
            </w:r>
            <w:r w:rsidR="009B6CB8">
              <w:t xml:space="preserve">its </w:t>
            </w:r>
            <w:r w:rsidR="00F00F27">
              <w:t xml:space="preserve">relative decline </w:t>
            </w:r>
            <w:r w:rsidR="003E4740">
              <w:t>in</w:t>
            </w:r>
            <w:r w:rsidR="00F00F27">
              <w:t xml:space="preserve"> attractiveness</w:t>
            </w:r>
            <w:r w:rsidR="00D27347">
              <w:t xml:space="preserve"> and</w:t>
            </w:r>
            <w:r w:rsidR="004B0100">
              <w:t xml:space="preserve"> </w:t>
            </w:r>
            <w:r w:rsidR="002B64B2">
              <w:t xml:space="preserve">keep up with the impact of new </w:t>
            </w:r>
            <w:r w:rsidR="00FD5AAA">
              <w:t>therapeutic solutions</w:t>
            </w:r>
            <w:r w:rsidR="00D27347">
              <w:t xml:space="preserve"> and risks presented by the evolving geopolitical environment.</w:t>
            </w:r>
          </w:p>
        </w:tc>
      </w:tr>
    </w:tbl>
    <w:p w14:paraId="6F50303B" w14:textId="77777777" w:rsidR="00A352F7" w:rsidRDefault="00A352F7" w:rsidP="00A352F7">
      <w:pPr>
        <w:pStyle w:val="Nagwek4"/>
      </w:pPr>
      <w:r>
        <w:t>Europe’s relative decline in attractiveness as a centre for biopharmaceutical investment</w:t>
      </w:r>
    </w:p>
    <w:p w14:paraId="72574490" w14:textId="660FC619" w:rsidR="00A352F7" w:rsidRDefault="00A352F7" w:rsidP="00A352F7">
      <w:pPr>
        <w:pStyle w:val="Tekstpodstawowy"/>
        <w:rPr>
          <w:b/>
          <w:bCs/>
          <w:color w:val="0073AE" w:themeColor="accent1"/>
        </w:rPr>
      </w:pPr>
      <w:r>
        <w:t xml:space="preserve">Pharmaceutical </w:t>
      </w:r>
      <w:r w:rsidR="005345B6">
        <w:t>research and development (</w:t>
      </w:r>
      <w:r>
        <w:t>R&amp;D</w:t>
      </w:r>
      <w:r w:rsidR="005345B6">
        <w:t>)</w:t>
      </w:r>
      <w:r>
        <w:t xml:space="preserve"> expenditure in the </w:t>
      </w:r>
      <w:r w:rsidR="005345B6">
        <w:t xml:space="preserve">US </w:t>
      </w:r>
      <w:r>
        <w:t>in 2020 exceeded that in Europe by over €20 billion. This gap is widening</w:t>
      </w:r>
      <w:r w:rsidR="005345B6">
        <w:t>:</w:t>
      </w:r>
      <w:r>
        <w:t xml:space="preserve"> twenty years ago, in 2002, the difference was only €2 billion. </w:t>
      </w:r>
      <w:r w:rsidR="00B863B4">
        <w:t>China</w:t>
      </w:r>
      <w:r w:rsidR="009062A3">
        <w:t xml:space="preserve"> exhibits much stronger growth: b</w:t>
      </w:r>
      <w:r>
        <w:t xml:space="preserve">etween 2010 and </w:t>
      </w:r>
      <w:r>
        <w:lastRenderedPageBreak/>
        <w:t xml:space="preserve">2020, private R&amp;D </w:t>
      </w:r>
      <w:r w:rsidRPr="00FA27D2">
        <w:t>expenditure in China grew by 540%.</w:t>
      </w:r>
      <w:r w:rsidR="00BC3C39" w:rsidRPr="00FA27D2">
        <w:rPr>
          <w:rStyle w:val="Odwoanieprzypisudolnego"/>
        </w:rPr>
        <w:footnoteReference w:id="2"/>
      </w:r>
      <w:r w:rsidRPr="00FA27D2">
        <w:t xml:space="preserve"> </w:t>
      </w:r>
      <w:r w:rsidR="00BC3C39" w:rsidRPr="00FA27D2">
        <w:t>T</w:t>
      </w:r>
      <w:r w:rsidRPr="00FA27D2">
        <w:t xml:space="preserve">he establishment of regional research hubs in China is </w:t>
      </w:r>
      <w:r w:rsidR="00BC3C39" w:rsidRPr="00FA27D2">
        <w:t xml:space="preserve">likely </w:t>
      </w:r>
      <w:r w:rsidRPr="00FA27D2">
        <w:t xml:space="preserve">not </w:t>
      </w:r>
      <w:r w:rsidR="00456F2C" w:rsidRPr="00FA27D2">
        <w:t>occurring</w:t>
      </w:r>
      <w:r w:rsidRPr="00FA27D2">
        <w:t xml:space="preserve"> </w:t>
      </w:r>
      <w:r w:rsidR="001C4381" w:rsidRPr="00FA27D2">
        <w:t xml:space="preserve">in a material way </w:t>
      </w:r>
      <w:r w:rsidRPr="00FA27D2">
        <w:t xml:space="preserve">at the expense of investment in Europe; however, from a </w:t>
      </w:r>
      <w:r w:rsidR="00BD4C5B">
        <w:t>European Union (</w:t>
      </w:r>
      <w:r w:rsidRPr="00FA27D2">
        <w:t>EU</w:t>
      </w:r>
      <w:r w:rsidR="00BD4C5B">
        <w:t>)</w:t>
      </w:r>
      <w:r w:rsidRPr="00FA27D2">
        <w:t xml:space="preserve"> perspective</w:t>
      </w:r>
      <w:r>
        <w:t xml:space="preserve">, it is </w:t>
      </w:r>
      <w:r w:rsidR="00456F2C">
        <w:t>notable</w:t>
      </w:r>
      <w:r>
        <w:t xml:space="preserve"> that the choice of </w:t>
      </w:r>
      <w:r w:rsidR="00991DA4">
        <w:t xml:space="preserve">greenfield </w:t>
      </w:r>
      <w:r>
        <w:t>regional research hubs in Europe</w:t>
      </w:r>
      <w:r w:rsidR="00991DA4">
        <w:t>,</w:t>
      </w:r>
      <w:r w:rsidR="00F0789F">
        <w:t xml:space="preserve"> for </w:t>
      </w:r>
      <w:r w:rsidR="00991DA4">
        <w:t>example</w:t>
      </w:r>
      <w:r w:rsidR="00B7597B">
        <w:t xml:space="preserve"> </w:t>
      </w:r>
      <w:r w:rsidR="00C06228">
        <w:t>by</w:t>
      </w:r>
      <w:r w:rsidR="00991DA4">
        <w:t xml:space="preserve"> </w:t>
      </w:r>
      <w:r w:rsidR="00F0789F">
        <w:t>non-European companies</w:t>
      </w:r>
      <w:r w:rsidR="00C06228">
        <w:t>,</w:t>
      </w:r>
      <w:r>
        <w:t xml:space="preserve"> is focused primarily on markets </w:t>
      </w:r>
      <w:r w:rsidRPr="0030776A">
        <w:t xml:space="preserve">such as Switzerland and the </w:t>
      </w:r>
      <w:r w:rsidR="00BD4C5B">
        <w:t>United Kingdom (</w:t>
      </w:r>
      <w:r w:rsidRPr="0030776A">
        <w:t>UK</w:t>
      </w:r>
      <w:r w:rsidR="00BD4C5B">
        <w:t>)</w:t>
      </w:r>
      <w:r w:rsidRPr="0030776A">
        <w:t xml:space="preserve">. This drives our first main </w:t>
      </w:r>
      <w:r w:rsidR="00456F2C">
        <w:t>recommendation</w:t>
      </w:r>
      <w:r w:rsidRPr="0030776A">
        <w:t>:</w:t>
      </w:r>
      <w:r w:rsidRPr="00D12647">
        <w:rPr>
          <w:b/>
          <w:bCs/>
        </w:rPr>
        <w:t xml:space="preserve"> </w:t>
      </w:r>
    </w:p>
    <w:p w14:paraId="18EE2F57" w14:textId="0913D339" w:rsidR="00A352F7" w:rsidRDefault="00BB5BC1" w:rsidP="000A2E03">
      <w:pPr>
        <w:pStyle w:val="Tekstpodstawowy"/>
        <w:numPr>
          <w:ilvl w:val="0"/>
          <w:numId w:val="143"/>
        </w:numPr>
      </w:pPr>
      <w:r w:rsidRPr="00BB5BC1">
        <w:rPr>
          <w:b/>
          <w:bCs/>
          <w:color w:val="0073AE" w:themeColor="accent1"/>
        </w:rPr>
        <w:t>Incentivise the development of truly world</w:t>
      </w:r>
      <w:r w:rsidR="00BD4C5B">
        <w:rPr>
          <w:b/>
          <w:bCs/>
          <w:color w:val="0073AE" w:themeColor="accent1"/>
        </w:rPr>
        <w:t>-</w:t>
      </w:r>
      <w:r w:rsidRPr="00BB5BC1">
        <w:rPr>
          <w:b/>
          <w:bCs/>
          <w:color w:val="0073AE" w:themeColor="accent1"/>
        </w:rPr>
        <w:t>class innovation hubs</w:t>
      </w:r>
      <w:r w:rsidR="00A352F7" w:rsidRPr="00D12647">
        <w:rPr>
          <w:b/>
          <w:bCs/>
          <w:color w:val="0073AE" w:themeColor="accent1"/>
        </w:rPr>
        <w:t>.</w:t>
      </w:r>
      <w:r w:rsidR="00A352F7" w:rsidRPr="00D12647">
        <w:rPr>
          <w:color w:val="0073AE" w:themeColor="accent1"/>
        </w:rPr>
        <w:t xml:space="preserve"> </w:t>
      </w:r>
      <w:r w:rsidR="00A352F7">
        <w:t xml:space="preserve">The leading research centres </w:t>
      </w:r>
      <w:r w:rsidR="00E914DB">
        <w:t>(</w:t>
      </w:r>
      <w:r w:rsidR="00A352F7">
        <w:t xml:space="preserve">Boston and San Francisco in the </w:t>
      </w:r>
      <w:r w:rsidR="00BD4C5B">
        <w:t>US</w:t>
      </w:r>
      <w:r w:rsidR="00E914DB">
        <w:t>), i</w:t>
      </w:r>
      <w:r w:rsidR="00A352F7">
        <w:t xml:space="preserve">n addition </w:t>
      </w:r>
      <w:r w:rsidR="00BD4C5B">
        <w:t xml:space="preserve">to </w:t>
      </w:r>
      <w:r w:rsidR="00382164">
        <w:t>having</w:t>
      </w:r>
      <w:r w:rsidR="00A352F7">
        <w:t xml:space="preserve"> proximity to world-class academic institutions, also receive considerable policy and funding focus. </w:t>
      </w:r>
      <w:r w:rsidR="00A352F7" w:rsidRPr="00F557DC">
        <w:t>California</w:t>
      </w:r>
      <w:r w:rsidR="00C35E88">
        <w:t>, New York</w:t>
      </w:r>
      <w:r w:rsidR="00A352F7" w:rsidRPr="00F557DC">
        <w:t xml:space="preserve"> and Massachusetts rank </w:t>
      </w:r>
      <w:r w:rsidR="00D864AB">
        <w:t xml:space="preserve">as the </w:t>
      </w:r>
      <w:r w:rsidR="002F6AEF">
        <w:t>state</w:t>
      </w:r>
      <w:r w:rsidR="00E43993">
        <w:t>s</w:t>
      </w:r>
      <w:r w:rsidR="00D864AB">
        <w:t xml:space="preserve"> </w:t>
      </w:r>
      <w:r w:rsidR="00E43993">
        <w:t>receiving the most</w:t>
      </w:r>
      <w:r w:rsidR="00A352F7" w:rsidRPr="00F557DC">
        <w:t xml:space="preserve"> </w:t>
      </w:r>
      <w:r w:rsidR="00D864AB">
        <w:t>funding from the</w:t>
      </w:r>
      <w:r w:rsidR="00A352F7">
        <w:t xml:space="preserve"> National Institutes of Health.</w:t>
      </w:r>
      <w:r w:rsidR="009B4F54">
        <w:rPr>
          <w:rStyle w:val="Odwoanieprzypisudolnego"/>
        </w:rPr>
        <w:footnoteReference w:id="3"/>
      </w:r>
      <w:r w:rsidR="00A352F7">
        <w:t xml:space="preserve"> Research spending in Europe is significantly more uniform</w:t>
      </w:r>
      <w:r w:rsidR="00E43993">
        <w:t>,</w:t>
      </w:r>
      <w:r w:rsidR="00A352F7">
        <w:t xml:space="preserve"> and the countries with the highest spending per population are not the centres of innovation. </w:t>
      </w:r>
      <w:r w:rsidR="00FD5AAA">
        <w:t>For example, t</w:t>
      </w:r>
      <w:r w:rsidR="00A352F7">
        <w:t xml:space="preserve">he European Commission </w:t>
      </w:r>
      <w:r w:rsidR="00B75656">
        <w:t>sh</w:t>
      </w:r>
      <w:r w:rsidR="00A352F7">
        <w:t>ould consider more strategic allocation of resources to foster growth of world-leading research centres.</w:t>
      </w:r>
    </w:p>
    <w:p w14:paraId="049AED28" w14:textId="589AF07F" w:rsidR="00A352F7" w:rsidRDefault="00A352F7" w:rsidP="00A352F7">
      <w:pPr>
        <w:pStyle w:val="Tekstpodstawowy"/>
      </w:pPr>
      <w:r>
        <w:t>Another growing source of pharmaceutical innovation continues to be early-stage, emerging companies</w:t>
      </w:r>
      <w:r w:rsidR="005B189E">
        <w:t>.</w:t>
      </w:r>
      <w:r>
        <w:t xml:space="preserve"> The share of European-headquartered emerging biopharma companies has been declining over the last </w:t>
      </w:r>
      <w:r w:rsidR="00411CD5">
        <w:t xml:space="preserve">10 </w:t>
      </w:r>
      <w:r>
        <w:t>years, with the US dominating in terms of number of companies and their contribution to the global pipeline, and China growing rapidly at a rate of 456% between 2016 and 2021.</w:t>
      </w:r>
      <w:r w:rsidR="00456106">
        <w:rPr>
          <w:rStyle w:val="Odwoanieprzypisudolnego"/>
        </w:rPr>
        <w:footnoteReference w:id="4"/>
      </w:r>
      <w:r>
        <w:t xml:space="preserve"> Our second main </w:t>
      </w:r>
      <w:r w:rsidR="00456F2C">
        <w:t>recommendation</w:t>
      </w:r>
      <w:r>
        <w:t xml:space="preserve"> is: </w:t>
      </w:r>
    </w:p>
    <w:p w14:paraId="4688D51F" w14:textId="373FA744" w:rsidR="00A352F7" w:rsidRPr="00D12647" w:rsidRDefault="00D119F2" w:rsidP="000A2E03">
      <w:pPr>
        <w:pStyle w:val="Tekstpodstawowy"/>
        <w:numPr>
          <w:ilvl w:val="0"/>
          <w:numId w:val="143"/>
        </w:numPr>
        <w:rPr>
          <w:color w:val="0073AE" w:themeColor="accent1"/>
        </w:rPr>
      </w:pPr>
      <w:r w:rsidRPr="00921F02">
        <w:rPr>
          <w:b/>
          <w:bCs/>
          <w:color w:val="0073AE" w:themeColor="accent1"/>
        </w:rPr>
        <w:t>Enhance end-to-end capabilities and funding of disruptive pharma innovation</w:t>
      </w:r>
      <w:r w:rsidR="00A352F7" w:rsidRPr="00D12647">
        <w:rPr>
          <w:b/>
          <w:bCs/>
          <w:color w:val="0073AE" w:themeColor="accent1"/>
        </w:rPr>
        <w:t>.</w:t>
      </w:r>
      <w:r w:rsidR="00A352F7">
        <w:rPr>
          <w:color w:val="0073AE" w:themeColor="accent1"/>
        </w:rPr>
        <w:t xml:space="preserve"> </w:t>
      </w:r>
      <w:r w:rsidR="00A352F7" w:rsidRPr="00D12647">
        <w:t xml:space="preserve">This has a </w:t>
      </w:r>
      <w:proofErr w:type="spellStart"/>
      <w:r w:rsidR="00A352F7" w:rsidRPr="00D12647">
        <w:t>spillover</w:t>
      </w:r>
      <w:proofErr w:type="spellEnd"/>
      <w:r w:rsidR="00A352F7" w:rsidRPr="00D12647">
        <w:t xml:space="preserve"> </w:t>
      </w:r>
      <w:r w:rsidR="0095436C">
        <w:t>effect</w:t>
      </w:r>
      <w:r w:rsidR="00A352F7" w:rsidRPr="00D12647">
        <w:t>: a critical driver of most new investments is the location and performance of existing R&amp;D or manufacturing footprint</w:t>
      </w:r>
      <w:r w:rsidR="00595C3E">
        <w:t>s</w:t>
      </w:r>
      <w:r w:rsidR="00A352F7">
        <w:t xml:space="preserve">. </w:t>
      </w:r>
      <w:r w:rsidR="00595C3E">
        <w:t>A</w:t>
      </w:r>
      <w:r w:rsidR="00A352F7">
        <w:t xml:space="preserve">s emerging US- and China-headquartered companies continue to grow into medium- and large-sized enterprises, </w:t>
      </w:r>
      <w:r w:rsidR="00B75656">
        <w:t xml:space="preserve">it is likely that they will invest in Europe, but </w:t>
      </w:r>
      <w:r w:rsidR="00A352F7">
        <w:t xml:space="preserve">their investments will be more heavily directed towards the US and China </w:t>
      </w:r>
      <w:r w:rsidR="00411CD5">
        <w:t xml:space="preserve">than to </w:t>
      </w:r>
      <w:r w:rsidR="00A352F7">
        <w:t>Europe</w:t>
      </w:r>
      <w:r w:rsidR="000D44B7">
        <w:t xml:space="preserve"> (i</w:t>
      </w:r>
      <w:r w:rsidR="000117D6">
        <w:t>.</w:t>
      </w:r>
      <w:r w:rsidR="000D44B7">
        <w:t>e</w:t>
      </w:r>
      <w:r w:rsidR="000117D6">
        <w:t>.</w:t>
      </w:r>
      <w:r w:rsidR="000D44B7">
        <w:t xml:space="preserve"> close to their home base)</w:t>
      </w:r>
      <w:r w:rsidR="00A352F7">
        <w:t xml:space="preserve">. Although positive trends can be observed in some Member States in supporting the growth of companies, there could be benefit from adopting a more pan-EU </w:t>
      </w:r>
      <w:r w:rsidR="00EF3D1E">
        <w:t>policy and funding</w:t>
      </w:r>
      <w:r w:rsidR="00A352F7">
        <w:t xml:space="preserve"> strategy to accelerate </w:t>
      </w:r>
      <w:r w:rsidR="002115C3">
        <w:t>these efforts</w:t>
      </w:r>
      <w:r w:rsidR="00A352F7">
        <w:t>.</w:t>
      </w:r>
    </w:p>
    <w:p w14:paraId="0A64EBF1" w14:textId="77777777" w:rsidR="00A352F7" w:rsidRDefault="00A352F7" w:rsidP="00A352F7">
      <w:pPr>
        <w:pStyle w:val="Nagwek4"/>
      </w:pPr>
      <w:r>
        <w:t>The impact of new technologies on dynamics and location of investment</w:t>
      </w:r>
    </w:p>
    <w:p w14:paraId="5CBC42AF" w14:textId="2000BC23" w:rsidR="00A352F7" w:rsidRDefault="00A352F7" w:rsidP="00A352F7">
      <w:pPr>
        <w:pStyle w:val="Tekstpodstawowy"/>
      </w:pPr>
      <w:r>
        <w:t xml:space="preserve">The changing nature of science and healthcare needs to be </w:t>
      </w:r>
      <w:bookmarkStart w:id="6" w:name="_Int_IONTjPs5"/>
      <w:r>
        <w:t>taken into account</w:t>
      </w:r>
      <w:bookmarkEnd w:id="6"/>
      <w:r>
        <w:t xml:space="preserve"> to fully understand recent global trends in pharmaceutical industry investment. In this report we focus</w:t>
      </w:r>
      <w:r w:rsidR="00B75656">
        <w:t>, based</w:t>
      </w:r>
      <w:r w:rsidR="009E0826">
        <w:t xml:space="preserve"> </w:t>
      </w:r>
      <w:r w:rsidR="00B75656">
        <w:t xml:space="preserve">on feedback from our interviews, </w:t>
      </w:r>
      <w:r>
        <w:t xml:space="preserve">on Advanced Therapy Medicinal Products (ATMPs) and on </w:t>
      </w:r>
      <w:r w:rsidR="00B75656">
        <w:t xml:space="preserve">the </w:t>
      </w:r>
      <w:r>
        <w:t>digital transformation in life sciences</w:t>
      </w:r>
      <w:r w:rsidR="0076112B">
        <w:t xml:space="preserve"> as example </w:t>
      </w:r>
      <w:r w:rsidR="00FD5AAA">
        <w:t>of new therapeutic solutions</w:t>
      </w:r>
      <w:r>
        <w:t xml:space="preserve">. </w:t>
      </w:r>
      <w:r w:rsidR="006E069A">
        <w:t>While</w:t>
      </w:r>
      <w:r>
        <w:t xml:space="preserve"> Europe produces more scientific publications on ATMPs than any other </w:t>
      </w:r>
      <w:r>
        <w:lastRenderedPageBreak/>
        <w:t>region,</w:t>
      </w:r>
      <w:r w:rsidR="00446C75">
        <w:rPr>
          <w:rStyle w:val="Odwoanieprzypisudolnego"/>
        </w:rPr>
        <w:footnoteReference w:id="5"/>
      </w:r>
      <w:r>
        <w:t xml:space="preserve"> the clinical trial activity is twice as high in the US and almost three times as high in China.</w:t>
      </w:r>
      <w:bookmarkStart w:id="7" w:name="_Ref109920969"/>
      <w:r w:rsidR="00446C75">
        <w:rPr>
          <w:rStyle w:val="Odwoanieprzypisudolnego"/>
        </w:rPr>
        <w:footnoteReference w:id="6"/>
      </w:r>
      <w:bookmarkEnd w:id="7"/>
      <w:r>
        <w:t xml:space="preserve"> Around half of the world’s ATMP manufacturing facilities are in the US.</w:t>
      </w:r>
      <w:r w:rsidR="00446C75" w:rsidRPr="00B75656">
        <w:rPr>
          <w:rStyle w:val="Odwoanieprzypisudolnego"/>
        </w:rPr>
        <w:fldChar w:fldCharType="begin"/>
      </w:r>
      <w:r w:rsidR="00446C75" w:rsidRPr="00B75656">
        <w:rPr>
          <w:rStyle w:val="Odwoanieprzypisudolnego"/>
        </w:rPr>
        <w:instrText xml:space="preserve"> NOTEREF _Ref109920969 \h </w:instrText>
      </w:r>
      <w:r w:rsidR="00446C75">
        <w:rPr>
          <w:rStyle w:val="Odwoanieprzypisudolnego"/>
        </w:rPr>
        <w:instrText xml:space="preserve"> \* MERGEFORMAT </w:instrText>
      </w:r>
      <w:r w:rsidR="00446C75" w:rsidRPr="00B75656">
        <w:rPr>
          <w:rStyle w:val="Odwoanieprzypisudolnego"/>
        </w:rPr>
      </w:r>
      <w:r w:rsidR="00446C75" w:rsidRPr="00B75656">
        <w:rPr>
          <w:rStyle w:val="Odwoanieprzypisudolnego"/>
        </w:rPr>
        <w:fldChar w:fldCharType="separate"/>
      </w:r>
      <w:r w:rsidR="00446C75" w:rsidRPr="00B75656">
        <w:rPr>
          <w:rStyle w:val="Odwoanieprzypisudolnego"/>
        </w:rPr>
        <w:t>5</w:t>
      </w:r>
      <w:r w:rsidR="00446C75" w:rsidRPr="00B75656">
        <w:rPr>
          <w:rStyle w:val="Odwoanieprzypisudolnego"/>
        </w:rPr>
        <w:fldChar w:fldCharType="end"/>
      </w:r>
      <w:r>
        <w:t xml:space="preserve"> </w:t>
      </w:r>
      <w:r w:rsidR="00901667">
        <w:t xml:space="preserve">A </w:t>
      </w:r>
      <w:r w:rsidR="00A8728B">
        <w:t xml:space="preserve">general </w:t>
      </w:r>
      <w:r>
        <w:t>weakness in Europe</w:t>
      </w:r>
      <w:r w:rsidR="00901667">
        <w:t xml:space="preserve"> for </w:t>
      </w:r>
      <w:r w:rsidR="008C539C">
        <w:t>pharmaceutical innovation</w:t>
      </w:r>
      <w:r>
        <w:t xml:space="preserve"> </w:t>
      </w:r>
      <w:r w:rsidR="00A8728B">
        <w:t>is in the</w:t>
      </w:r>
      <w:r>
        <w:t xml:space="preserve"> translation of scientific concepts into commercial products</w:t>
      </w:r>
      <w:r w:rsidR="009D40E4">
        <w:t>; this has particular ramifications for ATMPs</w:t>
      </w:r>
      <w:r>
        <w:t xml:space="preserve">. Our research has led to two main </w:t>
      </w:r>
      <w:r w:rsidR="00456F2C">
        <w:t>recommendations</w:t>
      </w:r>
      <w:r>
        <w:t>:</w:t>
      </w:r>
    </w:p>
    <w:p w14:paraId="3D570E03" w14:textId="4BD1F128" w:rsidR="00A352F7" w:rsidRDefault="00826BCF" w:rsidP="000A2E03">
      <w:pPr>
        <w:pStyle w:val="Tekstpodstawowy"/>
        <w:numPr>
          <w:ilvl w:val="0"/>
          <w:numId w:val="143"/>
        </w:numPr>
      </w:pPr>
      <w:r w:rsidRPr="00826BCF">
        <w:rPr>
          <w:b/>
          <w:bCs/>
          <w:color w:val="0073AE" w:themeColor="accent1"/>
        </w:rPr>
        <w:t>Rethink policies along the supply chain to attract ATMP investment in Europe</w:t>
      </w:r>
      <w:r w:rsidR="00A352F7" w:rsidRPr="00D12647">
        <w:rPr>
          <w:b/>
          <w:bCs/>
          <w:color w:val="0073AE" w:themeColor="accent1"/>
        </w:rPr>
        <w:t>.</w:t>
      </w:r>
      <w:r w:rsidR="00A352F7" w:rsidRPr="00D12647">
        <w:rPr>
          <w:color w:val="0073AE" w:themeColor="accent1"/>
        </w:rPr>
        <w:t xml:space="preserve"> </w:t>
      </w:r>
      <w:r w:rsidR="00A352F7" w:rsidRPr="00CC19B9">
        <w:t xml:space="preserve">Given the complexity of the technology and the precision </w:t>
      </w:r>
      <w:r w:rsidR="003D6715">
        <w:t>involved</w:t>
      </w:r>
      <w:r w:rsidR="00A352F7" w:rsidRPr="00CC19B9">
        <w:t xml:space="preserve">, the </w:t>
      </w:r>
      <w:r w:rsidR="003D6715">
        <w:t>ATMP</w:t>
      </w:r>
      <w:r w:rsidR="00A352F7" w:rsidRPr="00CC19B9">
        <w:t xml:space="preserve"> value</w:t>
      </w:r>
      <w:r w:rsidR="006E069A">
        <w:t xml:space="preserve"> </w:t>
      </w:r>
      <w:r w:rsidR="00A352F7" w:rsidRPr="00CC19B9">
        <w:t>chain is more interconnected than for small molecules and biologics</w:t>
      </w:r>
      <w:r w:rsidR="00A352F7">
        <w:t xml:space="preserve">. Attracting </w:t>
      </w:r>
      <w:r w:rsidR="004C133F">
        <w:t xml:space="preserve">early </w:t>
      </w:r>
      <w:r w:rsidR="00A352F7">
        <w:t xml:space="preserve">research that is then translated into </w:t>
      </w:r>
      <w:r w:rsidR="004F6FD0">
        <w:t>therapies</w:t>
      </w:r>
      <w:r w:rsidR="00A352F7">
        <w:t xml:space="preserve"> that can reach patients requires an </w:t>
      </w:r>
      <w:r w:rsidR="00A352F7">
        <w:rPr>
          <w:color w:val="000000" w:themeColor="text1"/>
        </w:rPr>
        <w:t xml:space="preserve">innovation-oriented </w:t>
      </w:r>
      <w:r w:rsidR="00727584">
        <w:rPr>
          <w:color w:val="000000" w:themeColor="text1"/>
        </w:rPr>
        <w:t xml:space="preserve">access </w:t>
      </w:r>
      <w:r w:rsidR="00173EC4">
        <w:rPr>
          <w:color w:val="000000" w:themeColor="text1"/>
        </w:rPr>
        <w:t>environment</w:t>
      </w:r>
      <w:r w:rsidR="00A352F7">
        <w:rPr>
          <w:color w:val="000000" w:themeColor="text1"/>
        </w:rPr>
        <w:t xml:space="preserve">, not just </w:t>
      </w:r>
      <w:r w:rsidR="00727584">
        <w:rPr>
          <w:color w:val="000000" w:themeColor="text1"/>
        </w:rPr>
        <w:t xml:space="preserve">an </w:t>
      </w:r>
      <w:r w:rsidR="00A352F7">
        <w:rPr>
          <w:color w:val="000000" w:themeColor="text1"/>
        </w:rPr>
        <w:t xml:space="preserve">academic </w:t>
      </w:r>
      <w:r w:rsidR="00727584">
        <w:rPr>
          <w:color w:val="000000" w:themeColor="text1"/>
        </w:rPr>
        <w:t>eco</w:t>
      </w:r>
      <w:r w:rsidR="00173EC4">
        <w:rPr>
          <w:color w:val="000000" w:themeColor="text1"/>
        </w:rPr>
        <w:t>system</w:t>
      </w:r>
      <w:r w:rsidR="006F056A">
        <w:rPr>
          <w:color w:val="000000" w:themeColor="text1"/>
        </w:rPr>
        <w:t xml:space="preserve"> with strong centres of excellence</w:t>
      </w:r>
      <w:r w:rsidR="00A352F7">
        <w:rPr>
          <w:color w:val="000000" w:themeColor="text1"/>
        </w:rPr>
        <w:t xml:space="preserve">. </w:t>
      </w:r>
      <w:r w:rsidR="009B5ABA">
        <w:rPr>
          <w:color w:val="000000" w:themeColor="text1"/>
        </w:rPr>
        <w:t>For ATMPs, t</w:t>
      </w:r>
      <w:r w:rsidR="004C133F">
        <w:rPr>
          <w:color w:val="000000" w:themeColor="text1"/>
        </w:rPr>
        <w:t xml:space="preserve">his </w:t>
      </w:r>
      <w:r w:rsidR="00173EC4">
        <w:rPr>
          <w:color w:val="000000" w:themeColor="text1"/>
        </w:rPr>
        <w:t>access environment</w:t>
      </w:r>
      <w:r w:rsidR="001F4BEC">
        <w:rPr>
          <w:color w:val="000000" w:themeColor="text1"/>
        </w:rPr>
        <w:t xml:space="preserve">, in which </w:t>
      </w:r>
      <w:r w:rsidR="00173EC4">
        <w:rPr>
          <w:color w:val="000000" w:themeColor="text1"/>
        </w:rPr>
        <w:t>companies can be sure to achieve a</w:t>
      </w:r>
      <w:r w:rsidR="009A2B26">
        <w:rPr>
          <w:color w:val="000000" w:themeColor="text1"/>
        </w:rPr>
        <w:t>n appropriate return on investment</w:t>
      </w:r>
      <w:r w:rsidR="001F4BEC">
        <w:rPr>
          <w:color w:val="000000" w:themeColor="text1"/>
        </w:rPr>
        <w:t>,</w:t>
      </w:r>
      <w:r w:rsidR="00173EC4">
        <w:rPr>
          <w:color w:val="000000" w:themeColor="text1"/>
        </w:rPr>
        <w:t xml:space="preserve"> </w:t>
      </w:r>
      <w:r w:rsidR="00A352F7">
        <w:rPr>
          <w:color w:val="000000" w:themeColor="text1"/>
        </w:rPr>
        <w:t>then</w:t>
      </w:r>
      <w:r w:rsidR="008715EB">
        <w:rPr>
          <w:color w:val="000000" w:themeColor="text1"/>
        </w:rPr>
        <w:t xml:space="preserve"> also</w:t>
      </w:r>
      <w:r w:rsidR="00A352F7">
        <w:rPr>
          <w:color w:val="000000" w:themeColor="text1"/>
        </w:rPr>
        <w:t xml:space="preserve"> acts as a magnet </w:t>
      </w:r>
      <w:r w:rsidR="006E069A">
        <w:rPr>
          <w:color w:val="000000" w:themeColor="text1"/>
        </w:rPr>
        <w:t>for</w:t>
      </w:r>
      <w:r w:rsidR="00A352F7">
        <w:rPr>
          <w:color w:val="000000" w:themeColor="text1"/>
        </w:rPr>
        <w:t xml:space="preserve"> attracting manufacturing activities, because for ATMPs </w:t>
      </w:r>
      <w:r w:rsidR="00A352F7">
        <w:t xml:space="preserve">“the process is the product”. </w:t>
      </w:r>
      <w:r w:rsidR="00B75656">
        <w:t>The old approach of siloed policymaking focused on innovation, manufacturing and healthcare sustainability</w:t>
      </w:r>
      <w:r w:rsidR="00A352F7">
        <w:t xml:space="preserve"> </w:t>
      </w:r>
      <w:r w:rsidR="00B75656">
        <w:t>does not work.</w:t>
      </w:r>
    </w:p>
    <w:p w14:paraId="4FC16C25" w14:textId="7608CB61" w:rsidR="00A352F7" w:rsidRDefault="009B5ABA" w:rsidP="009B5ABA">
      <w:pPr>
        <w:pStyle w:val="Tekstpodstawowy"/>
        <w:numPr>
          <w:ilvl w:val="0"/>
          <w:numId w:val="143"/>
        </w:numPr>
      </w:pPr>
      <w:r w:rsidRPr="009B5ABA">
        <w:rPr>
          <w:b/>
          <w:bCs/>
          <w:color w:val="0073AE" w:themeColor="accent1"/>
        </w:rPr>
        <w:t xml:space="preserve">Support innovation </w:t>
      </w:r>
      <w:r w:rsidR="00447CD4">
        <w:rPr>
          <w:b/>
          <w:bCs/>
          <w:color w:val="0073AE" w:themeColor="accent1"/>
        </w:rPr>
        <w:t>by implementing</w:t>
      </w:r>
      <w:r w:rsidRPr="009B5ABA">
        <w:rPr>
          <w:b/>
          <w:bCs/>
          <w:color w:val="0073AE" w:themeColor="accent1"/>
        </w:rPr>
        <w:t xml:space="preserve"> early access mechanisms, including generation and use of real-world evidence</w:t>
      </w:r>
      <w:r w:rsidR="00A352F7" w:rsidRPr="00CF5C2F">
        <w:rPr>
          <w:b/>
          <w:bCs/>
          <w:color w:val="0073AE" w:themeColor="accent1"/>
        </w:rPr>
        <w:t>.</w:t>
      </w:r>
      <w:r w:rsidR="00A352F7" w:rsidRPr="00CF5C2F">
        <w:rPr>
          <w:color w:val="0073AE" w:themeColor="accent1"/>
        </w:rPr>
        <w:t xml:space="preserve"> </w:t>
      </w:r>
      <w:r w:rsidR="0064725C" w:rsidRPr="00B75656">
        <w:rPr>
          <w:color w:val="000000" w:themeColor="text1"/>
        </w:rPr>
        <w:t xml:space="preserve">Given the challenges with evidence development, </w:t>
      </w:r>
      <w:r w:rsidR="0064725C" w:rsidRPr="00CF5C2F">
        <w:rPr>
          <w:color w:val="000000" w:themeColor="text1"/>
        </w:rPr>
        <w:t xml:space="preserve">ATMPs </w:t>
      </w:r>
      <w:r w:rsidR="00014D1E">
        <w:rPr>
          <w:color w:val="000000" w:themeColor="text1"/>
        </w:rPr>
        <w:t xml:space="preserve">for instance </w:t>
      </w:r>
      <w:r w:rsidR="0064725C" w:rsidRPr="00CF5C2F">
        <w:rPr>
          <w:color w:val="000000" w:themeColor="text1"/>
        </w:rPr>
        <w:t xml:space="preserve">are more likely to launch with </w:t>
      </w:r>
      <w:r w:rsidR="00EE669E">
        <w:rPr>
          <w:color w:val="000000" w:themeColor="text1"/>
        </w:rPr>
        <w:t xml:space="preserve">limited </w:t>
      </w:r>
      <w:r w:rsidR="0064725C" w:rsidRPr="00CF5C2F">
        <w:rPr>
          <w:color w:val="000000" w:themeColor="text1"/>
        </w:rPr>
        <w:t>Phase II</w:t>
      </w:r>
      <w:r w:rsidR="00EE669E">
        <w:rPr>
          <w:color w:val="000000" w:themeColor="text1"/>
        </w:rPr>
        <w:t>/III</w:t>
      </w:r>
      <w:r w:rsidR="0064725C" w:rsidRPr="00CF5C2F">
        <w:rPr>
          <w:color w:val="000000" w:themeColor="text1"/>
        </w:rPr>
        <w:t xml:space="preserve"> data</w:t>
      </w:r>
      <w:r w:rsidR="0061293E" w:rsidRPr="00CF5C2F">
        <w:rPr>
          <w:color w:val="000000" w:themeColor="text1"/>
        </w:rPr>
        <w:t xml:space="preserve"> and subsequently generate real</w:t>
      </w:r>
      <w:r w:rsidR="006E069A">
        <w:rPr>
          <w:color w:val="000000" w:themeColor="text1"/>
        </w:rPr>
        <w:t>-</w:t>
      </w:r>
      <w:r w:rsidR="0061293E" w:rsidRPr="00CF5C2F">
        <w:rPr>
          <w:color w:val="000000" w:themeColor="text1"/>
        </w:rPr>
        <w:t xml:space="preserve">world evidence (RWE). </w:t>
      </w:r>
      <w:r w:rsidR="00A352F7">
        <w:t xml:space="preserve">Europe </w:t>
      </w:r>
      <w:r w:rsidR="00B75656">
        <w:t xml:space="preserve">needs to </w:t>
      </w:r>
      <w:r w:rsidR="00A352F7">
        <w:t xml:space="preserve">create an environment </w:t>
      </w:r>
      <w:r w:rsidR="006E069A">
        <w:t xml:space="preserve">that is </w:t>
      </w:r>
      <w:r w:rsidR="00A352F7">
        <w:t>more conducive to ATMP development</w:t>
      </w:r>
      <w:r w:rsidR="00C62ACB">
        <w:t>,</w:t>
      </w:r>
      <w:r w:rsidR="00A352F7">
        <w:t xml:space="preserve"> by supporting generation and use of </w:t>
      </w:r>
      <w:r w:rsidR="00F41050">
        <w:t xml:space="preserve">RWE </w:t>
      </w:r>
      <w:r w:rsidR="009F1EAB">
        <w:t>and acceptance o</w:t>
      </w:r>
      <w:r w:rsidR="001E0B3F">
        <w:t>f</w:t>
      </w:r>
      <w:r w:rsidR="00DE3BC5">
        <w:t xml:space="preserve"> RWE by payers and </w:t>
      </w:r>
      <w:r w:rsidR="00C62ACB">
        <w:t>health technology assessment (</w:t>
      </w:r>
      <w:r w:rsidR="00DE3BC5">
        <w:t>HTA</w:t>
      </w:r>
      <w:r w:rsidR="00C62ACB">
        <w:t>)</w:t>
      </w:r>
      <w:r w:rsidR="00DE3BC5">
        <w:t xml:space="preserve"> bodies through</w:t>
      </w:r>
      <w:r w:rsidR="00A352F7">
        <w:t xml:space="preserve"> appropriate </w:t>
      </w:r>
      <w:r w:rsidR="00546CDA">
        <w:t xml:space="preserve">pricing and </w:t>
      </w:r>
      <w:r w:rsidR="00A352F7">
        <w:t>market access routes.</w:t>
      </w:r>
    </w:p>
    <w:p w14:paraId="4A5EA63A" w14:textId="7AE7CA48" w:rsidR="00A352F7" w:rsidRDefault="00A352F7" w:rsidP="00A352F7">
      <w:pPr>
        <w:pStyle w:val="Tekstpodstawowy"/>
      </w:pPr>
      <w:r>
        <w:t>Digital transformation in life sciences is also increasingly impacting all pharmaceutical business functions, health systems, and all aspects of the pharmaceutical value chain. P</w:t>
      </w:r>
      <w:r w:rsidRPr="001500DB">
        <w:t xml:space="preserve">harmaceutical companies </w:t>
      </w:r>
      <w:r>
        <w:t xml:space="preserve">increasingly </w:t>
      </w:r>
      <w:r w:rsidRPr="001500DB">
        <w:t xml:space="preserve">look towards countries </w:t>
      </w:r>
      <w:bookmarkStart w:id="8" w:name="_Int_Y5qoEmPr"/>
      <w:r w:rsidRPr="001500DB">
        <w:t>where</w:t>
      </w:r>
      <w:bookmarkEnd w:id="8"/>
      <w:r w:rsidRPr="001500DB">
        <w:t xml:space="preserve"> the</w:t>
      </w:r>
      <w:r w:rsidR="00451128">
        <w:t>r</w:t>
      </w:r>
      <w:r w:rsidRPr="001500DB">
        <w:t>e is a supportive digital ecosystem</w:t>
      </w:r>
      <w:r>
        <w:t>.</w:t>
      </w:r>
      <w:r w:rsidR="00B75656">
        <w:t xml:space="preserve"> Currently the US is far ahead of Europe in terms of digital infrastructure</w:t>
      </w:r>
      <w:r w:rsidR="00605688">
        <w:t xml:space="preserve">, </w:t>
      </w:r>
      <w:r w:rsidR="00B75656">
        <w:t>interconnectedness</w:t>
      </w:r>
      <w:r w:rsidR="00605688">
        <w:t xml:space="preserve"> and interoperability.</w:t>
      </w:r>
      <w:r w:rsidR="0049538F">
        <w:t xml:space="preserve"> Thus we recomme</w:t>
      </w:r>
      <w:r w:rsidR="00744CF1">
        <w:t>n</w:t>
      </w:r>
      <w:r w:rsidR="0049538F">
        <w:t>d the following:</w:t>
      </w:r>
    </w:p>
    <w:p w14:paraId="2C1BD04B" w14:textId="46D7C87C" w:rsidR="00A352F7" w:rsidRPr="00827FD4" w:rsidRDefault="004376EF" w:rsidP="000A2E03">
      <w:pPr>
        <w:pStyle w:val="Tekstpodstawowy"/>
        <w:numPr>
          <w:ilvl w:val="0"/>
          <w:numId w:val="143"/>
        </w:numPr>
      </w:pPr>
      <w:r w:rsidRPr="004376EF">
        <w:rPr>
          <w:b/>
          <w:bCs/>
          <w:color w:val="0073AE" w:themeColor="accent1"/>
        </w:rPr>
        <w:t>Boost EU digital transformation and support development of digital capabilities</w:t>
      </w:r>
      <w:r w:rsidR="00A352F7" w:rsidRPr="00D12647">
        <w:rPr>
          <w:b/>
          <w:bCs/>
          <w:color w:val="0073AE" w:themeColor="accent1"/>
        </w:rPr>
        <w:t>.</w:t>
      </w:r>
      <w:r w:rsidR="00A352F7" w:rsidRPr="00D12647">
        <w:rPr>
          <w:color w:val="0073AE" w:themeColor="accent1"/>
        </w:rPr>
        <w:t xml:space="preserve"> </w:t>
      </w:r>
      <w:r w:rsidR="00A352F7" w:rsidRPr="00D12647">
        <w:rPr>
          <w:color w:val="000000" w:themeColor="text1"/>
        </w:rPr>
        <w:t>To enable digitalisation, for example through automation of value</w:t>
      </w:r>
      <w:r w:rsidR="006E069A">
        <w:rPr>
          <w:color w:val="000000" w:themeColor="text1"/>
        </w:rPr>
        <w:t xml:space="preserve"> </w:t>
      </w:r>
      <w:r w:rsidR="00A352F7" w:rsidRPr="00D12647">
        <w:rPr>
          <w:color w:val="000000" w:themeColor="text1"/>
        </w:rPr>
        <w:t xml:space="preserve">chains or virtual clinical trials, pharmaceutical companies are being drawn towards locations with a workforce that is </w:t>
      </w:r>
      <w:r w:rsidR="00A352F7">
        <w:t>well-versed in digital technology and where the broader ecosystem is digital-ready. The EU’s top-ranking biopharma clusters, however, rank poorly on digital competitiveness.</w:t>
      </w:r>
      <w:r w:rsidR="00ED6176">
        <w:rPr>
          <w:rStyle w:val="Odwoanieprzypisudolnego"/>
        </w:rPr>
        <w:footnoteReference w:id="7"/>
      </w:r>
      <w:r w:rsidR="00A352F7">
        <w:t xml:space="preserve"> Europe could take a more proactive </w:t>
      </w:r>
      <w:r w:rsidR="00905F16">
        <w:t>role</w:t>
      </w:r>
      <w:r w:rsidR="00A352F7">
        <w:t xml:space="preserve"> in upskilling the scientific workforce in digital technologies and accelerating the digitalisation of health systems.</w:t>
      </w:r>
    </w:p>
    <w:p w14:paraId="4212A330" w14:textId="28898C7E" w:rsidR="00A352F7" w:rsidRDefault="00A352F7" w:rsidP="00A352F7">
      <w:pPr>
        <w:pStyle w:val="Nagwek4"/>
      </w:pPr>
      <w:r>
        <w:lastRenderedPageBreak/>
        <w:t xml:space="preserve">Learning from </w:t>
      </w:r>
      <w:r w:rsidR="00A32716">
        <w:t xml:space="preserve">crises like the </w:t>
      </w:r>
      <w:r>
        <w:t xml:space="preserve">COVID-19 </w:t>
      </w:r>
      <w:r w:rsidR="00C62ACB">
        <w:t xml:space="preserve">pandemic </w:t>
      </w:r>
      <w:r>
        <w:t>and managing risk and the external environment</w:t>
      </w:r>
    </w:p>
    <w:p w14:paraId="600B4F63" w14:textId="48ED3283" w:rsidR="00A352F7" w:rsidRDefault="00A352F7" w:rsidP="00A352F7">
      <w:pPr>
        <w:pStyle w:val="Tekstpodstawowy"/>
      </w:pPr>
      <w:r>
        <w:t>Pharmaceutical investments, although undertaken with a long-term outlook, are not unaffected by major disruptive events such as the COVID-19 pandemic, the war in Ukraine, tensions over global trade, the climate emergency</w:t>
      </w:r>
      <w:r w:rsidR="005C3CDA">
        <w:t xml:space="preserve"> and the recent global energy crisis</w:t>
      </w:r>
      <w:r>
        <w:t xml:space="preserve">. The COVID-19 pandemic has had the most tangible impact on industrial policy thus far, with increased attention being paid to the resilience of pharmaceutical supply chains and calls for localisation of manufacturing. </w:t>
      </w:r>
      <w:r w:rsidR="0049538F">
        <w:t>Our final recommendations are as follows:</w:t>
      </w:r>
    </w:p>
    <w:p w14:paraId="2CF178D6" w14:textId="76A87AC0" w:rsidR="00A352F7" w:rsidRDefault="00520ED9" w:rsidP="000A2E03">
      <w:pPr>
        <w:pStyle w:val="Tekstpodstawowy"/>
        <w:numPr>
          <w:ilvl w:val="0"/>
          <w:numId w:val="143"/>
        </w:numPr>
      </w:pPr>
      <w:r w:rsidRPr="00520ED9">
        <w:rPr>
          <w:b/>
          <w:bCs/>
          <w:color w:val="0073AE" w:themeColor="accent1"/>
        </w:rPr>
        <w:t>Foster adoption of sustainable procurement and pricing policies for innovation</w:t>
      </w:r>
      <w:r w:rsidR="00A352F7" w:rsidRPr="00D12647">
        <w:rPr>
          <w:b/>
          <w:bCs/>
          <w:color w:val="0073AE" w:themeColor="accent1"/>
        </w:rPr>
        <w:t>.</w:t>
      </w:r>
      <w:r w:rsidR="00A352F7" w:rsidRPr="00D12647">
        <w:rPr>
          <w:color w:val="0073AE" w:themeColor="accent1"/>
        </w:rPr>
        <w:t xml:space="preserve"> </w:t>
      </w:r>
      <w:r w:rsidR="008B6B31">
        <w:t>There is a danger that industrial policy becomes focused on the most novel technologies and relocating manufacturing o</w:t>
      </w:r>
      <w:r w:rsidR="00BA59D9">
        <w:t>f</w:t>
      </w:r>
      <w:r w:rsidR="008B6B31">
        <w:t xml:space="preserve"> off-patent medicines</w:t>
      </w:r>
      <w:r w:rsidR="008E19B0">
        <w:t>,</w:t>
      </w:r>
      <w:r w:rsidR="008B6B31">
        <w:t xml:space="preserve"> and the need for a sustainable market is overlooked. Ongoing investment in manufacturing</w:t>
      </w:r>
      <w:r w:rsidR="00B36581">
        <w:t xml:space="preserve"> and</w:t>
      </w:r>
      <w:r w:rsidR="008B6B31">
        <w:t xml:space="preserve"> the development of medicines need</w:t>
      </w:r>
      <w:r w:rsidR="00B36581">
        <w:t>s</w:t>
      </w:r>
      <w:r w:rsidR="008B6B31">
        <w:t xml:space="preserve"> to be supported by policymakers</w:t>
      </w:r>
      <w:r w:rsidR="00A32716">
        <w:t xml:space="preserve"> and governments</w:t>
      </w:r>
      <w:r w:rsidR="00D8435A">
        <w:t xml:space="preserve">, for example through sustainable pricing policies and </w:t>
      </w:r>
      <w:r w:rsidR="003C5C0D">
        <w:t>a robust and stable intellectual property environment</w:t>
      </w:r>
      <w:r w:rsidR="0082076E">
        <w:t>;</w:t>
      </w:r>
      <w:r w:rsidR="008B6B31">
        <w:t xml:space="preserve"> this has implications for types of innovation receiving public support, procurement, </w:t>
      </w:r>
      <w:r w:rsidR="00692B1D">
        <w:t xml:space="preserve">and </w:t>
      </w:r>
      <w:r w:rsidR="008B6B31">
        <w:t xml:space="preserve">the </w:t>
      </w:r>
      <w:r w:rsidR="00656CF9">
        <w:t>trade-off between</w:t>
      </w:r>
      <w:r w:rsidR="008F157C">
        <w:t xml:space="preserve"> </w:t>
      </w:r>
      <w:r w:rsidR="00A20CBC">
        <w:t xml:space="preserve">investing in </w:t>
      </w:r>
      <w:r w:rsidR="00EB6CFB">
        <w:t>mature</w:t>
      </w:r>
      <w:r w:rsidR="00EE5596">
        <w:t xml:space="preserve"> </w:t>
      </w:r>
      <w:r w:rsidR="00672696">
        <w:t xml:space="preserve">and future </w:t>
      </w:r>
      <w:r w:rsidR="00EE5596">
        <w:t>technologies</w:t>
      </w:r>
      <w:r w:rsidR="008B6B31">
        <w:t>.</w:t>
      </w:r>
    </w:p>
    <w:p w14:paraId="46B5647C" w14:textId="63E324EC" w:rsidR="00A352F7" w:rsidRDefault="00012EC8" w:rsidP="000A2E03">
      <w:pPr>
        <w:pStyle w:val="Tekstpodstawowy"/>
        <w:numPr>
          <w:ilvl w:val="0"/>
          <w:numId w:val="143"/>
        </w:numPr>
      </w:pPr>
      <w:r w:rsidRPr="00012EC8">
        <w:rPr>
          <w:b/>
          <w:bCs/>
          <w:color w:val="0073AE" w:themeColor="accent1"/>
        </w:rPr>
        <w:t xml:space="preserve">Develop a longer-term, collaborative method for </w:t>
      </w:r>
      <w:r w:rsidR="00422650">
        <w:rPr>
          <w:b/>
          <w:bCs/>
          <w:color w:val="0073AE" w:themeColor="accent1"/>
        </w:rPr>
        <w:t>encouraging</w:t>
      </w:r>
      <w:r w:rsidR="00422650" w:rsidRPr="00012EC8">
        <w:rPr>
          <w:b/>
          <w:bCs/>
          <w:color w:val="0073AE" w:themeColor="accent1"/>
        </w:rPr>
        <w:t xml:space="preserve"> </w:t>
      </w:r>
      <w:r w:rsidRPr="00012EC8">
        <w:rPr>
          <w:b/>
          <w:bCs/>
          <w:color w:val="0073AE" w:themeColor="accent1"/>
        </w:rPr>
        <w:t>growth in Europe’s attractiveness for biopharmaceutical investments</w:t>
      </w:r>
      <w:r w:rsidR="00A352F7" w:rsidRPr="00D12647">
        <w:rPr>
          <w:b/>
          <w:bCs/>
          <w:color w:val="0073AE" w:themeColor="accent1"/>
        </w:rPr>
        <w:t xml:space="preserve">. </w:t>
      </w:r>
      <w:r w:rsidR="00A352F7" w:rsidRPr="00AF02F9">
        <w:t>The increase or perceived increase in risk in the global environment</w:t>
      </w:r>
      <w:r w:rsidR="00A352F7">
        <w:t xml:space="preserve"> resulting from recent geopolitical challenges </w:t>
      </w:r>
      <w:r w:rsidR="00D34A02">
        <w:t xml:space="preserve">has </w:t>
      </w:r>
      <w:r w:rsidR="00A352F7">
        <w:t xml:space="preserve">implications for where companies are placing their investments. </w:t>
      </w:r>
      <w:r w:rsidR="008B6B31">
        <w:t xml:space="preserve">This could affect the attractiveness of Europe, </w:t>
      </w:r>
      <w:r w:rsidR="00D34A02">
        <w:t xml:space="preserve">both </w:t>
      </w:r>
      <w:r w:rsidR="008B6B31">
        <w:t>positively and negatively</w:t>
      </w:r>
      <w:r w:rsidR="00A352F7">
        <w:t xml:space="preserve">. </w:t>
      </w:r>
      <w:r w:rsidR="008E27D3" w:rsidRPr="008E27D3">
        <w:t xml:space="preserve">Europe needs to establish an effective process for implementation of the Pharmaceutical Strategy (its first in over 50 years since the first pharmaceutical legislation was implemented in the EU) with </w:t>
      </w:r>
      <w:r w:rsidR="0049538F">
        <w:t>ongoing</w:t>
      </w:r>
      <w:r w:rsidR="008E27D3" w:rsidRPr="008E27D3">
        <w:t xml:space="preserve"> dialogue regarding how the environment will change over 5-, 10- and 20-year timescale</w:t>
      </w:r>
      <w:r w:rsidR="00D34A02">
        <w:t>s</w:t>
      </w:r>
      <w:r w:rsidR="008E27D3" w:rsidRPr="008E27D3">
        <w:t xml:space="preserve">, </w:t>
      </w:r>
      <w:r w:rsidR="00D34A02">
        <w:t xml:space="preserve">and </w:t>
      </w:r>
      <w:r w:rsidR="008E27D3" w:rsidRPr="008E27D3">
        <w:t>the expect</w:t>
      </w:r>
      <w:r w:rsidR="00D34A02">
        <w:t>ed</w:t>
      </w:r>
      <w:r w:rsidR="008E27D3" w:rsidRPr="008E27D3">
        <w:t xml:space="preserve"> and actual impact of policy changes, and ensuring a focus and impact on innovation as well as production</w:t>
      </w:r>
      <w:r w:rsidR="00D34A02">
        <w:t>.</w:t>
      </w:r>
    </w:p>
    <w:bookmarkEnd w:id="5"/>
    <w:p w14:paraId="708523C0" w14:textId="2817B0B9" w:rsidR="009C11A8" w:rsidRDefault="009C11A8" w:rsidP="009C11A8">
      <w:pPr>
        <w:rPr>
          <w:rFonts w:ascii="Arial" w:hAnsi="Arial"/>
          <w:color w:val="FF0000"/>
          <w:sz w:val="20"/>
        </w:rPr>
      </w:pPr>
    </w:p>
    <w:p w14:paraId="225F7891" w14:textId="77777777" w:rsidR="00F152A6" w:rsidRDefault="00F152A6" w:rsidP="000A2E03">
      <w:pPr>
        <w:pStyle w:val="Nagwek1"/>
        <w:ind w:left="0"/>
      </w:pPr>
      <w:bookmarkStart w:id="9" w:name="_Toc110152014"/>
      <w:bookmarkStart w:id="10" w:name="_Toc106104518"/>
      <w:bookmarkStart w:id="11" w:name="_Toc115717771"/>
      <w:bookmarkEnd w:id="9"/>
      <w:r>
        <w:lastRenderedPageBreak/>
        <w:t>Introduction</w:t>
      </w:r>
      <w:bookmarkEnd w:id="10"/>
      <w:bookmarkEnd w:id="11"/>
    </w:p>
    <w:p w14:paraId="43A11224" w14:textId="49CEEF7E" w:rsidR="00F152A6" w:rsidRPr="003F4041" w:rsidRDefault="00F152A6" w:rsidP="00F152A6">
      <w:pPr>
        <w:pStyle w:val="Tekstpodstawowy"/>
      </w:pPr>
      <w:r>
        <w:t xml:space="preserve">Charles River Associates (‘CRA’) was commissioned by the European Federation of </w:t>
      </w:r>
      <w:r w:rsidRPr="00C31218">
        <w:t xml:space="preserve">Pharmaceutical Industries and Associations (‘EFPIA’) to undertake an analysis of global trends in </w:t>
      </w:r>
      <w:r w:rsidRPr="00D942C8">
        <w:t>biopharmaceutical research</w:t>
      </w:r>
      <w:r w:rsidR="007B18CD" w:rsidRPr="00D942C8">
        <w:t xml:space="preserve"> and development</w:t>
      </w:r>
      <w:r w:rsidR="005345B6">
        <w:t xml:space="preserve"> (R&amp;D)</w:t>
      </w:r>
      <w:r w:rsidRPr="00D942C8">
        <w:t xml:space="preserve">, </w:t>
      </w:r>
      <w:r w:rsidR="007B18CD" w:rsidRPr="00D942C8">
        <w:t xml:space="preserve">with a </w:t>
      </w:r>
      <w:r w:rsidR="009055AD">
        <w:t xml:space="preserve">separate </w:t>
      </w:r>
      <w:r w:rsidR="007B18CD" w:rsidRPr="00D942C8">
        <w:t xml:space="preserve">focus on </w:t>
      </w:r>
      <w:r w:rsidR="009055AD">
        <w:t xml:space="preserve">research and </w:t>
      </w:r>
      <w:r w:rsidRPr="00D942C8">
        <w:t>clinical trials</w:t>
      </w:r>
      <w:r w:rsidR="007B18CD" w:rsidRPr="00D942C8">
        <w:t>,</w:t>
      </w:r>
      <w:r w:rsidRPr="00D942C8">
        <w:t xml:space="preserve"> and </w:t>
      </w:r>
      <w:r w:rsidR="007B18CD" w:rsidRPr="00D942C8">
        <w:t xml:space="preserve">the </w:t>
      </w:r>
      <w:r w:rsidRPr="00D942C8">
        <w:t>manufacturing</w:t>
      </w:r>
      <w:r w:rsidR="007B18CD" w:rsidRPr="00D942C8">
        <w:t xml:space="preserve"> of innovative medicines</w:t>
      </w:r>
      <w:r w:rsidR="00CF1D4B">
        <w:t>. T</w:t>
      </w:r>
      <w:r>
        <w:t>he aim</w:t>
      </w:r>
      <w:r w:rsidR="00CF1D4B">
        <w:t xml:space="preserve"> was to</w:t>
      </w:r>
      <w:r>
        <w:t xml:space="preserve"> understand the factors behind </w:t>
      </w:r>
      <w:r w:rsidR="007B18CD">
        <w:t xml:space="preserve">changes in </w:t>
      </w:r>
      <w:r>
        <w:t>Europe’s attractiveness as a location for biopharmaceutical companies to invest</w:t>
      </w:r>
      <w:r w:rsidR="007B18CD">
        <w:t xml:space="preserve"> compared to that of </w:t>
      </w:r>
      <w:r w:rsidR="00F465C9">
        <w:t>the United States, Japan and China</w:t>
      </w:r>
      <w:r w:rsidR="00846486">
        <w:t xml:space="preserve">. The aim of the analysis was to </w:t>
      </w:r>
      <w:r>
        <w:t xml:space="preserve">consider if there </w:t>
      </w:r>
      <w:r w:rsidR="00B9128B">
        <w:t xml:space="preserve">are </w:t>
      </w:r>
      <w:r>
        <w:t>policy lessons and recommendations for boosting Europe’s attractiveness.</w:t>
      </w:r>
    </w:p>
    <w:p w14:paraId="1541C327" w14:textId="77777777" w:rsidR="00F152A6" w:rsidRDefault="00F152A6" w:rsidP="00F152A6">
      <w:pPr>
        <w:pStyle w:val="Nagwek2"/>
        <w:ind w:left="0"/>
      </w:pPr>
      <w:bookmarkStart w:id="12" w:name="_Toc106104519"/>
      <w:bookmarkStart w:id="13" w:name="_Toc115717772"/>
      <w:r>
        <w:t>Background</w:t>
      </w:r>
      <w:bookmarkEnd w:id="12"/>
      <w:bookmarkEnd w:id="13"/>
    </w:p>
    <w:p w14:paraId="0B3FC85B" w14:textId="5D20E1E7" w:rsidR="00FB6C07" w:rsidRDefault="00FB6C07" w:rsidP="00F152A6">
      <w:pPr>
        <w:pStyle w:val="Tekstpodstawowy"/>
        <w:rPr>
          <w:color w:val="000000" w:themeColor="text1"/>
        </w:rPr>
      </w:pPr>
      <w:r>
        <w:rPr>
          <w:color w:val="000000" w:themeColor="text1"/>
        </w:rPr>
        <w:t xml:space="preserve">Europe is a leading centre for biopharmaceutical innovation and manufacturing. Looking across </w:t>
      </w:r>
      <w:r w:rsidR="005C2784">
        <w:rPr>
          <w:color w:val="000000" w:themeColor="text1"/>
        </w:rPr>
        <w:t>M</w:t>
      </w:r>
      <w:r w:rsidR="00A87768">
        <w:rPr>
          <w:color w:val="000000" w:themeColor="text1"/>
        </w:rPr>
        <w:t>e</w:t>
      </w:r>
      <w:r>
        <w:rPr>
          <w:color w:val="000000" w:themeColor="text1"/>
        </w:rPr>
        <w:t xml:space="preserve">mber </w:t>
      </w:r>
      <w:r w:rsidR="005C2784">
        <w:rPr>
          <w:color w:val="000000" w:themeColor="text1"/>
        </w:rPr>
        <w:t>S</w:t>
      </w:r>
      <w:r>
        <w:rPr>
          <w:color w:val="000000" w:themeColor="text1"/>
        </w:rPr>
        <w:t>tates, we can find activity across every country</w:t>
      </w:r>
      <w:r w:rsidR="004434F5">
        <w:rPr>
          <w:color w:val="000000" w:themeColor="text1"/>
        </w:rPr>
        <w:t xml:space="preserve"> and the industry makes a significant contribution to employment and economic activity</w:t>
      </w:r>
      <w:r>
        <w:rPr>
          <w:color w:val="000000" w:themeColor="text1"/>
        </w:rPr>
        <w:t>.</w:t>
      </w:r>
      <w:r w:rsidR="00BD4C5B">
        <w:rPr>
          <w:color w:val="000000" w:themeColor="text1"/>
        </w:rPr>
        <w:t xml:space="preserve"> </w:t>
      </w:r>
    </w:p>
    <w:p w14:paraId="16E85B01" w14:textId="041B4743" w:rsidR="00F152A6" w:rsidRDefault="00F152A6" w:rsidP="00F152A6">
      <w:pPr>
        <w:pStyle w:val="Tekstpodstawowy"/>
        <w:rPr>
          <w:color w:val="000000" w:themeColor="text1"/>
        </w:rPr>
      </w:pPr>
      <w:r>
        <w:rPr>
          <w:color w:val="000000" w:themeColor="text1"/>
        </w:rPr>
        <w:t xml:space="preserve">The </w:t>
      </w:r>
      <w:r w:rsidR="00A60A2F">
        <w:rPr>
          <w:color w:val="000000" w:themeColor="text1"/>
        </w:rPr>
        <w:t xml:space="preserve">subject of </w:t>
      </w:r>
      <w:r w:rsidR="00FB6C07">
        <w:rPr>
          <w:color w:val="000000" w:themeColor="text1"/>
        </w:rPr>
        <w:t xml:space="preserve">this study is </w:t>
      </w:r>
      <w:r>
        <w:rPr>
          <w:color w:val="000000" w:themeColor="text1"/>
        </w:rPr>
        <w:t>what drives investment location and the performance of Europe</w:t>
      </w:r>
      <w:r w:rsidR="00CF7B4F">
        <w:rPr>
          <w:color w:val="000000" w:themeColor="text1"/>
        </w:rPr>
        <w:t xml:space="preserve"> relative to other global regions</w:t>
      </w:r>
      <w:r w:rsidR="004434F5">
        <w:rPr>
          <w:color w:val="000000" w:themeColor="text1"/>
        </w:rPr>
        <w:t xml:space="preserve"> and how this has changed</w:t>
      </w:r>
      <w:r w:rsidR="00FB6C07">
        <w:rPr>
          <w:color w:val="000000" w:themeColor="text1"/>
        </w:rPr>
        <w:t xml:space="preserve">. </w:t>
      </w:r>
      <w:r w:rsidR="00FB6C07" w:rsidRPr="00875719">
        <w:rPr>
          <w:color w:val="000000" w:themeColor="text1"/>
        </w:rPr>
        <w:t>This</w:t>
      </w:r>
      <w:r w:rsidRPr="00875719">
        <w:rPr>
          <w:color w:val="000000" w:themeColor="text1"/>
        </w:rPr>
        <w:t xml:space="preserve"> is </w:t>
      </w:r>
      <w:r w:rsidR="00390574" w:rsidRPr="00D942C8">
        <w:rPr>
          <w:color w:val="000000" w:themeColor="text1"/>
        </w:rPr>
        <w:t xml:space="preserve">not </w:t>
      </w:r>
      <w:r w:rsidR="00FB6C07" w:rsidRPr="00D942C8">
        <w:rPr>
          <w:color w:val="000000" w:themeColor="text1"/>
        </w:rPr>
        <w:t xml:space="preserve">a </w:t>
      </w:r>
      <w:r w:rsidR="00390574" w:rsidRPr="00D942C8">
        <w:rPr>
          <w:color w:val="000000" w:themeColor="text1"/>
        </w:rPr>
        <w:t>new</w:t>
      </w:r>
      <w:r w:rsidR="00FB6C07" w:rsidRPr="00875719">
        <w:rPr>
          <w:color w:val="000000" w:themeColor="text1"/>
        </w:rPr>
        <w:t xml:space="preserve"> area</w:t>
      </w:r>
      <w:r w:rsidR="00FB6C07">
        <w:rPr>
          <w:color w:val="000000" w:themeColor="text1"/>
        </w:rPr>
        <w:t xml:space="preserve"> for research</w:t>
      </w:r>
      <w:r>
        <w:rPr>
          <w:color w:val="000000" w:themeColor="text1"/>
        </w:rPr>
        <w:t>. Many studies have been undertaken by academics, on behalf of the European Commission and on behalf of the industry</w:t>
      </w:r>
      <w:r w:rsidR="00D9539F">
        <w:rPr>
          <w:color w:val="000000" w:themeColor="text1"/>
        </w:rPr>
        <w:t>,</w:t>
      </w:r>
      <w:r w:rsidR="00390574">
        <w:rPr>
          <w:color w:val="000000" w:themeColor="text1"/>
        </w:rPr>
        <w:t xml:space="preserve"> over the last twenty years</w:t>
      </w:r>
      <w:r>
        <w:rPr>
          <w:color w:val="000000" w:themeColor="text1"/>
        </w:rPr>
        <w:t>.</w:t>
      </w:r>
      <w:r w:rsidR="00D363C0">
        <w:rPr>
          <w:color w:val="000000" w:themeColor="text1"/>
        </w:rPr>
        <w:t xml:space="preserve"> However, the environment </w:t>
      </w:r>
      <w:r w:rsidR="00390574">
        <w:rPr>
          <w:color w:val="000000" w:themeColor="text1"/>
        </w:rPr>
        <w:t xml:space="preserve">continues to </w:t>
      </w:r>
      <w:r w:rsidR="006476E1">
        <w:rPr>
          <w:color w:val="000000" w:themeColor="text1"/>
        </w:rPr>
        <w:t xml:space="preserve">evolve </w:t>
      </w:r>
      <w:r w:rsidR="00070D2D">
        <w:rPr>
          <w:color w:val="000000" w:themeColor="text1"/>
        </w:rPr>
        <w:t xml:space="preserve">as a result of </w:t>
      </w:r>
      <w:r w:rsidR="00390574">
        <w:rPr>
          <w:color w:val="000000" w:themeColor="text1"/>
        </w:rPr>
        <w:t xml:space="preserve">new technologies, </w:t>
      </w:r>
      <w:r w:rsidR="00D363C0">
        <w:rPr>
          <w:color w:val="000000" w:themeColor="text1"/>
        </w:rPr>
        <w:t xml:space="preserve">the </w:t>
      </w:r>
      <w:r w:rsidR="00390574">
        <w:rPr>
          <w:color w:val="000000" w:themeColor="text1"/>
        </w:rPr>
        <w:t>changes in the industry business model, global policy changes affecting innovation</w:t>
      </w:r>
      <w:r w:rsidR="00070D2D">
        <w:rPr>
          <w:color w:val="000000" w:themeColor="text1"/>
        </w:rPr>
        <w:t>,</w:t>
      </w:r>
      <w:r w:rsidR="00390574">
        <w:rPr>
          <w:color w:val="000000" w:themeColor="text1"/>
        </w:rPr>
        <w:t xml:space="preserve"> and events such as</w:t>
      </w:r>
      <w:r w:rsidR="00D812E4">
        <w:rPr>
          <w:color w:val="000000" w:themeColor="text1"/>
        </w:rPr>
        <w:t xml:space="preserve"> the</w:t>
      </w:r>
      <w:r w:rsidR="00390574">
        <w:rPr>
          <w:color w:val="000000" w:themeColor="text1"/>
        </w:rPr>
        <w:t xml:space="preserve"> COVID</w:t>
      </w:r>
      <w:r w:rsidR="00D812E4">
        <w:rPr>
          <w:color w:val="000000" w:themeColor="text1"/>
        </w:rPr>
        <w:t>-19 pandemic</w:t>
      </w:r>
      <w:r w:rsidR="00AB40C8">
        <w:rPr>
          <w:color w:val="000000" w:themeColor="text1"/>
        </w:rPr>
        <w:t>,</w:t>
      </w:r>
      <w:r w:rsidR="00390574">
        <w:rPr>
          <w:color w:val="000000" w:themeColor="text1"/>
        </w:rPr>
        <w:t xml:space="preserve"> leading to new question</w:t>
      </w:r>
      <w:r w:rsidR="00D812E4">
        <w:rPr>
          <w:color w:val="000000" w:themeColor="text1"/>
        </w:rPr>
        <w:t>s</w:t>
      </w:r>
      <w:r w:rsidR="00390574">
        <w:rPr>
          <w:color w:val="000000" w:themeColor="text1"/>
        </w:rPr>
        <w:t xml:space="preserve"> about the </w:t>
      </w:r>
      <w:r w:rsidR="00D812E4">
        <w:rPr>
          <w:color w:val="000000" w:themeColor="text1"/>
        </w:rPr>
        <w:t xml:space="preserve">location </w:t>
      </w:r>
      <w:r w:rsidR="00390574">
        <w:rPr>
          <w:color w:val="000000" w:themeColor="text1"/>
        </w:rPr>
        <w:t>of pharmaceutical value chain</w:t>
      </w:r>
      <w:r w:rsidR="00631370" w:rsidRPr="00631370">
        <w:rPr>
          <w:color w:val="000000" w:themeColor="text1"/>
        </w:rPr>
        <w:t>.</w:t>
      </w:r>
      <w:r w:rsidR="00390574">
        <w:rPr>
          <w:color w:val="000000" w:themeColor="text1"/>
        </w:rPr>
        <w:t xml:space="preserve"> </w:t>
      </w:r>
      <w:r w:rsidR="00220669">
        <w:rPr>
          <w:color w:val="000000" w:themeColor="text1"/>
        </w:rPr>
        <w:t>Moreover, there has been an increasing desire by European governments for R&amp;D investment and job growth.</w:t>
      </w:r>
      <w:r w:rsidR="00390574">
        <w:rPr>
          <w:color w:val="000000" w:themeColor="text1"/>
        </w:rPr>
        <w:t xml:space="preserve"> As set out recently by the European Commission in the Pharmaceutical Strategy</w:t>
      </w:r>
      <w:r w:rsidR="00D812E4">
        <w:rPr>
          <w:color w:val="000000" w:themeColor="text1"/>
        </w:rPr>
        <w:t>,</w:t>
      </w:r>
      <w:r w:rsidR="00390574">
        <w:rPr>
          <w:color w:val="000000" w:themeColor="text1"/>
        </w:rPr>
        <w:t xml:space="preserve"> location is an important policy debate.</w:t>
      </w:r>
      <w:r w:rsidR="00CA2E64">
        <w:rPr>
          <w:rStyle w:val="Odwoanieprzypisudolnego"/>
          <w:color w:val="000000" w:themeColor="text1"/>
        </w:rPr>
        <w:footnoteReference w:id="8"/>
      </w:r>
      <w:r w:rsidR="005F4D04">
        <w:rPr>
          <w:color w:val="000000" w:themeColor="text1"/>
        </w:rPr>
        <w:t xml:space="preserve"> </w:t>
      </w:r>
    </w:p>
    <w:p w14:paraId="6AF7F2CD" w14:textId="4060486D" w:rsidR="00F152A6" w:rsidRDefault="00F152A6" w:rsidP="00F152A6">
      <w:pPr>
        <w:pStyle w:val="Tekstpodstawowy"/>
        <w:rPr>
          <w:color w:val="000000" w:themeColor="text1"/>
        </w:rPr>
      </w:pPr>
      <w:r>
        <w:rPr>
          <w:rFonts w:cs="Arial"/>
        </w:rPr>
        <w:t>The relative decline in Europe’s attractiveness as a centre for innovation and manufacturing has been a concern for many years</w:t>
      </w:r>
      <w:r w:rsidR="0061586F">
        <w:rPr>
          <w:rFonts w:cs="Arial"/>
        </w:rPr>
        <w:t xml:space="preserve">, with a series of studies at the beginning of the </w:t>
      </w:r>
      <w:r w:rsidR="00D812E4">
        <w:rPr>
          <w:rFonts w:cs="Arial"/>
        </w:rPr>
        <w:t>century</w:t>
      </w:r>
      <w:r>
        <w:rPr>
          <w:rFonts w:cs="Arial"/>
        </w:rPr>
        <w:t>.</w:t>
      </w:r>
      <w:r>
        <w:rPr>
          <w:rStyle w:val="Odwoanieprzypisudolnego"/>
          <w:rFonts w:cs="Arial"/>
        </w:rPr>
        <w:footnoteReference w:id="9"/>
      </w:r>
      <w:r>
        <w:rPr>
          <w:rFonts w:cs="Arial"/>
        </w:rPr>
        <w:t xml:space="preserve"> This analysis was subsequently updated during the </w:t>
      </w:r>
      <w:r w:rsidR="00D812E4">
        <w:rPr>
          <w:rFonts w:cs="Arial"/>
        </w:rPr>
        <w:t>Pharmaceutical</w:t>
      </w:r>
      <w:r w:rsidR="0061586F">
        <w:rPr>
          <w:rFonts w:cs="Arial"/>
        </w:rPr>
        <w:t xml:space="preserve"> Sector Inquiry </w:t>
      </w:r>
      <w:r>
        <w:rPr>
          <w:rFonts w:cs="Arial"/>
        </w:rPr>
        <w:t xml:space="preserve">and periodically over the last decade. </w:t>
      </w:r>
      <w:r w:rsidR="008619D7">
        <w:rPr>
          <w:rFonts w:cs="Arial"/>
        </w:rPr>
        <w:t>In some cases, studies have looked specifically a</w:t>
      </w:r>
      <w:r w:rsidR="00874D49">
        <w:rPr>
          <w:rFonts w:cs="Arial"/>
        </w:rPr>
        <w:t>t</w:t>
      </w:r>
      <w:r w:rsidR="008619D7">
        <w:rPr>
          <w:rFonts w:cs="Arial"/>
        </w:rPr>
        <w:t xml:space="preserve"> biopharmaceutical</w:t>
      </w:r>
      <w:r w:rsidR="00874D49">
        <w:rPr>
          <w:rFonts w:cs="Arial"/>
        </w:rPr>
        <w:t>s</w:t>
      </w:r>
      <w:r w:rsidR="00070D2D">
        <w:rPr>
          <w:rFonts w:cs="Arial"/>
        </w:rPr>
        <w:t>,</w:t>
      </w:r>
      <w:r w:rsidR="008619D7">
        <w:rPr>
          <w:rFonts w:cs="Arial"/>
        </w:rPr>
        <w:t xml:space="preserve"> and in other cases, more generally across sectors</w:t>
      </w:r>
      <w:r w:rsidR="00004812">
        <w:rPr>
          <w:rFonts w:cs="Arial"/>
        </w:rPr>
        <w:t xml:space="preserve"> but highlighting biopharmaceuticals</w:t>
      </w:r>
      <w:r w:rsidR="008619D7">
        <w:rPr>
          <w:rFonts w:cs="Arial"/>
        </w:rPr>
        <w:t>.</w:t>
      </w:r>
      <w:r w:rsidR="008619D7">
        <w:rPr>
          <w:rStyle w:val="Odwoanieprzypisudolnego"/>
          <w:rFonts w:cs="Arial"/>
        </w:rPr>
        <w:footnoteReference w:id="10"/>
      </w:r>
      <w:r w:rsidR="002F221F" w:rsidRPr="00D942C8">
        <w:rPr>
          <w:rFonts w:cs="Arial"/>
          <w:vertAlign w:val="superscript"/>
        </w:rPr>
        <w:t>,</w:t>
      </w:r>
      <w:r w:rsidR="002F221F">
        <w:rPr>
          <w:rStyle w:val="Odwoanieprzypisudolnego"/>
          <w:rFonts w:cs="Arial"/>
        </w:rPr>
        <w:footnoteReference w:id="11"/>
      </w:r>
      <w:r w:rsidR="008619D7">
        <w:rPr>
          <w:rFonts w:cs="Arial"/>
        </w:rPr>
        <w:t xml:space="preserve"> </w:t>
      </w:r>
      <w:r w:rsidR="0061586F">
        <w:rPr>
          <w:rFonts w:cs="Arial"/>
        </w:rPr>
        <w:t xml:space="preserve">The general conclusion is that Europe has underperformed when compared to the </w:t>
      </w:r>
      <w:r w:rsidR="00070D2D">
        <w:rPr>
          <w:rFonts w:cs="Arial"/>
        </w:rPr>
        <w:t xml:space="preserve">US </w:t>
      </w:r>
      <w:r w:rsidR="0061586F">
        <w:rPr>
          <w:rFonts w:cs="Arial"/>
        </w:rPr>
        <w:t xml:space="preserve">and growth in other regions. </w:t>
      </w:r>
      <w:r>
        <w:rPr>
          <w:rFonts w:cs="Arial"/>
        </w:rPr>
        <w:t xml:space="preserve">This is evident from statistics on </w:t>
      </w:r>
      <w:r w:rsidR="00070D2D">
        <w:rPr>
          <w:rFonts w:cs="Arial"/>
        </w:rPr>
        <w:t xml:space="preserve">the </w:t>
      </w:r>
      <w:r>
        <w:rPr>
          <w:rFonts w:cs="Arial"/>
        </w:rPr>
        <w:t xml:space="preserve">percentage </w:t>
      </w:r>
      <w:r w:rsidRPr="00836BAB">
        <w:rPr>
          <w:rFonts w:cs="Arial"/>
        </w:rPr>
        <w:t>of global new treatments</w:t>
      </w:r>
      <w:r w:rsidR="00373739">
        <w:rPr>
          <w:rFonts w:cs="Arial"/>
        </w:rPr>
        <w:t xml:space="preserve"> that</w:t>
      </w:r>
      <w:r w:rsidRPr="00836BAB">
        <w:rPr>
          <w:rFonts w:cs="Arial"/>
        </w:rPr>
        <w:t xml:space="preserve"> are of </w:t>
      </w:r>
      <w:r w:rsidR="00070D2D">
        <w:rPr>
          <w:rFonts w:cs="Arial"/>
        </w:rPr>
        <w:t xml:space="preserve">European </w:t>
      </w:r>
      <w:r w:rsidRPr="00836BAB">
        <w:rPr>
          <w:rFonts w:cs="Arial"/>
        </w:rPr>
        <w:t>origin</w:t>
      </w:r>
      <w:r>
        <w:rPr>
          <w:rFonts w:cs="Arial"/>
        </w:rPr>
        <w:t xml:space="preserve">, the region’s share of </w:t>
      </w:r>
      <w:r w:rsidR="00070D2D">
        <w:rPr>
          <w:rFonts w:cs="Arial"/>
        </w:rPr>
        <w:lastRenderedPageBreak/>
        <w:t>g</w:t>
      </w:r>
      <w:r>
        <w:rPr>
          <w:rFonts w:cs="Arial"/>
        </w:rPr>
        <w:t>lobal R&amp;D, the investment in early phases of product development, the number of patents</w:t>
      </w:r>
      <w:r w:rsidR="007509FF">
        <w:rPr>
          <w:rFonts w:cs="Arial"/>
        </w:rPr>
        <w:t>,</w:t>
      </w:r>
      <w:r>
        <w:rPr>
          <w:rFonts w:cs="Arial"/>
        </w:rPr>
        <w:t xml:space="preserve"> and employment in R&amp;D.</w:t>
      </w:r>
      <w:r>
        <w:rPr>
          <w:rStyle w:val="Odwoanieprzypisudolnego"/>
          <w:rFonts w:cs="Arial"/>
        </w:rPr>
        <w:footnoteReference w:id="12"/>
      </w:r>
      <w:r>
        <w:rPr>
          <w:color w:val="000000" w:themeColor="text1"/>
        </w:rPr>
        <w:t xml:space="preserve"> </w:t>
      </w:r>
    </w:p>
    <w:p w14:paraId="0F5F1C38" w14:textId="53245AFC" w:rsidR="00F152A6" w:rsidRDefault="00F152A6" w:rsidP="00F152A6">
      <w:pPr>
        <w:pStyle w:val="Tekstpodstawowy"/>
        <w:rPr>
          <w:color w:val="000000" w:themeColor="text1"/>
        </w:rPr>
      </w:pPr>
      <w:r>
        <w:rPr>
          <w:color w:val="000000" w:themeColor="text1"/>
        </w:rPr>
        <w:t>There are many surveys gathering investor sentiment</w:t>
      </w:r>
      <w:r w:rsidR="001F0027">
        <w:rPr>
          <w:color w:val="000000" w:themeColor="text1"/>
        </w:rPr>
        <w:t xml:space="preserve"> on the location of investments</w:t>
      </w:r>
      <w:r>
        <w:rPr>
          <w:color w:val="000000" w:themeColor="text1"/>
        </w:rPr>
        <w:t>. It is possible to look historically at the annual Kearney</w:t>
      </w:r>
      <w:r w:rsidR="007509FF">
        <w:rPr>
          <w:color w:val="000000" w:themeColor="text1"/>
        </w:rPr>
        <w:t xml:space="preserve"> Foreign Direct Investment (</w:t>
      </w:r>
      <w:r>
        <w:rPr>
          <w:color w:val="000000" w:themeColor="text1"/>
        </w:rPr>
        <w:t>FDI</w:t>
      </w:r>
      <w:r w:rsidR="007509FF">
        <w:rPr>
          <w:color w:val="000000" w:themeColor="text1"/>
        </w:rPr>
        <w:t>)</w:t>
      </w:r>
      <w:r>
        <w:rPr>
          <w:color w:val="000000" w:themeColor="text1"/>
        </w:rPr>
        <w:t xml:space="preserve"> Confidence Index from 2005 to present.</w:t>
      </w:r>
      <w:r>
        <w:rPr>
          <w:rStyle w:val="Odwoanieprzypisudolnego"/>
          <w:color w:val="000000" w:themeColor="text1"/>
        </w:rPr>
        <w:footnoteReference w:id="13"/>
      </w:r>
      <w:r w:rsidR="00EC401D" w:rsidRPr="00EC401D">
        <w:rPr>
          <w:color w:val="000000" w:themeColor="text1"/>
          <w:vertAlign w:val="superscript"/>
        </w:rPr>
        <w:t>,</w:t>
      </w:r>
      <w:r w:rsidR="008B450D">
        <w:rPr>
          <w:rStyle w:val="Odwoanieprzypisudolnego"/>
          <w:color w:val="000000" w:themeColor="text1"/>
        </w:rPr>
        <w:footnoteReference w:id="14"/>
      </w:r>
      <w:r w:rsidR="00EC401D">
        <w:rPr>
          <w:color w:val="000000" w:themeColor="text1"/>
          <w:vertAlign w:val="superscript"/>
        </w:rPr>
        <w:t>,</w:t>
      </w:r>
      <w:bookmarkStart w:id="14" w:name="_Ref110003535"/>
      <w:r w:rsidR="008B450D">
        <w:rPr>
          <w:rStyle w:val="Odwoanieprzypisudolnego"/>
          <w:color w:val="000000" w:themeColor="text1"/>
        </w:rPr>
        <w:footnoteReference w:id="15"/>
      </w:r>
      <w:bookmarkEnd w:id="14"/>
      <w:r w:rsidR="00B5142B" w:rsidRPr="00D942C8">
        <w:rPr>
          <w:color w:val="000000" w:themeColor="text1"/>
        </w:rPr>
        <w:t xml:space="preserve"> </w:t>
      </w:r>
      <w:r>
        <w:rPr>
          <w:rFonts w:cs="Arial"/>
        </w:rPr>
        <w:t>These</w:t>
      </w:r>
      <w:r w:rsidR="00CD4420">
        <w:rPr>
          <w:rFonts w:cs="Arial"/>
        </w:rPr>
        <w:t xml:space="preserve"> surveys</w:t>
      </w:r>
      <w:r>
        <w:rPr>
          <w:rFonts w:cs="Arial"/>
        </w:rPr>
        <w:t xml:space="preserve"> </w:t>
      </w:r>
      <w:r w:rsidR="00F465C9">
        <w:rPr>
          <w:rFonts w:cs="Arial"/>
        </w:rPr>
        <w:t xml:space="preserve">show </w:t>
      </w:r>
      <w:r w:rsidR="000505A6">
        <w:rPr>
          <w:rFonts w:cs="Arial"/>
        </w:rPr>
        <w:t xml:space="preserve">that </w:t>
      </w:r>
      <w:r w:rsidR="00F465C9">
        <w:rPr>
          <w:rFonts w:cs="Arial"/>
        </w:rPr>
        <w:t>a number of factors are important for attracting investment</w:t>
      </w:r>
      <w:r>
        <w:rPr>
          <w:rFonts w:cs="Arial"/>
        </w:rPr>
        <w:t xml:space="preserve">: </w:t>
      </w:r>
      <w:r w:rsidR="000505A6">
        <w:rPr>
          <w:rFonts w:cs="Arial"/>
        </w:rPr>
        <w:t xml:space="preserve">a </w:t>
      </w:r>
      <w:r w:rsidRPr="0044188E">
        <w:rPr>
          <w:rFonts w:cs="Arial"/>
        </w:rPr>
        <w:t>stable political situation</w:t>
      </w:r>
      <w:r>
        <w:rPr>
          <w:rFonts w:cs="Arial"/>
        </w:rPr>
        <w:t xml:space="preserve">; </w:t>
      </w:r>
      <w:r w:rsidRPr="006D4595">
        <w:t>strong commitment and legislative framework for intellectual p</w:t>
      </w:r>
      <w:r w:rsidRPr="00000EA7">
        <w:t>roperty and</w:t>
      </w:r>
      <w:r w:rsidRPr="003C0409">
        <w:t xml:space="preserve"> regulatory incentives</w:t>
      </w:r>
      <w:r w:rsidRPr="003C0409">
        <w:rPr>
          <w:rFonts w:cs="Arial"/>
        </w:rPr>
        <w:t>; strong</w:t>
      </w:r>
      <w:r w:rsidRPr="0044188E">
        <w:rPr>
          <w:rFonts w:cs="Arial"/>
        </w:rPr>
        <w:t xml:space="preserve"> and effective anti-corruption policies</w:t>
      </w:r>
      <w:r>
        <w:rPr>
          <w:rFonts w:cs="Arial"/>
        </w:rPr>
        <w:t xml:space="preserve">; </w:t>
      </w:r>
      <w:r w:rsidR="000505A6">
        <w:rPr>
          <w:rFonts w:cs="Arial"/>
        </w:rPr>
        <w:t xml:space="preserve">a </w:t>
      </w:r>
      <w:r w:rsidRPr="0044188E">
        <w:rPr>
          <w:rFonts w:cs="Arial"/>
        </w:rPr>
        <w:t>strong science</w:t>
      </w:r>
      <w:r w:rsidR="004B1B9B">
        <w:rPr>
          <w:rFonts w:cs="Arial"/>
        </w:rPr>
        <w:t>-</w:t>
      </w:r>
      <w:r w:rsidRPr="0044188E">
        <w:rPr>
          <w:rFonts w:cs="Arial"/>
        </w:rPr>
        <w:t>based educational model; world</w:t>
      </w:r>
      <w:r w:rsidR="00BD4C5B">
        <w:rPr>
          <w:rFonts w:cs="Arial"/>
        </w:rPr>
        <w:t>-</w:t>
      </w:r>
      <w:r w:rsidRPr="0044188E">
        <w:rPr>
          <w:rFonts w:cs="Arial"/>
        </w:rPr>
        <w:t>class university life sciences centres of excellence and associated private sector biopharma clusters</w:t>
      </w:r>
      <w:r>
        <w:rPr>
          <w:rFonts w:cs="Arial"/>
        </w:rPr>
        <w:t xml:space="preserve">; </w:t>
      </w:r>
      <w:r w:rsidR="000505A6">
        <w:rPr>
          <w:rFonts w:cs="Arial"/>
        </w:rPr>
        <w:t xml:space="preserve">a </w:t>
      </w:r>
      <w:r w:rsidRPr="006D4595">
        <w:t xml:space="preserve">strong national medicines regulatory agency </w:t>
      </w:r>
      <w:r w:rsidR="000505A6">
        <w:t xml:space="preserve">that is </w:t>
      </w:r>
      <w:r w:rsidRPr="006D4595">
        <w:t>up</w:t>
      </w:r>
      <w:r w:rsidR="000505A6">
        <w:t xml:space="preserve"> </w:t>
      </w:r>
      <w:r w:rsidRPr="006D4595">
        <w:t>to</w:t>
      </w:r>
      <w:r w:rsidR="000505A6">
        <w:t xml:space="preserve"> </w:t>
      </w:r>
      <w:r w:rsidRPr="006D4595">
        <w:t>speed on advanced</w:t>
      </w:r>
      <w:r w:rsidRPr="002D01BA">
        <w:t xml:space="preserve"> medicines and diagnostics regulation</w:t>
      </w:r>
      <w:r w:rsidR="004C0DED">
        <w:t xml:space="preserve">; </w:t>
      </w:r>
      <w:r w:rsidR="002075DE">
        <w:t xml:space="preserve">and </w:t>
      </w:r>
      <w:r w:rsidR="00965439">
        <w:t xml:space="preserve">ease of moving </w:t>
      </w:r>
      <w:r w:rsidR="00547DE0">
        <w:t>capital into and out of the country</w:t>
      </w:r>
      <w:r w:rsidRPr="0044188E">
        <w:rPr>
          <w:rFonts w:cs="Arial"/>
        </w:rPr>
        <w:t xml:space="preserve">. </w:t>
      </w:r>
      <w:r>
        <w:rPr>
          <w:color w:val="000000" w:themeColor="text1"/>
        </w:rPr>
        <w:t xml:space="preserve">By looking at rankings over time, we can also observe the evolving competitive dynamics between Europe, the US and China. China’s rise to the top of investment attractiveness rankings is evident over the last two decades, although notably with a gradual drop in global ranking from number two in 2016 to number </w:t>
      </w:r>
      <w:r w:rsidR="00FC0B20">
        <w:rPr>
          <w:color w:val="000000" w:themeColor="text1"/>
        </w:rPr>
        <w:t xml:space="preserve">10 </w:t>
      </w:r>
      <w:r>
        <w:rPr>
          <w:color w:val="000000" w:themeColor="text1"/>
        </w:rPr>
        <w:t>in 2022</w:t>
      </w:r>
      <w:r w:rsidR="006A52F9">
        <w:rPr>
          <w:color w:val="000000" w:themeColor="text1"/>
        </w:rPr>
        <w:t xml:space="preserve"> (</w:t>
      </w:r>
      <w:r w:rsidR="006D4CE1">
        <w:rPr>
          <w:color w:val="000000" w:themeColor="text1"/>
        </w:rPr>
        <w:t>Appendix</w:t>
      </w:r>
      <w:r w:rsidR="0080085C">
        <w:rPr>
          <w:color w:val="000000" w:themeColor="text1"/>
        </w:rPr>
        <w:t xml:space="preserve"> </w:t>
      </w:r>
      <w:r w:rsidR="0080085C" w:rsidRPr="000A2E03">
        <w:rPr>
          <w:color w:val="000000" w:themeColor="text1"/>
        </w:rPr>
        <w:fldChar w:fldCharType="begin"/>
      </w:r>
      <w:r w:rsidR="0080085C">
        <w:rPr>
          <w:color w:val="000000" w:themeColor="text1"/>
        </w:rPr>
        <w:instrText xml:space="preserve"> REF _Ref106360363 \h </w:instrText>
      </w:r>
      <w:r w:rsidR="0080085C" w:rsidRPr="000A2E03">
        <w:rPr>
          <w:color w:val="000000" w:themeColor="text1"/>
        </w:rPr>
      </w:r>
      <w:r w:rsidR="0080085C" w:rsidRPr="000A2E03">
        <w:rPr>
          <w:color w:val="000000" w:themeColor="text1"/>
        </w:rPr>
        <w:fldChar w:fldCharType="separate"/>
      </w:r>
      <w:r w:rsidR="00000EA7" w:rsidRPr="00DC16A4">
        <w:t xml:space="preserve">Table </w:t>
      </w:r>
      <w:r w:rsidR="00000EA7">
        <w:rPr>
          <w:noProof/>
        </w:rPr>
        <w:t>3</w:t>
      </w:r>
      <w:r w:rsidR="0080085C" w:rsidRPr="000A2E03">
        <w:rPr>
          <w:color w:val="000000" w:themeColor="text1"/>
        </w:rPr>
        <w:fldChar w:fldCharType="end"/>
      </w:r>
      <w:r w:rsidR="006D4CE1">
        <w:rPr>
          <w:color w:val="000000" w:themeColor="text1"/>
        </w:rPr>
        <w:t>)</w:t>
      </w:r>
      <w:r>
        <w:rPr>
          <w:color w:val="000000" w:themeColor="text1"/>
        </w:rPr>
        <w:t>.</w:t>
      </w:r>
      <w:r w:rsidR="006D0ABD" w:rsidRPr="000A2E03">
        <w:fldChar w:fldCharType="begin"/>
      </w:r>
      <w:r w:rsidR="006D0ABD">
        <w:rPr>
          <w:rStyle w:val="Odwoanieprzypisudolnego"/>
        </w:rPr>
        <w:instrText xml:space="preserve"> NOTEREF _Ref110003535 \h </w:instrText>
      </w:r>
      <w:r w:rsidR="006D0ABD" w:rsidRPr="000A2E03">
        <w:fldChar w:fldCharType="separate"/>
      </w:r>
      <w:r w:rsidR="006D0ABD">
        <w:rPr>
          <w:rStyle w:val="Odwoanieprzypisudolnego"/>
        </w:rPr>
        <w:t>14</w:t>
      </w:r>
      <w:r w:rsidR="006D0ABD" w:rsidRPr="000A2E03">
        <w:fldChar w:fldCharType="end"/>
      </w:r>
      <w:r w:rsidRPr="00004812">
        <w:rPr>
          <w:color w:val="000000" w:themeColor="text1"/>
          <w:vertAlign w:val="superscript"/>
        </w:rPr>
        <w:t>,</w:t>
      </w:r>
      <w:bookmarkStart w:id="15" w:name="_Ref106183238"/>
      <w:r>
        <w:rPr>
          <w:rStyle w:val="Odwoanieprzypisudolnego"/>
          <w:color w:val="000000" w:themeColor="text1"/>
        </w:rPr>
        <w:footnoteReference w:id="16"/>
      </w:r>
      <w:bookmarkEnd w:id="15"/>
      <w:r>
        <w:rPr>
          <w:color w:val="000000" w:themeColor="text1"/>
        </w:rPr>
        <w:t xml:space="preserve"> </w:t>
      </w:r>
      <w:r w:rsidRPr="00104B90">
        <w:rPr>
          <w:color w:val="000000" w:themeColor="text1"/>
        </w:rPr>
        <w:t xml:space="preserve">However, these </w:t>
      </w:r>
      <w:r w:rsidR="002B6061">
        <w:rPr>
          <w:color w:val="000000" w:themeColor="text1"/>
        </w:rPr>
        <w:t xml:space="preserve">long-standing </w:t>
      </w:r>
      <w:r w:rsidRPr="00104B90">
        <w:rPr>
          <w:color w:val="000000" w:themeColor="text1"/>
        </w:rPr>
        <w:t xml:space="preserve">reports contain very little specific information on the pharmaceutical sector. </w:t>
      </w:r>
      <w:r w:rsidR="002B6061">
        <w:rPr>
          <w:color w:val="000000" w:themeColor="text1"/>
        </w:rPr>
        <w:t xml:space="preserve">More recently, </w:t>
      </w:r>
      <w:r>
        <w:rPr>
          <w:color w:val="000000" w:themeColor="text1"/>
        </w:rPr>
        <w:t xml:space="preserve">a number of studies </w:t>
      </w:r>
      <w:r w:rsidR="000505A6">
        <w:rPr>
          <w:color w:val="000000" w:themeColor="text1"/>
        </w:rPr>
        <w:t xml:space="preserve">have </w:t>
      </w:r>
      <w:r>
        <w:rPr>
          <w:color w:val="000000" w:themeColor="text1"/>
        </w:rPr>
        <w:t xml:space="preserve">focused on factors affecting market attractiveness in Europe. </w:t>
      </w:r>
      <w:r w:rsidR="00F952D0">
        <w:rPr>
          <w:color w:val="000000" w:themeColor="text1"/>
        </w:rPr>
        <w:t>One such study</w:t>
      </w:r>
      <w:r>
        <w:rPr>
          <w:color w:val="000000" w:themeColor="text1"/>
        </w:rPr>
        <w:t xml:space="preserve"> collated </w:t>
      </w:r>
      <w:r w:rsidRPr="008B0BB7">
        <w:rPr>
          <w:color w:val="000000" w:themeColor="text1"/>
        </w:rPr>
        <w:t>21</w:t>
      </w:r>
      <w:r>
        <w:rPr>
          <w:color w:val="000000" w:themeColor="text1"/>
        </w:rPr>
        <w:t xml:space="preserve"> different indicators to develop an index of market attractiveness including </w:t>
      </w:r>
      <w:r w:rsidRPr="008B0BB7">
        <w:rPr>
          <w:color w:val="000000" w:themeColor="text1"/>
        </w:rPr>
        <w:t xml:space="preserve">the political, social </w:t>
      </w:r>
      <w:r w:rsidR="00FC531F">
        <w:rPr>
          <w:color w:val="000000" w:themeColor="text1"/>
        </w:rPr>
        <w:t>and</w:t>
      </w:r>
      <w:r w:rsidRPr="008B0BB7">
        <w:rPr>
          <w:color w:val="000000" w:themeColor="text1"/>
        </w:rPr>
        <w:t xml:space="preserve"> economic environment</w:t>
      </w:r>
      <w:r w:rsidR="000505A6">
        <w:rPr>
          <w:color w:val="000000" w:themeColor="text1"/>
        </w:rPr>
        <w:t>s</w:t>
      </w:r>
      <w:r>
        <w:rPr>
          <w:color w:val="000000" w:themeColor="text1"/>
        </w:rPr>
        <w:t xml:space="preserve">, </w:t>
      </w:r>
      <w:r w:rsidRPr="008B0BB7">
        <w:rPr>
          <w:color w:val="000000" w:themeColor="text1"/>
        </w:rPr>
        <w:t>the industrial investment context</w:t>
      </w:r>
      <w:r>
        <w:rPr>
          <w:color w:val="000000" w:themeColor="text1"/>
        </w:rPr>
        <w:t>,</w:t>
      </w:r>
      <w:r w:rsidRPr="008B0BB7">
        <w:rPr>
          <w:color w:val="000000" w:themeColor="text1"/>
        </w:rPr>
        <w:t xml:space="preserve"> life science innovation </w:t>
      </w:r>
      <w:r>
        <w:rPr>
          <w:color w:val="000000" w:themeColor="text1"/>
        </w:rPr>
        <w:t xml:space="preserve">and </w:t>
      </w:r>
      <w:r w:rsidRPr="008B0BB7">
        <w:rPr>
          <w:color w:val="000000" w:themeColor="text1"/>
        </w:rPr>
        <w:t>the healthcare investment environment</w:t>
      </w:r>
      <w:r>
        <w:rPr>
          <w:color w:val="000000" w:themeColor="text1"/>
        </w:rPr>
        <w:t>.</w:t>
      </w:r>
      <w:r>
        <w:rPr>
          <w:rStyle w:val="Odwoanieprzypisudolnego"/>
          <w:color w:val="000000" w:themeColor="text1"/>
        </w:rPr>
        <w:footnoteReference w:id="17"/>
      </w:r>
      <w:r>
        <w:rPr>
          <w:color w:val="000000" w:themeColor="text1"/>
        </w:rPr>
        <w:t xml:space="preserve"> </w:t>
      </w:r>
    </w:p>
    <w:p w14:paraId="0EB80A3B" w14:textId="47CE6C56" w:rsidR="002B6061" w:rsidRDefault="00794777" w:rsidP="00794777">
      <w:pPr>
        <w:pStyle w:val="Tekstpodstawowy"/>
        <w:rPr>
          <w:color w:val="000000" w:themeColor="text1"/>
        </w:rPr>
      </w:pPr>
      <w:r>
        <w:rPr>
          <w:color w:val="000000" w:themeColor="text1"/>
        </w:rPr>
        <w:t xml:space="preserve">Another way to look at location has been to </w:t>
      </w:r>
      <w:r w:rsidR="000505A6">
        <w:rPr>
          <w:color w:val="000000" w:themeColor="text1"/>
        </w:rPr>
        <w:t xml:space="preserve">focus on </w:t>
      </w:r>
      <w:r>
        <w:rPr>
          <w:color w:val="000000" w:themeColor="text1"/>
        </w:rPr>
        <w:t xml:space="preserve">the location of </w:t>
      </w:r>
      <w:r w:rsidR="000505A6">
        <w:rPr>
          <w:color w:val="000000" w:themeColor="text1"/>
        </w:rPr>
        <w:t xml:space="preserve">the </w:t>
      </w:r>
      <w:r>
        <w:rPr>
          <w:color w:val="000000" w:themeColor="text1"/>
        </w:rPr>
        <w:t>headquarters of companies involved in the pharmaceutical sector.</w:t>
      </w:r>
      <w:r>
        <w:rPr>
          <w:rStyle w:val="Odwoanieprzypisudolnego"/>
          <w:color w:val="000000" w:themeColor="text1"/>
        </w:rPr>
        <w:footnoteReference w:id="18"/>
      </w:r>
      <w:r>
        <w:rPr>
          <w:color w:val="000000" w:themeColor="text1"/>
        </w:rPr>
        <w:t xml:space="preserve"> Although </w:t>
      </w:r>
      <w:r w:rsidR="00454F13">
        <w:rPr>
          <w:color w:val="000000" w:themeColor="text1"/>
        </w:rPr>
        <w:t xml:space="preserve">this is not based on activities within the region but </w:t>
      </w:r>
      <w:r>
        <w:rPr>
          <w:color w:val="000000" w:themeColor="text1"/>
        </w:rPr>
        <w:t>the</w:t>
      </w:r>
      <w:r w:rsidR="00E85B21">
        <w:rPr>
          <w:color w:val="000000" w:themeColor="text1"/>
        </w:rPr>
        <w:t>ir</w:t>
      </w:r>
      <w:r>
        <w:rPr>
          <w:color w:val="000000" w:themeColor="text1"/>
        </w:rPr>
        <w:t xml:space="preserve"> headquarters, it supports that Europe </w:t>
      </w:r>
      <w:r w:rsidR="001F0027">
        <w:rPr>
          <w:color w:val="000000" w:themeColor="text1"/>
        </w:rPr>
        <w:t>has fallen</w:t>
      </w:r>
      <w:r>
        <w:rPr>
          <w:color w:val="000000" w:themeColor="text1"/>
        </w:rPr>
        <w:t xml:space="preserve"> behind but that the picture depends on </w:t>
      </w:r>
      <w:r w:rsidR="000505A6">
        <w:rPr>
          <w:color w:val="000000" w:themeColor="text1"/>
        </w:rPr>
        <w:t xml:space="preserve">the </w:t>
      </w:r>
      <w:r>
        <w:rPr>
          <w:color w:val="000000" w:themeColor="text1"/>
        </w:rPr>
        <w:t xml:space="preserve">type of technology. </w:t>
      </w:r>
      <w:r w:rsidR="005B7D4C">
        <w:rPr>
          <w:color w:val="000000" w:themeColor="text1"/>
        </w:rPr>
        <w:t xml:space="preserve">The most recent </w:t>
      </w:r>
      <w:r w:rsidR="00167717">
        <w:rPr>
          <w:color w:val="000000" w:themeColor="text1"/>
        </w:rPr>
        <w:t>European Union (</w:t>
      </w:r>
      <w:r w:rsidR="005B7D4C">
        <w:rPr>
          <w:color w:val="000000" w:themeColor="text1"/>
        </w:rPr>
        <w:t>EU</w:t>
      </w:r>
      <w:r w:rsidR="00167717">
        <w:rPr>
          <w:color w:val="000000" w:themeColor="text1"/>
        </w:rPr>
        <w:t>)</w:t>
      </w:r>
      <w:r w:rsidR="005B7D4C">
        <w:rPr>
          <w:color w:val="000000" w:themeColor="text1"/>
        </w:rPr>
        <w:t xml:space="preserve"> Industrial R&amp;D Investment Scoreboard found </w:t>
      </w:r>
      <w:r>
        <w:rPr>
          <w:color w:val="000000" w:themeColor="text1"/>
        </w:rPr>
        <w:t>that “</w:t>
      </w:r>
      <w:r w:rsidRPr="00794777">
        <w:rPr>
          <w:color w:val="000000" w:themeColor="text1"/>
        </w:rPr>
        <w:t>EU companies grew R&amp;D at a slightly higher pace</w:t>
      </w:r>
      <w:r>
        <w:rPr>
          <w:color w:val="000000" w:themeColor="text1"/>
        </w:rPr>
        <w:t xml:space="preserve"> </w:t>
      </w:r>
      <w:r w:rsidRPr="00794777">
        <w:rPr>
          <w:color w:val="000000" w:themeColor="text1"/>
        </w:rPr>
        <w:t xml:space="preserve">than their US </w:t>
      </w:r>
      <w:r w:rsidR="00D24995" w:rsidRPr="00794777">
        <w:rPr>
          <w:color w:val="000000" w:themeColor="text1"/>
        </w:rPr>
        <w:t>counterparts,</w:t>
      </w:r>
      <w:r w:rsidRPr="00794777">
        <w:rPr>
          <w:color w:val="000000" w:themeColor="text1"/>
        </w:rPr>
        <w:t xml:space="preserve"> but their overall level of</w:t>
      </w:r>
      <w:r>
        <w:rPr>
          <w:color w:val="000000" w:themeColor="text1"/>
        </w:rPr>
        <w:t xml:space="preserve"> </w:t>
      </w:r>
      <w:r w:rsidRPr="00794777">
        <w:rPr>
          <w:color w:val="000000" w:themeColor="text1"/>
        </w:rPr>
        <w:t>R&amp;D remains well behind that of the US companies</w:t>
      </w:r>
      <w:r>
        <w:rPr>
          <w:color w:val="000000" w:themeColor="text1"/>
        </w:rPr>
        <w:t xml:space="preserve"> </w:t>
      </w:r>
      <w:r w:rsidRPr="00794777">
        <w:rPr>
          <w:color w:val="000000" w:themeColor="text1"/>
        </w:rPr>
        <w:t>(half the US level of R&amp;D investment). In biotechnology,</w:t>
      </w:r>
      <w:r>
        <w:rPr>
          <w:color w:val="000000" w:themeColor="text1"/>
        </w:rPr>
        <w:t xml:space="preserve"> </w:t>
      </w:r>
      <w:r w:rsidRPr="00794777">
        <w:rPr>
          <w:color w:val="000000" w:themeColor="text1"/>
        </w:rPr>
        <w:t>the R&amp;D growth of the US companies was remarkably</w:t>
      </w:r>
      <w:r>
        <w:rPr>
          <w:color w:val="000000" w:themeColor="text1"/>
        </w:rPr>
        <w:t xml:space="preserve"> </w:t>
      </w:r>
      <w:r w:rsidRPr="00794777">
        <w:rPr>
          <w:color w:val="000000" w:themeColor="text1"/>
        </w:rPr>
        <w:t xml:space="preserve">higher; in 2020 they outperformed their EU </w:t>
      </w:r>
      <w:r w:rsidRPr="00794777">
        <w:rPr>
          <w:color w:val="000000" w:themeColor="text1"/>
        </w:rPr>
        <w:lastRenderedPageBreak/>
        <w:t>counterparts in terms of R&amp;D investment (11 times larger)</w:t>
      </w:r>
      <w:r>
        <w:rPr>
          <w:color w:val="000000" w:themeColor="text1"/>
        </w:rPr>
        <w:t xml:space="preserve"> </w:t>
      </w:r>
      <w:r w:rsidRPr="00794777">
        <w:rPr>
          <w:color w:val="000000" w:themeColor="text1"/>
        </w:rPr>
        <w:t>and number of companies (166 vs 20) and, to a lesser</w:t>
      </w:r>
      <w:r>
        <w:rPr>
          <w:color w:val="000000" w:themeColor="text1"/>
        </w:rPr>
        <w:t xml:space="preserve"> </w:t>
      </w:r>
      <w:r w:rsidRPr="00794777">
        <w:rPr>
          <w:color w:val="000000" w:themeColor="text1"/>
        </w:rPr>
        <w:t>extent, with higher R&amp;D intensity (30.6% vs 26.5%).</w:t>
      </w:r>
      <w:r>
        <w:rPr>
          <w:color w:val="000000" w:themeColor="text1"/>
        </w:rPr>
        <w:t>”</w:t>
      </w:r>
      <w:r w:rsidR="00862CCF">
        <w:rPr>
          <w:rStyle w:val="Odwoanieprzypisudolnego"/>
          <w:color w:val="000000" w:themeColor="text1"/>
        </w:rPr>
        <w:footnoteReference w:id="19"/>
      </w:r>
    </w:p>
    <w:p w14:paraId="4ECA4AA3" w14:textId="77E11012" w:rsidR="00F152A6" w:rsidRDefault="00F152A6" w:rsidP="00F152A6">
      <w:pPr>
        <w:pStyle w:val="Tekstpodstawowy"/>
        <w:rPr>
          <w:color w:val="000000" w:themeColor="text1"/>
        </w:rPr>
      </w:pPr>
      <w:r>
        <w:rPr>
          <w:color w:val="000000" w:themeColor="text1"/>
        </w:rPr>
        <w:t xml:space="preserve">Equally, the policy factors </w:t>
      </w:r>
      <w:r w:rsidR="001F0027">
        <w:rPr>
          <w:color w:val="000000" w:themeColor="text1"/>
        </w:rPr>
        <w:t xml:space="preserve">affecting location </w:t>
      </w:r>
      <w:r>
        <w:rPr>
          <w:color w:val="000000" w:themeColor="text1"/>
        </w:rPr>
        <w:t xml:space="preserve">have </w:t>
      </w:r>
      <w:r w:rsidR="003668AC">
        <w:rPr>
          <w:color w:val="000000" w:themeColor="text1"/>
        </w:rPr>
        <w:t xml:space="preserve">long </w:t>
      </w:r>
      <w:r>
        <w:rPr>
          <w:color w:val="000000" w:themeColor="text1"/>
        </w:rPr>
        <w:t xml:space="preserve">been </w:t>
      </w:r>
      <w:r w:rsidR="00FC531F">
        <w:rPr>
          <w:color w:val="000000" w:themeColor="text1"/>
        </w:rPr>
        <w:t>debated</w:t>
      </w:r>
      <w:r>
        <w:rPr>
          <w:color w:val="000000" w:themeColor="text1"/>
        </w:rPr>
        <w:t xml:space="preserve">. </w:t>
      </w:r>
      <w:r w:rsidR="002B6061">
        <w:rPr>
          <w:color w:val="000000" w:themeColor="text1"/>
        </w:rPr>
        <w:t xml:space="preserve">It is sometimes argued that </w:t>
      </w:r>
      <w:r w:rsidRPr="00A65BA9">
        <w:rPr>
          <w:color w:val="000000" w:themeColor="text1"/>
        </w:rPr>
        <w:t xml:space="preserve">the problem in Europe is not that the decline in competitiveness has been </w:t>
      </w:r>
      <w:r w:rsidR="006926EC">
        <w:rPr>
          <w:color w:val="000000" w:themeColor="text1"/>
        </w:rPr>
        <w:t>un</w:t>
      </w:r>
      <w:r w:rsidRPr="00A65BA9">
        <w:rPr>
          <w:color w:val="000000" w:themeColor="text1"/>
        </w:rPr>
        <w:t xml:space="preserve">reported or the underlying cause </w:t>
      </w:r>
      <w:r w:rsidR="00CB6AFB">
        <w:rPr>
          <w:color w:val="000000" w:themeColor="text1"/>
        </w:rPr>
        <w:t>un</w:t>
      </w:r>
      <w:r w:rsidRPr="00A65BA9">
        <w:rPr>
          <w:color w:val="000000" w:themeColor="text1"/>
        </w:rPr>
        <w:t>diagnosed</w:t>
      </w:r>
      <w:r w:rsidR="0091420A">
        <w:rPr>
          <w:color w:val="000000" w:themeColor="text1"/>
        </w:rPr>
        <w:t>,</w:t>
      </w:r>
      <w:r w:rsidRPr="00A65BA9">
        <w:rPr>
          <w:color w:val="000000" w:themeColor="text1"/>
        </w:rPr>
        <w:t xml:space="preserve"> or even that Europe lacks the resource</w:t>
      </w:r>
      <w:r w:rsidR="003668AC">
        <w:rPr>
          <w:color w:val="000000" w:themeColor="text1"/>
        </w:rPr>
        <w:t>s</w:t>
      </w:r>
      <w:r w:rsidRPr="00A65BA9">
        <w:rPr>
          <w:color w:val="000000" w:themeColor="text1"/>
        </w:rPr>
        <w:t xml:space="preserve"> to compete on innovation (with 16 of the world’s top 50 life science universities and many of the leading companies based in Europe)</w:t>
      </w:r>
      <w:r w:rsidR="00CB6AFB">
        <w:rPr>
          <w:color w:val="000000" w:themeColor="text1"/>
        </w:rPr>
        <w:t>. Rather, it is the</w:t>
      </w:r>
      <w:r w:rsidRPr="00A65BA9">
        <w:rPr>
          <w:color w:val="000000" w:themeColor="text1"/>
        </w:rPr>
        <w:t xml:space="preserve"> lack of coherence in the policy response. The current agenda has been set by the EU Commission 2020 </w:t>
      </w:r>
      <w:r w:rsidR="00F436C6">
        <w:rPr>
          <w:color w:val="000000" w:themeColor="text1"/>
        </w:rPr>
        <w:t>‘</w:t>
      </w:r>
      <w:r w:rsidRPr="00A65BA9">
        <w:rPr>
          <w:color w:val="000000" w:themeColor="text1"/>
        </w:rPr>
        <w:t>Pharmaceutical Strategy</w:t>
      </w:r>
      <w:r w:rsidR="00F436C6">
        <w:rPr>
          <w:color w:val="000000" w:themeColor="text1"/>
        </w:rPr>
        <w:t xml:space="preserve"> for Europe’</w:t>
      </w:r>
      <w:r w:rsidRPr="00A65BA9">
        <w:rPr>
          <w:color w:val="000000" w:themeColor="text1"/>
        </w:rPr>
        <w:t xml:space="preserve"> document.</w:t>
      </w:r>
      <w:r w:rsidR="002B6061">
        <w:rPr>
          <w:rStyle w:val="Odwoanieprzypisudolnego"/>
          <w:color w:val="000000" w:themeColor="text1"/>
        </w:rPr>
        <w:footnoteReference w:id="20"/>
      </w:r>
      <w:r w:rsidRPr="00A65BA9">
        <w:rPr>
          <w:color w:val="000000" w:themeColor="text1"/>
        </w:rPr>
        <w:t xml:space="preserve"> </w:t>
      </w:r>
      <w:r w:rsidR="00A96FD2" w:rsidRPr="00A96FD2">
        <w:rPr>
          <w:color w:val="000000" w:themeColor="text1"/>
        </w:rPr>
        <w:t>While the Pharmaceutical Strategy for Europ</w:t>
      </w:r>
      <w:r w:rsidR="004D55AD">
        <w:rPr>
          <w:color w:val="000000" w:themeColor="text1"/>
        </w:rPr>
        <w:t>e</w:t>
      </w:r>
      <w:r w:rsidRPr="00A65BA9">
        <w:rPr>
          <w:color w:val="000000" w:themeColor="text1"/>
        </w:rPr>
        <w:t xml:space="preserve"> </w:t>
      </w:r>
      <w:r w:rsidR="00A96FD2" w:rsidRPr="00A96FD2">
        <w:rPr>
          <w:color w:val="000000" w:themeColor="text1"/>
        </w:rPr>
        <w:t xml:space="preserve">has the dual objective </w:t>
      </w:r>
      <w:r w:rsidR="003668AC">
        <w:rPr>
          <w:color w:val="000000" w:themeColor="text1"/>
        </w:rPr>
        <w:t xml:space="preserve">of </w:t>
      </w:r>
      <w:r w:rsidR="00A96FD2" w:rsidRPr="00A96FD2">
        <w:rPr>
          <w:color w:val="000000" w:themeColor="text1"/>
        </w:rPr>
        <w:t>promot</w:t>
      </w:r>
      <w:r w:rsidR="003668AC">
        <w:rPr>
          <w:color w:val="000000" w:themeColor="text1"/>
        </w:rPr>
        <w:t>ing</w:t>
      </w:r>
      <w:r w:rsidR="00A96FD2" w:rsidRPr="00A96FD2">
        <w:rPr>
          <w:color w:val="000000" w:themeColor="text1"/>
        </w:rPr>
        <w:t xml:space="preserve"> access to medicines for all European patients and boosting the competitiveness of </w:t>
      </w:r>
      <w:r w:rsidR="003668AC">
        <w:rPr>
          <w:color w:val="000000" w:themeColor="text1"/>
        </w:rPr>
        <w:t xml:space="preserve">the </w:t>
      </w:r>
      <w:r w:rsidR="00A96FD2" w:rsidRPr="00A96FD2">
        <w:rPr>
          <w:color w:val="000000" w:themeColor="text1"/>
        </w:rPr>
        <w:t>pharmaceutical industry, the latter appears to receive less attention. A vibrant innovative ecosystem in Europe will lead to better access to medicines for patients and, ultimately, better health outcomes for all European citizens</w:t>
      </w:r>
      <w:r w:rsidR="00F6518F">
        <w:rPr>
          <w:color w:val="000000" w:themeColor="text1"/>
        </w:rPr>
        <w:t xml:space="preserve">. </w:t>
      </w:r>
    </w:p>
    <w:p w14:paraId="419E3531" w14:textId="4F80588A" w:rsidR="00F152A6" w:rsidRDefault="00F152A6" w:rsidP="00F152A6">
      <w:pPr>
        <w:pStyle w:val="Tekstpodstawowy"/>
        <w:rPr>
          <w:color w:val="FF0000"/>
        </w:rPr>
      </w:pPr>
      <w:r>
        <w:rPr>
          <w:color w:val="000000" w:themeColor="text1"/>
        </w:rPr>
        <w:t>This report seeks to provide an up-to-date assessment of our current understanding of the drivers of investment location</w:t>
      </w:r>
      <w:r w:rsidR="003668AC">
        <w:rPr>
          <w:color w:val="000000" w:themeColor="text1"/>
        </w:rPr>
        <w:t>,</w:t>
      </w:r>
      <w:r>
        <w:rPr>
          <w:color w:val="000000" w:themeColor="text1"/>
        </w:rPr>
        <w:t xml:space="preserve"> distinguishing between R&amp;D hubs, clinical trial location and </w:t>
      </w:r>
      <w:r w:rsidR="00447950">
        <w:rPr>
          <w:color w:val="000000" w:themeColor="text1"/>
        </w:rPr>
        <w:t xml:space="preserve">types of </w:t>
      </w:r>
      <w:r w:rsidR="006425AF">
        <w:rPr>
          <w:color w:val="000000" w:themeColor="text1"/>
        </w:rPr>
        <w:t>manufacturing</w:t>
      </w:r>
      <w:r w:rsidR="007D398A">
        <w:rPr>
          <w:color w:val="000000" w:themeColor="text1"/>
        </w:rPr>
        <w:t>. It also</w:t>
      </w:r>
      <w:r w:rsidR="00796957">
        <w:rPr>
          <w:color w:val="000000" w:themeColor="text1"/>
        </w:rPr>
        <w:t>,</w:t>
      </w:r>
      <w:r w:rsidR="007D398A">
        <w:rPr>
          <w:color w:val="000000" w:themeColor="text1"/>
        </w:rPr>
        <w:t xml:space="preserve"> where </w:t>
      </w:r>
      <w:r w:rsidR="00447950">
        <w:rPr>
          <w:color w:val="000000" w:themeColor="text1"/>
        </w:rPr>
        <w:t>appropriate</w:t>
      </w:r>
      <w:r w:rsidR="00796957">
        <w:rPr>
          <w:color w:val="000000" w:themeColor="text1"/>
        </w:rPr>
        <w:t>,</w:t>
      </w:r>
      <w:r w:rsidR="00447950">
        <w:rPr>
          <w:color w:val="000000" w:themeColor="text1"/>
        </w:rPr>
        <w:t xml:space="preserve"> </w:t>
      </w:r>
      <w:r w:rsidR="00505EA8">
        <w:rPr>
          <w:color w:val="000000" w:themeColor="text1"/>
        </w:rPr>
        <w:t>uses examples of specific</w:t>
      </w:r>
      <w:r w:rsidR="007D398A">
        <w:rPr>
          <w:color w:val="000000" w:themeColor="text1"/>
        </w:rPr>
        <w:t xml:space="preserve"> types of </w:t>
      </w:r>
      <w:r w:rsidR="00505EA8">
        <w:rPr>
          <w:color w:val="000000" w:themeColor="text1"/>
        </w:rPr>
        <w:t xml:space="preserve">new </w:t>
      </w:r>
      <w:r w:rsidR="00801D8C">
        <w:rPr>
          <w:color w:val="000000" w:themeColor="text1"/>
        </w:rPr>
        <w:t>technolog</w:t>
      </w:r>
      <w:r w:rsidR="007D398A">
        <w:rPr>
          <w:color w:val="000000" w:themeColor="text1"/>
        </w:rPr>
        <w:t>y</w:t>
      </w:r>
      <w:r w:rsidR="003668AC">
        <w:rPr>
          <w:color w:val="000000" w:themeColor="text1"/>
        </w:rPr>
        <w:t xml:space="preserve"> </w:t>
      </w:r>
      <w:r w:rsidR="003668AC">
        <w:rPr>
          <w:rFonts w:cs="Arial"/>
          <w:color w:val="000000" w:themeColor="text1"/>
        </w:rPr>
        <w:t>–</w:t>
      </w:r>
      <w:r w:rsidR="007D398A">
        <w:rPr>
          <w:color w:val="000000" w:themeColor="text1"/>
        </w:rPr>
        <w:t xml:space="preserve"> </w:t>
      </w:r>
      <w:r w:rsidR="00801D8C" w:rsidRPr="00801D8C">
        <w:rPr>
          <w:color w:val="000000" w:themeColor="text1"/>
        </w:rPr>
        <w:t>digital technology</w:t>
      </w:r>
      <w:r w:rsidR="00730418">
        <w:rPr>
          <w:color w:val="000000" w:themeColor="text1"/>
        </w:rPr>
        <w:t xml:space="preserve"> and Advanced Therapy Medicinal Products (ATMPs)</w:t>
      </w:r>
      <w:r w:rsidR="003668AC">
        <w:rPr>
          <w:color w:val="000000" w:themeColor="text1"/>
        </w:rPr>
        <w:t xml:space="preserve"> </w:t>
      </w:r>
      <w:r w:rsidR="003668AC">
        <w:rPr>
          <w:rFonts w:cs="Arial"/>
          <w:color w:val="000000" w:themeColor="text1"/>
        </w:rPr>
        <w:t>–</w:t>
      </w:r>
      <w:r w:rsidR="00835E27">
        <w:rPr>
          <w:color w:val="000000" w:themeColor="text1"/>
        </w:rPr>
        <w:t xml:space="preserve"> </w:t>
      </w:r>
      <w:r w:rsidR="00C40671">
        <w:rPr>
          <w:color w:val="000000" w:themeColor="text1"/>
        </w:rPr>
        <w:t>and draws specific lessons for investment in these technologies</w:t>
      </w:r>
      <w:r w:rsidR="007D398A">
        <w:rPr>
          <w:color w:val="000000" w:themeColor="text1"/>
        </w:rPr>
        <w:t>. To the exte</w:t>
      </w:r>
      <w:r w:rsidR="00447950">
        <w:rPr>
          <w:color w:val="000000" w:themeColor="text1"/>
        </w:rPr>
        <w:t>nt</w:t>
      </w:r>
      <w:r w:rsidR="007D398A">
        <w:rPr>
          <w:color w:val="000000" w:themeColor="text1"/>
        </w:rPr>
        <w:t xml:space="preserve"> possible</w:t>
      </w:r>
      <w:r w:rsidR="003668AC">
        <w:rPr>
          <w:color w:val="000000" w:themeColor="text1"/>
        </w:rPr>
        <w:t>,</w:t>
      </w:r>
      <w:r w:rsidR="007D398A">
        <w:rPr>
          <w:color w:val="000000" w:themeColor="text1"/>
        </w:rPr>
        <w:t xml:space="preserve"> we</w:t>
      </w:r>
      <w:r>
        <w:rPr>
          <w:color w:val="000000" w:themeColor="text1"/>
        </w:rPr>
        <w:t xml:space="preserve"> take into account recent economic and </w:t>
      </w:r>
      <w:r w:rsidRPr="0072761E">
        <w:rPr>
          <w:color w:val="000000" w:themeColor="text1"/>
        </w:rPr>
        <w:t xml:space="preserve">geopolitical </w:t>
      </w:r>
      <w:r>
        <w:rPr>
          <w:color w:val="000000" w:themeColor="text1"/>
        </w:rPr>
        <w:t>events (including COVID</w:t>
      </w:r>
      <w:r w:rsidR="008B5288">
        <w:rPr>
          <w:color w:val="000000" w:themeColor="text1"/>
        </w:rPr>
        <w:t>-19</w:t>
      </w:r>
      <w:r>
        <w:rPr>
          <w:color w:val="000000" w:themeColor="text1"/>
        </w:rPr>
        <w:t xml:space="preserve"> and </w:t>
      </w:r>
      <w:r w:rsidRPr="0072761E">
        <w:rPr>
          <w:color w:val="000000" w:themeColor="text1"/>
        </w:rPr>
        <w:t xml:space="preserve">European geopolitical </w:t>
      </w:r>
      <w:r>
        <w:rPr>
          <w:color w:val="000000" w:themeColor="text1"/>
        </w:rPr>
        <w:t xml:space="preserve">crisis – the </w:t>
      </w:r>
      <w:r w:rsidRPr="0072761E">
        <w:rPr>
          <w:color w:val="000000" w:themeColor="text1"/>
        </w:rPr>
        <w:t>‘Russia-Ukraine’ crisis</w:t>
      </w:r>
      <w:r>
        <w:rPr>
          <w:color w:val="000000" w:themeColor="text1"/>
        </w:rPr>
        <w:t>)</w:t>
      </w:r>
      <w:r w:rsidR="007D398A">
        <w:rPr>
          <w:color w:val="000000" w:themeColor="text1"/>
        </w:rPr>
        <w:t xml:space="preserve">. Finally, we </w:t>
      </w:r>
      <w:r>
        <w:rPr>
          <w:color w:val="000000" w:themeColor="text1"/>
        </w:rPr>
        <w:t xml:space="preserve">consider the implications, relate theory to real-life investment decisions, and provide recommendations on European policies to attract </w:t>
      </w:r>
      <w:r w:rsidR="003668AC">
        <w:rPr>
          <w:color w:val="000000" w:themeColor="text1"/>
        </w:rPr>
        <w:t xml:space="preserve">more </w:t>
      </w:r>
      <w:r>
        <w:rPr>
          <w:color w:val="000000" w:themeColor="text1"/>
        </w:rPr>
        <w:t>research, clinical trial</w:t>
      </w:r>
      <w:r w:rsidR="003668AC">
        <w:rPr>
          <w:color w:val="000000" w:themeColor="text1"/>
        </w:rPr>
        <w:t>s</w:t>
      </w:r>
      <w:r>
        <w:rPr>
          <w:color w:val="000000" w:themeColor="text1"/>
        </w:rPr>
        <w:t>, and manufacturing investments in the future.</w:t>
      </w:r>
      <w:r w:rsidR="00801D8C">
        <w:rPr>
          <w:color w:val="000000" w:themeColor="text1"/>
        </w:rPr>
        <w:t xml:space="preserve"> </w:t>
      </w:r>
    </w:p>
    <w:p w14:paraId="6D6B7ACE" w14:textId="77777777" w:rsidR="00F152A6" w:rsidRDefault="00F152A6" w:rsidP="00F152A6">
      <w:pPr>
        <w:pStyle w:val="Nagwek2"/>
        <w:ind w:left="0"/>
      </w:pPr>
      <w:bookmarkStart w:id="16" w:name="_Toc105602023"/>
      <w:bookmarkStart w:id="17" w:name="_Toc106104520"/>
      <w:bookmarkStart w:id="18" w:name="_Toc115717773"/>
      <w:r>
        <w:t>Methodology</w:t>
      </w:r>
      <w:bookmarkEnd w:id="16"/>
      <w:bookmarkEnd w:id="17"/>
      <w:bookmarkEnd w:id="18"/>
    </w:p>
    <w:p w14:paraId="4F532127" w14:textId="77777777" w:rsidR="00F152A6" w:rsidRDefault="00F152A6" w:rsidP="00F152A6">
      <w:pPr>
        <w:pStyle w:val="Tekstpodstawowy"/>
      </w:pPr>
      <w:r>
        <w:t>To understand historical and recent trends in R&amp;D and manufacturing investment and consequently to consider potential policy reforms needed in Europe to improve its attractiveness as a location to invest, our research involved three key steps:</w:t>
      </w:r>
    </w:p>
    <w:p w14:paraId="765DDA58" w14:textId="09D1982D" w:rsidR="00323DC1" w:rsidRDefault="00F152A6" w:rsidP="000A2E03">
      <w:pPr>
        <w:pStyle w:val="Tekstpodstawowy"/>
        <w:numPr>
          <w:ilvl w:val="0"/>
          <w:numId w:val="178"/>
        </w:numPr>
      </w:pPr>
      <w:r>
        <w:t>A literature review of recent government and non-government policy and academic literature on the issue at global, European, and country-specific level</w:t>
      </w:r>
      <w:r w:rsidR="008D00F5">
        <w:t>s</w:t>
      </w:r>
    </w:p>
    <w:p w14:paraId="43D4DD24" w14:textId="262DC219" w:rsidR="00F02235" w:rsidRDefault="00F152A6" w:rsidP="000A2E03">
      <w:pPr>
        <w:pStyle w:val="Tekstpodstawowy"/>
        <w:numPr>
          <w:ilvl w:val="0"/>
          <w:numId w:val="178"/>
        </w:numPr>
      </w:pPr>
      <w:r>
        <w:t>An analysis of long-term trend</w:t>
      </w:r>
      <w:r w:rsidR="00264A3B">
        <w:t>s</w:t>
      </w:r>
      <w:r>
        <w:t xml:space="preserve"> </w:t>
      </w:r>
      <w:r w:rsidR="00264A3B">
        <w:t>in</w:t>
      </w:r>
      <w:r>
        <w:t xml:space="preserve"> </w:t>
      </w:r>
      <w:r w:rsidR="00264A3B">
        <w:t xml:space="preserve">the </w:t>
      </w:r>
      <w:r>
        <w:t>location of global biopharmaceutical R&amp;D</w:t>
      </w:r>
      <w:r w:rsidR="00323DC1">
        <w:t xml:space="preserve"> </w:t>
      </w:r>
      <w:r>
        <w:t>and manufacturing activity over the past 20 years</w:t>
      </w:r>
    </w:p>
    <w:p w14:paraId="776EFFB2" w14:textId="3AC3CAA8" w:rsidR="00F152A6" w:rsidRDefault="00F152A6" w:rsidP="000A2E03">
      <w:pPr>
        <w:pStyle w:val="Tekstpodstawowy"/>
        <w:numPr>
          <w:ilvl w:val="0"/>
          <w:numId w:val="178"/>
        </w:numPr>
      </w:pPr>
      <w:r>
        <w:t xml:space="preserve">An interview programme with </w:t>
      </w:r>
      <w:r w:rsidR="00A01247">
        <w:t>senior executives</w:t>
      </w:r>
      <w:r>
        <w:t xml:space="preserve"> from major biopharmaceutical companies focused on actual recent</w:t>
      </w:r>
      <w:r w:rsidR="00A01247">
        <w:t xml:space="preserve"> major</w:t>
      </w:r>
      <w:r>
        <w:t xml:space="preserve"> investment decisions and the factors</w:t>
      </w:r>
      <w:r w:rsidR="00F02235">
        <w:t xml:space="preserve"> </w:t>
      </w:r>
      <w:r>
        <w:t>that affected the decisions</w:t>
      </w:r>
    </w:p>
    <w:p w14:paraId="358356D9" w14:textId="77777777" w:rsidR="00DE58E1" w:rsidRDefault="00DE58E1" w:rsidP="00DE58E1">
      <w:pPr>
        <w:pStyle w:val="Nagwek3"/>
      </w:pPr>
      <w:bookmarkStart w:id="19" w:name="_Toc105602024"/>
      <w:bookmarkStart w:id="20" w:name="_Toc106104521"/>
      <w:bookmarkStart w:id="21" w:name="_Toc115717774"/>
      <w:r>
        <w:t>Literature review</w:t>
      </w:r>
      <w:bookmarkEnd w:id="19"/>
      <w:bookmarkEnd w:id="20"/>
      <w:bookmarkEnd w:id="21"/>
    </w:p>
    <w:p w14:paraId="0AA79BB3" w14:textId="48C7BB5B" w:rsidR="00DE58E1" w:rsidRDefault="00DE58E1" w:rsidP="00DE58E1">
      <w:pPr>
        <w:pStyle w:val="Tekstpodstawowy"/>
      </w:pPr>
      <w:r>
        <w:t>For the literature review, we assessed governmental, non-governmental, industry and academic literature on factors affecting location of investments</w:t>
      </w:r>
      <w:r w:rsidR="000F70A0">
        <w:t>,</w:t>
      </w:r>
      <w:r>
        <w:t xml:space="preserve"> focusing on studies </w:t>
      </w:r>
      <w:r>
        <w:lastRenderedPageBreak/>
        <w:t>published over the last five years. This encompassed a range of published studies, including annual qualitative surveys of executive decision</w:t>
      </w:r>
      <w:r w:rsidR="000F70A0">
        <w:t xml:space="preserve"> </w:t>
      </w:r>
      <w:r>
        <w:t xml:space="preserve">makers within companies, statistical analyses and models of investment trends, and hybrid approaches. The literature review included global studies as well as specific analyses of the market attractiveness of Europe as a region, individual European countries, and the US and China. The search used combinations of the following terms: ‘factors affecting location’, ‘market attractiveness’, ‘drivers of foreign direct investment’, and ‘pharmaceutical industry’. This review was followed by a more targeted search into literature focused separately on location of research hubs, clinical trials, and manufacturing facilities. </w:t>
      </w:r>
    </w:p>
    <w:p w14:paraId="5B0CE5D6" w14:textId="316B7710" w:rsidR="00DE58E1" w:rsidRDefault="00DE58E1" w:rsidP="00DE58E1">
      <w:pPr>
        <w:pStyle w:val="Tekstpodstawowy"/>
      </w:pPr>
      <w:r>
        <w:t xml:space="preserve">The literature review covered academic and governmental policy reports, </w:t>
      </w:r>
      <w:r w:rsidR="00C93173">
        <w:t>non-governmental</w:t>
      </w:r>
      <w:r w:rsidR="00496BE7">
        <w:t xml:space="preserve"> organisation (</w:t>
      </w:r>
      <w:r>
        <w:t>NGO</w:t>
      </w:r>
      <w:r w:rsidR="00496BE7">
        <w:t>)</w:t>
      </w:r>
      <w:r>
        <w:t xml:space="preserve"> publications and grey literature, including:</w:t>
      </w:r>
    </w:p>
    <w:p w14:paraId="6DB73044" w14:textId="4A280ABD" w:rsidR="00BC3AE6" w:rsidRDefault="00BC3AE6" w:rsidP="00080006">
      <w:pPr>
        <w:pStyle w:val="Tekstpodstawowy"/>
        <w:jc w:val="center"/>
      </w:pPr>
      <w:r w:rsidRPr="000A2E03">
        <w:rPr>
          <w:noProof/>
        </w:rPr>
        <w:drawing>
          <wp:inline distT="0" distB="0" distL="0" distR="0" wp14:anchorId="7D30D0BE" wp14:editId="5BBBA5D7">
            <wp:extent cx="4319754" cy="28917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3009" cy="2893969"/>
                    </a:xfrm>
                    <a:prstGeom prst="rect">
                      <a:avLst/>
                    </a:prstGeom>
                  </pic:spPr>
                </pic:pic>
              </a:graphicData>
            </a:graphic>
          </wp:inline>
        </w:drawing>
      </w:r>
    </w:p>
    <w:p w14:paraId="740EA96C" w14:textId="77777777" w:rsidR="008C606D" w:rsidRDefault="008C606D" w:rsidP="008C606D">
      <w:pPr>
        <w:pStyle w:val="Nagwek3"/>
      </w:pPr>
      <w:bookmarkStart w:id="22" w:name="_Toc105602025"/>
      <w:bookmarkStart w:id="23" w:name="_Toc106104522"/>
      <w:bookmarkStart w:id="24" w:name="_Toc115717775"/>
      <w:r>
        <w:t>Data analysis</w:t>
      </w:r>
      <w:bookmarkEnd w:id="22"/>
      <w:bookmarkEnd w:id="23"/>
      <w:bookmarkEnd w:id="24"/>
    </w:p>
    <w:p w14:paraId="71868C91" w14:textId="5B8EB54E" w:rsidR="008C606D" w:rsidRDefault="008C606D" w:rsidP="008C606D">
      <w:pPr>
        <w:pStyle w:val="Tekstpodstawowy"/>
      </w:pPr>
      <w:r>
        <w:t xml:space="preserve">In parallel to the literature review, quantitative historical data </w:t>
      </w:r>
      <w:r w:rsidR="00E51D07">
        <w:t>were</w:t>
      </w:r>
      <w:r>
        <w:t xml:space="preserve"> collected to understand patterns of investment and relate these to the drivers of location choice identified in the literature review. The data </w:t>
      </w:r>
      <w:r w:rsidR="00E51D07">
        <w:t>were</w:t>
      </w:r>
      <w:r>
        <w:t xml:space="preserve"> sourced from open-access international databases, numerous government and expert reports, and industry-published statistics. Where possible, the data </w:t>
      </w:r>
      <w:r w:rsidR="00E51D07">
        <w:t xml:space="preserve">were </w:t>
      </w:r>
      <w:r>
        <w:t>validated and quality-checked with relevant experts before incorporation into the analysis. The data collected included a range of indicators on Europe’s performance in terms of attracting R&amp;D, clinical trials and manufacturing:</w:t>
      </w:r>
    </w:p>
    <w:p w14:paraId="51CB8C16" w14:textId="77777777" w:rsidR="008C606D" w:rsidRDefault="008C606D" w:rsidP="000A2E03">
      <w:pPr>
        <w:pStyle w:val="Tekstpodstawowy"/>
        <w:numPr>
          <w:ilvl w:val="0"/>
          <w:numId w:val="149"/>
        </w:numPr>
      </w:pPr>
      <w:r>
        <w:t>Expenditure on R&amp;D and manufacturing</w:t>
      </w:r>
    </w:p>
    <w:p w14:paraId="08CA1A1D" w14:textId="097F20B8" w:rsidR="008C606D" w:rsidRDefault="008C606D" w:rsidP="000A2E03">
      <w:pPr>
        <w:pStyle w:val="Tekstpodstawowy"/>
        <w:numPr>
          <w:ilvl w:val="0"/>
          <w:numId w:val="149"/>
        </w:numPr>
      </w:pPr>
      <w:r>
        <w:t>Clinical trial locations</w:t>
      </w:r>
    </w:p>
    <w:p w14:paraId="6D16EC03" w14:textId="43104ABB" w:rsidR="00882BE3" w:rsidRDefault="00882BE3" w:rsidP="000A2E03">
      <w:pPr>
        <w:pStyle w:val="Tekstpodstawowy"/>
        <w:numPr>
          <w:ilvl w:val="0"/>
          <w:numId w:val="149"/>
        </w:numPr>
      </w:pPr>
      <w:r>
        <w:t>Location of</w:t>
      </w:r>
      <w:r w:rsidR="0027360D">
        <w:t xml:space="preserve"> manufacturing </w:t>
      </w:r>
      <w:r w:rsidR="00A32716">
        <w:t xml:space="preserve">focus on ATMPs as an example of a </w:t>
      </w:r>
      <w:r w:rsidR="00140A71">
        <w:t>new therapeutic solution</w:t>
      </w:r>
    </w:p>
    <w:p w14:paraId="4C587026" w14:textId="77777777" w:rsidR="008C606D" w:rsidRDefault="008C606D" w:rsidP="000A2E03">
      <w:pPr>
        <w:pStyle w:val="Tekstpodstawowy"/>
        <w:numPr>
          <w:ilvl w:val="0"/>
          <w:numId w:val="149"/>
        </w:numPr>
      </w:pPr>
      <w:r>
        <w:t>Level of employment in R&amp;D and manufacturing</w:t>
      </w:r>
    </w:p>
    <w:p w14:paraId="30178B5D" w14:textId="653D9943" w:rsidR="00102910" w:rsidRPr="009055AD" w:rsidRDefault="00102910" w:rsidP="000A2E03">
      <w:pPr>
        <w:pStyle w:val="Akapitzlist"/>
        <w:numPr>
          <w:ilvl w:val="0"/>
          <w:numId w:val="149"/>
        </w:numPr>
        <w:rPr>
          <w:rFonts w:ascii="Arial" w:hAnsi="Arial"/>
          <w:sz w:val="20"/>
        </w:rPr>
      </w:pPr>
      <w:r w:rsidRPr="000A2E03">
        <w:rPr>
          <w:rFonts w:ascii="Arial" w:hAnsi="Arial"/>
          <w:sz w:val="20"/>
        </w:rPr>
        <w:t>Foreign direct investment and exports</w:t>
      </w:r>
    </w:p>
    <w:p w14:paraId="6D1A57B1" w14:textId="77777777" w:rsidR="00AD3FEB" w:rsidRDefault="00AD3FEB" w:rsidP="00AD3FEB">
      <w:pPr>
        <w:pStyle w:val="Nagwek3"/>
      </w:pPr>
      <w:bookmarkStart w:id="25" w:name="_Toc105602026"/>
      <w:bookmarkStart w:id="26" w:name="_Toc106104523"/>
      <w:bookmarkStart w:id="27" w:name="_Toc115717776"/>
      <w:r>
        <w:lastRenderedPageBreak/>
        <w:t>Interview programme</w:t>
      </w:r>
      <w:bookmarkEnd w:id="25"/>
      <w:bookmarkEnd w:id="26"/>
      <w:bookmarkEnd w:id="27"/>
    </w:p>
    <w:p w14:paraId="26A30F39" w14:textId="7EFE4527" w:rsidR="00AD3FEB" w:rsidRDefault="00AD3FEB" w:rsidP="00AD3FEB">
      <w:pPr>
        <w:pStyle w:val="Tekstpodstawowy"/>
      </w:pPr>
      <w:r>
        <w:t>As described above</w:t>
      </w:r>
      <w:r w:rsidR="00E51D07">
        <w:t>,</w:t>
      </w:r>
      <w:r>
        <w:t xml:space="preserve"> there have been many surveys asking company executives to rank the factors explaining the location of investments. The approach taken in this project was to look at actual decisions and try to tease </w:t>
      </w:r>
      <w:r w:rsidR="00E51D07">
        <w:t xml:space="preserve">apart </w:t>
      </w:r>
      <w:r>
        <w:t>the company specific and environmental factors. Interviews were conducted with key decision</w:t>
      </w:r>
      <w:r w:rsidR="00E51D07">
        <w:t xml:space="preserve"> </w:t>
      </w:r>
      <w:r>
        <w:t xml:space="preserve">makers from pharmaceutical companies. The interviews were structured around specific recent examples of </w:t>
      </w:r>
      <w:r w:rsidR="00874D49">
        <w:t xml:space="preserve">major </w:t>
      </w:r>
      <w:r>
        <w:t>investments made by pharmaceutical companies in Europe and other regions (</w:t>
      </w:r>
      <w:r w:rsidR="007460D1" w:rsidRPr="000A2E03">
        <w:fldChar w:fldCharType="begin"/>
      </w:r>
      <w:r w:rsidR="007460D1">
        <w:instrText xml:space="preserve"> REF _Ref106361778 \h </w:instrText>
      </w:r>
      <w:r w:rsidR="000F0501">
        <w:fldChar w:fldCharType="separate"/>
      </w:r>
      <w:r w:rsidR="007460D1" w:rsidRPr="000A2E03">
        <w:fldChar w:fldCharType="end"/>
      </w:r>
      <w:r w:rsidR="00A43162">
        <w:t>see</w:t>
      </w:r>
      <w:r>
        <w:t xml:space="preserve"> </w:t>
      </w:r>
      <w:r w:rsidR="00A43162">
        <w:t>A</w:t>
      </w:r>
      <w:r>
        <w:t>ppendix</w:t>
      </w:r>
      <w:r w:rsidR="00A43162">
        <w:t xml:space="preserve"> </w:t>
      </w:r>
      <w:r w:rsidR="00A43162">
        <w:fldChar w:fldCharType="begin"/>
      </w:r>
      <w:r w:rsidR="00A43162">
        <w:instrText xml:space="preserve"> REF _Ref106361778 \h </w:instrText>
      </w:r>
      <w:r w:rsidR="00A43162">
        <w:fldChar w:fldCharType="separate"/>
      </w:r>
      <w:r w:rsidR="00A43162">
        <w:t xml:space="preserve">Table </w:t>
      </w:r>
      <w:r w:rsidR="00A43162">
        <w:rPr>
          <w:noProof/>
        </w:rPr>
        <w:t>4</w:t>
      </w:r>
      <w:r w:rsidR="00A43162">
        <w:fldChar w:fldCharType="end"/>
      </w:r>
      <w:r>
        <w:t>). In total</w:t>
      </w:r>
      <w:r w:rsidR="00454F13" w:rsidRPr="00224340">
        <w:t xml:space="preserve">, </w:t>
      </w:r>
      <w:r w:rsidR="00224340" w:rsidRPr="00224340">
        <w:t>1</w:t>
      </w:r>
      <w:r w:rsidR="00454F13" w:rsidRPr="00D53D69">
        <w:t>5</w:t>
      </w:r>
      <w:r w:rsidRPr="00224340">
        <w:t xml:space="preserve"> one-hour interviews </w:t>
      </w:r>
      <w:r w:rsidR="00A43162">
        <w:t>were</w:t>
      </w:r>
      <w:r w:rsidR="00454F13" w:rsidRPr="00256EA9">
        <w:t xml:space="preserve"> </w:t>
      </w:r>
      <w:r w:rsidRPr="00256EA9">
        <w:t xml:space="preserve">conducted </w:t>
      </w:r>
      <w:r w:rsidR="00F365DA">
        <w:t>between</w:t>
      </w:r>
      <w:r w:rsidR="00F365DA" w:rsidRPr="00256EA9">
        <w:t xml:space="preserve"> </w:t>
      </w:r>
      <w:r w:rsidRPr="00D53D69">
        <w:t>June</w:t>
      </w:r>
      <w:r w:rsidR="00F365DA">
        <w:t xml:space="preserve"> and July</w:t>
      </w:r>
      <w:r w:rsidRPr="00D53D69">
        <w:t xml:space="preserve"> 2022</w:t>
      </w:r>
      <w:r>
        <w:t xml:space="preserve">. The interviews provided insight on the factors affecting real investment decisions involving pharmaceutical companies’ research and manufacturing facilities. Particular attention was paid to any specific circumstances or decision drivers mentioned in press releases related to the investment, as well as the type of technology involved and the location of the company’s headquarters. </w:t>
      </w:r>
    </w:p>
    <w:p w14:paraId="588BC32A" w14:textId="7BAFD510" w:rsidR="00AD3FEB" w:rsidRDefault="00AD3FEB" w:rsidP="00AD3FEB">
      <w:pPr>
        <w:pStyle w:val="Tekstpodstawowy"/>
      </w:pPr>
      <w:r>
        <w:t xml:space="preserve">We draw on the insights from all of these discussions throughout the report, and also have </w:t>
      </w:r>
      <w:r w:rsidR="004A106C">
        <w:t>six</w:t>
      </w:r>
      <w:r w:rsidR="007523B1">
        <w:t xml:space="preserve"> </w:t>
      </w:r>
      <w:r>
        <w:t>specific case</w:t>
      </w:r>
      <w:r w:rsidR="0089057A">
        <w:t>-</w:t>
      </w:r>
      <w:r>
        <w:t xml:space="preserve">study examples based on publicly available information. To draw lessons from these we combine information available in the public domain as well as aggregate findings obtained from the literature review, data analysis, and interview programme, rather than reflecting a particular company’s perspective on a specific investment decision. </w:t>
      </w:r>
    </w:p>
    <w:p w14:paraId="1B8E23B4" w14:textId="77777777" w:rsidR="00511941" w:rsidRDefault="00511941" w:rsidP="00511941">
      <w:pPr>
        <w:pStyle w:val="Nagwek2"/>
        <w:ind w:left="0"/>
      </w:pPr>
      <w:bookmarkStart w:id="28" w:name="_Toc105602027"/>
      <w:bookmarkStart w:id="29" w:name="_Toc106104524"/>
      <w:bookmarkStart w:id="30" w:name="_Toc115717777"/>
      <w:r>
        <w:t>Structure of this report</w:t>
      </w:r>
      <w:bookmarkEnd w:id="28"/>
      <w:bookmarkEnd w:id="29"/>
      <w:bookmarkEnd w:id="30"/>
    </w:p>
    <w:p w14:paraId="36FC83C9" w14:textId="77777777" w:rsidR="00511941" w:rsidRDefault="00511941" w:rsidP="00511941">
      <w:pPr>
        <w:pStyle w:val="Tekstpodstawowy"/>
      </w:pPr>
      <w:r>
        <w:t>The structure of this report is as follows:</w:t>
      </w:r>
    </w:p>
    <w:p w14:paraId="1058963B" w14:textId="09B4DEE1" w:rsidR="00511941" w:rsidRDefault="00511941" w:rsidP="000A2E03">
      <w:pPr>
        <w:pStyle w:val="Tekstpodstawowy"/>
        <w:numPr>
          <w:ilvl w:val="0"/>
          <w:numId w:val="150"/>
        </w:numPr>
      </w:pPr>
      <w:r>
        <w:t xml:space="preserve">Chapter 2 examines the trends in investment in R&amp;D, clinical trials and </w:t>
      </w:r>
      <w:r w:rsidR="00496BE7">
        <w:t xml:space="preserve">types of </w:t>
      </w:r>
      <w:r w:rsidR="00C06660">
        <w:tab/>
      </w:r>
      <w:r>
        <w:t>manufacturing</w:t>
      </w:r>
      <w:r w:rsidR="00E51D07">
        <w:t>,</w:t>
      </w:r>
      <w:r w:rsidR="005F7D8C">
        <w:t xml:space="preserve"> taking a twenty</w:t>
      </w:r>
      <w:r w:rsidR="00952F70">
        <w:t>-</w:t>
      </w:r>
      <w:r w:rsidR="005F7D8C">
        <w:t>year time horizon</w:t>
      </w:r>
      <w:r w:rsidR="00A32F75">
        <w:t>.</w:t>
      </w:r>
      <w:r>
        <w:t xml:space="preserve"> </w:t>
      </w:r>
    </w:p>
    <w:p w14:paraId="3188119A" w14:textId="0E94D32C" w:rsidR="00511941" w:rsidRDefault="00511941" w:rsidP="000A2E03">
      <w:pPr>
        <w:pStyle w:val="Tekstpodstawowy"/>
        <w:numPr>
          <w:ilvl w:val="0"/>
          <w:numId w:val="150"/>
        </w:numPr>
      </w:pPr>
      <w:r>
        <w:t>Chapter 3 consider</w:t>
      </w:r>
      <w:r w:rsidR="00A32F75">
        <w:t>s</w:t>
      </w:r>
      <w:r>
        <w:t xml:space="preserve"> what we know about the different drivers that influence </w:t>
      </w:r>
      <w:r w:rsidR="00C06660">
        <w:tab/>
      </w:r>
      <w:r>
        <w:t>companies’ decision</w:t>
      </w:r>
      <w:r w:rsidR="00E51D07">
        <w:t>s</w:t>
      </w:r>
      <w:r>
        <w:t xml:space="preserve"> to invest in R&amp;D and manufacturing in specific locations and </w:t>
      </w:r>
      <w:r w:rsidR="00C06660">
        <w:tab/>
      </w:r>
      <w:r>
        <w:t xml:space="preserve">how these factors can explain the observed trends of global investment activity. It </w:t>
      </w:r>
      <w:r w:rsidR="00C06660">
        <w:tab/>
      </w:r>
      <w:r w:rsidR="00317EA8">
        <w:t xml:space="preserve">then </w:t>
      </w:r>
      <w:r>
        <w:t xml:space="preserve">considers if </w:t>
      </w:r>
      <w:r w:rsidR="00E51D07">
        <w:t>these changes are</w:t>
      </w:r>
      <w:r w:rsidR="00B87391">
        <w:t xml:space="preserve"> </w:t>
      </w:r>
      <w:r>
        <w:t>due to the nature of new technology</w:t>
      </w:r>
      <w:r w:rsidR="00BC162D">
        <w:t xml:space="preserve"> or </w:t>
      </w:r>
      <w:r w:rsidR="00B87391">
        <w:tab/>
      </w:r>
      <w:r w:rsidR="00BC162D">
        <w:t>geopolitical events</w:t>
      </w:r>
      <w:r>
        <w:t xml:space="preserve">. </w:t>
      </w:r>
    </w:p>
    <w:p w14:paraId="4C181550" w14:textId="5BA54FE7" w:rsidR="00511941" w:rsidRPr="00CD4FE8" w:rsidRDefault="00511941" w:rsidP="000A2E03">
      <w:pPr>
        <w:pStyle w:val="Tekstpodstawowy"/>
        <w:numPr>
          <w:ilvl w:val="0"/>
          <w:numId w:val="150"/>
        </w:numPr>
      </w:pPr>
      <w:r>
        <w:t xml:space="preserve">Chapter 4 assesses potential policy solutions to boost Europe’s attractiveness as </w:t>
      </w:r>
      <w:r w:rsidR="00C06660">
        <w:tab/>
      </w:r>
      <w:r>
        <w:t>a location for biopharmaceutical companies to invest in</w:t>
      </w:r>
      <w:r w:rsidR="00B87391">
        <w:t xml:space="preserve"> R&amp;D</w:t>
      </w:r>
      <w:r>
        <w:t xml:space="preserve">, clinical trials, and </w:t>
      </w:r>
      <w:r w:rsidR="00B87391">
        <w:tab/>
      </w:r>
      <w:r>
        <w:t>manufacturing</w:t>
      </w:r>
      <w:r w:rsidR="002C3B0B">
        <w:t>, and critiques the extent to which</w:t>
      </w:r>
      <w:r w:rsidR="009C1335">
        <w:t xml:space="preserve"> the</w:t>
      </w:r>
      <w:r w:rsidR="002C3B0B">
        <w:t xml:space="preserve"> current EU policy direction</w:t>
      </w:r>
      <w:r w:rsidR="009C1335">
        <w:t xml:space="preserve"> </w:t>
      </w:r>
      <w:r w:rsidR="00B87391">
        <w:tab/>
      </w:r>
      <w:r w:rsidR="009C1335">
        <w:t>achieves these objectives</w:t>
      </w:r>
      <w:r>
        <w:t>.</w:t>
      </w:r>
    </w:p>
    <w:p w14:paraId="53811EF9" w14:textId="77777777" w:rsidR="00511941" w:rsidRDefault="00511941" w:rsidP="00AD3FEB">
      <w:pPr>
        <w:pStyle w:val="Tekstpodstawowy"/>
      </w:pPr>
    </w:p>
    <w:p w14:paraId="51CCB688" w14:textId="77777777" w:rsidR="00DE58E1" w:rsidRPr="00174647" w:rsidRDefault="00DE58E1" w:rsidP="00DE58E1">
      <w:pPr>
        <w:pStyle w:val="Tekstpodstawowy"/>
      </w:pPr>
    </w:p>
    <w:p w14:paraId="281E50D1" w14:textId="245CC880" w:rsidR="0051495B" w:rsidRDefault="0051495B" w:rsidP="0051495B">
      <w:pPr>
        <w:pStyle w:val="Nagwek1"/>
        <w:suppressAutoHyphens/>
        <w:ind w:left="0" w:hanging="709"/>
      </w:pPr>
      <w:bookmarkStart w:id="31" w:name="_Toc106104525"/>
      <w:bookmarkStart w:id="32" w:name="_Toc115717778"/>
      <w:r>
        <w:lastRenderedPageBreak/>
        <w:t>Trends in investment in R&amp;D, clinical trials</w:t>
      </w:r>
      <w:r w:rsidR="009C11A8">
        <w:t>,</w:t>
      </w:r>
      <w:r>
        <w:t xml:space="preserve"> and </w:t>
      </w:r>
      <w:r w:rsidR="00327BDA">
        <w:t xml:space="preserve">different types of </w:t>
      </w:r>
      <w:r>
        <w:t>manufacturing</w:t>
      </w:r>
      <w:bookmarkEnd w:id="31"/>
      <w:bookmarkEnd w:id="32"/>
    </w:p>
    <w:p w14:paraId="5EED775E" w14:textId="7BA57E50" w:rsidR="00B372EB" w:rsidRDefault="001453A3" w:rsidP="001453A3">
      <w:pPr>
        <w:pStyle w:val="Tekstpodstawowy"/>
      </w:pPr>
      <w:r w:rsidRPr="00910EB3">
        <w:t xml:space="preserve">To understand where </w:t>
      </w:r>
      <w:r w:rsidR="00B372EB">
        <w:t>investment</w:t>
      </w:r>
      <w:r w:rsidR="00453A04">
        <w:t>s</w:t>
      </w:r>
      <w:r w:rsidR="00B372EB">
        <w:t xml:space="preserve"> in R&amp;D, clinical trials </w:t>
      </w:r>
      <w:r w:rsidRPr="00910EB3">
        <w:t xml:space="preserve">and </w:t>
      </w:r>
      <w:r w:rsidR="00F929E4">
        <w:t xml:space="preserve">manufacturing of </w:t>
      </w:r>
      <w:r w:rsidR="00AB361C">
        <w:t>investigational medicinal product</w:t>
      </w:r>
      <w:r w:rsidR="004D1868">
        <w:t>s</w:t>
      </w:r>
      <w:r w:rsidR="00AB361C">
        <w:t xml:space="preserve"> (</w:t>
      </w:r>
      <w:r w:rsidR="002A46D2">
        <w:t>IMP</w:t>
      </w:r>
      <w:r w:rsidR="004D1868">
        <w:t>s</w:t>
      </w:r>
      <w:r w:rsidR="00AB361C">
        <w:t xml:space="preserve">) and </w:t>
      </w:r>
      <w:r w:rsidR="002A46D2">
        <w:t xml:space="preserve">commercial </w:t>
      </w:r>
      <w:r w:rsidR="00A662D7">
        <w:t>products</w:t>
      </w:r>
      <w:r w:rsidR="002A46D2">
        <w:t xml:space="preserve"> </w:t>
      </w:r>
      <w:r w:rsidR="00453A04">
        <w:t>are</w:t>
      </w:r>
      <w:r w:rsidRPr="00910EB3">
        <w:t xml:space="preserve"> occurring</w:t>
      </w:r>
      <w:r w:rsidR="00AB361C">
        <w:t>,</w:t>
      </w:r>
      <w:r w:rsidR="00B372EB">
        <w:t xml:space="preserve"> it is useful to start with broad statistics focus</w:t>
      </w:r>
      <w:r w:rsidR="00B832E0">
        <w:t>ing</w:t>
      </w:r>
      <w:r w:rsidR="00B372EB">
        <w:t xml:space="preserve"> on each component</w:t>
      </w:r>
      <w:r w:rsidR="00167717">
        <w:t xml:space="preserve"> </w:t>
      </w:r>
      <w:r w:rsidR="00D630F4">
        <w:t>individually</w:t>
      </w:r>
      <w:r w:rsidR="00B372EB">
        <w:t>.</w:t>
      </w:r>
      <w:r w:rsidR="00710906">
        <w:t xml:space="preserve"> In this chapter</w:t>
      </w:r>
      <w:r w:rsidR="00854AD1">
        <w:t>,</w:t>
      </w:r>
      <w:r w:rsidR="00710906">
        <w:t xml:space="preserve"> we set out to compare trends across </w:t>
      </w:r>
      <w:r w:rsidR="00167717">
        <w:t xml:space="preserve">the </w:t>
      </w:r>
      <w:r w:rsidR="00710906">
        <w:t>US, E</w:t>
      </w:r>
      <w:r w:rsidR="00B633C3">
        <w:t>urope (EU + U</w:t>
      </w:r>
      <w:r w:rsidR="00C84FEB">
        <w:t xml:space="preserve">nited </w:t>
      </w:r>
      <w:r w:rsidR="00B633C3">
        <w:t>K</w:t>
      </w:r>
      <w:r w:rsidR="00C84FEB">
        <w:t>ingdom</w:t>
      </w:r>
      <w:r w:rsidR="00B633C3">
        <w:t xml:space="preserve"> </w:t>
      </w:r>
      <w:r w:rsidR="00167717">
        <w:t xml:space="preserve">(UK) </w:t>
      </w:r>
      <w:r w:rsidR="00B633C3">
        <w:t xml:space="preserve">+ </w:t>
      </w:r>
      <w:r w:rsidR="00C84FEB">
        <w:t>Switzerland</w:t>
      </w:r>
      <w:r w:rsidR="00B633C3">
        <w:t>)</w:t>
      </w:r>
      <w:r w:rsidR="00710906">
        <w:t>, Japan and China.</w:t>
      </w:r>
    </w:p>
    <w:p w14:paraId="6A28709E" w14:textId="0BA1C28F" w:rsidR="00D2033C" w:rsidRDefault="001453A3" w:rsidP="001453A3">
      <w:pPr>
        <w:pStyle w:val="Nagwek2"/>
        <w:ind w:left="0"/>
      </w:pPr>
      <w:bookmarkStart w:id="33" w:name="_Toc106296996"/>
      <w:bookmarkStart w:id="34" w:name="_Toc106382029"/>
      <w:bookmarkStart w:id="35" w:name="_Toc106296997"/>
      <w:bookmarkStart w:id="36" w:name="_Toc106382030"/>
      <w:bookmarkStart w:id="37" w:name="_Toc106296998"/>
      <w:bookmarkStart w:id="38" w:name="_Toc106382031"/>
      <w:bookmarkStart w:id="39" w:name="_Toc106296999"/>
      <w:bookmarkStart w:id="40" w:name="_Toc106382032"/>
      <w:bookmarkStart w:id="41" w:name="_Toc106297000"/>
      <w:bookmarkStart w:id="42" w:name="_Toc106382033"/>
      <w:bookmarkStart w:id="43" w:name="_Toc106297001"/>
      <w:bookmarkStart w:id="44" w:name="_Toc106382034"/>
      <w:bookmarkStart w:id="45" w:name="_Toc106297002"/>
      <w:bookmarkStart w:id="46" w:name="_Toc106382035"/>
      <w:bookmarkStart w:id="47" w:name="_Toc106297003"/>
      <w:bookmarkStart w:id="48" w:name="_Toc106382036"/>
      <w:bookmarkStart w:id="49" w:name="_Toc115717779"/>
      <w:bookmarkStart w:id="50" w:name="_Toc10610452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T</w:t>
      </w:r>
      <w:r w:rsidR="00971EB0">
        <w:t>rends in R&amp;D expenditure</w:t>
      </w:r>
      <w:bookmarkEnd w:id="49"/>
      <w:r w:rsidR="00971EB0" w:rsidDel="00971EB0">
        <w:t xml:space="preserve"> </w:t>
      </w:r>
      <w:bookmarkEnd w:id="50"/>
    </w:p>
    <w:p w14:paraId="2D7DEEDE" w14:textId="16EBBFAC" w:rsidR="00BD7920" w:rsidRDefault="00F30879" w:rsidP="001453A3">
      <w:pPr>
        <w:pStyle w:val="Tekstpodstawowy"/>
      </w:pPr>
      <w:r>
        <w:t xml:space="preserve">Given the headwinds facing the global economy, the increase in </w:t>
      </w:r>
      <w:r w:rsidR="000B6BB9">
        <w:t>global R&amp;D investment</w:t>
      </w:r>
      <w:r>
        <w:t xml:space="preserve"> is dramatic</w:t>
      </w:r>
      <w:r w:rsidR="00744FD2">
        <w:t xml:space="preserve">, with </w:t>
      </w:r>
      <w:r w:rsidR="00BB501B">
        <w:t>an</w:t>
      </w:r>
      <w:r w:rsidR="00744FD2">
        <w:t xml:space="preserve"> </w:t>
      </w:r>
      <w:r w:rsidR="000B6BB9">
        <w:t>expected growth</w:t>
      </w:r>
      <w:r w:rsidR="00774976">
        <w:t xml:space="preserve"> rate of 4.2% per year to reach $233 billion in 2026</w:t>
      </w:r>
      <w:r>
        <w:t>.</w:t>
      </w:r>
      <w:r w:rsidR="00774976">
        <w:rPr>
          <w:rStyle w:val="Odwoanieprzypisudolnego"/>
        </w:rPr>
        <w:footnoteReference w:id="21"/>
      </w:r>
      <w:r w:rsidR="009C68AB" w:rsidRPr="009C68AB">
        <w:rPr>
          <w:vertAlign w:val="superscript"/>
        </w:rPr>
        <w:t>,</w:t>
      </w:r>
      <w:r>
        <w:rPr>
          <w:rStyle w:val="Odwoanieprzypisudolnego"/>
        </w:rPr>
        <w:footnoteReference w:id="22"/>
      </w:r>
      <w:r>
        <w:t xml:space="preserve"> </w:t>
      </w:r>
      <w:r w:rsidR="0090558E">
        <w:t>There is</w:t>
      </w:r>
      <w:r w:rsidR="000B6BB9">
        <w:t>,</w:t>
      </w:r>
      <w:r w:rsidR="0090558E">
        <w:t xml:space="preserve"> </w:t>
      </w:r>
      <w:r w:rsidR="0082142D">
        <w:t>however</w:t>
      </w:r>
      <w:r w:rsidR="000B6BB9">
        <w:t>,</w:t>
      </w:r>
      <w:r w:rsidR="0090558E">
        <w:t xml:space="preserve"> </w:t>
      </w:r>
      <w:r w:rsidR="002E466A">
        <w:t xml:space="preserve">evidence </w:t>
      </w:r>
      <w:r w:rsidR="0090558E">
        <w:t xml:space="preserve">that </w:t>
      </w:r>
      <w:r w:rsidR="003D064A">
        <w:t>R&amp;D investment</w:t>
      </w:r>
      <w:r w:rsidR="000B6BB9">
        <w:t>s</w:t>
      </w:r>
      <w:r w:rsidR="003D064A">
        <w:t xml:space="preserve"> </w:t>
      </w:r>
      <w:r w:rsidR="000B6BB9">
        <w:t>are</w:t>
      </w:r>
      <w:r w:rsidR="003D064A">
        <w:t xml:space="preserve"> shifting out of Europe </w:t>
      </w:r>
      <w:r w:rsidR="000B6BB9">
        <w:t>and</w:t>
      </w:r>
      <w:r w:rsidR="003D064A">
        <w:t xml:space="preserve"> into t</w:t>
      </w:r>
      <w:r w:rsidR="00433330">
        <w:t>he U</w:t>
      </w:r>
      <w:r w:rsidR="00AA2C2B">
        <w:t>S, and that the European</w:t>
      </w:r>
      <w:r w:rsidR="00C81B9F">
        <w:t xml:space="preserve"> </w:t>
      </w:r>
      <w:r w:rsidR="006C5128">
        <w:t>pharmaceutical</w:t>
      </w:r>
      <w:r w:rsidR="00AA2C2B">
        <w:t xml:space="preserve"> industry is facing increasin</w:t>
      </w:r>
      <w:r w:rsidR="00177C12">
        <w:t>g competition from China</w:t>
      </w:r>
      <w:r w:rsidR="00C81B9F">
        <w:t xml:space="preserve"> and other emerging economies</w:t>
      </w:r>
      <w:r w:rsidR="00177C12">
        <w:t>.</w:t>
      </w:r>
      <w:bookmarkStart w:id="51" w:name="_Ref106187037"/>
      <w:r w:rsidR="00173A58">
        <w:rPr>
          <w:rStyle w:val="Odwoanieprzypisudolnego"/>
        </w:rPr>
        <w:footnoteReference w:id="23"/>
      </w:r>
      <w:bookmarkEnd w:id="51"/>
      <w:r w:rsidR="0090558E">
        <w:t xml:space="preserve"> To test this</w:t>
      </w:r>
      <w:r w:rsidR="009E4A04">
        <w:t>,</w:t>
      </w:r>
      <w:r w:rsidR="0090558E">
        <w:t xml:space="preserve"> it is useful to compare private R&amp;D investment</w:t>
      </w:r>
      <w:r w:rsidR="000B6BB9">
        <w:t xml:space="preserve">s </w:t>
      </w:r>
      <w:r w:rsidR="0090558E">
        <w:t>in each of the</w:t>
      </w:r>
      <w:r w:rsidR="000B6BB9">
        <w:t>se</w:t>
      </w:r>
      <w:r w:rsidR="0090558E">
        <w:t xml:space="preserve"> regions. </w:t>
      </w:r>
      <w:r w:rsidR="00D175C8">
        <w:t xml:space="preserve">For this report, </w:t>
      </w:r>
      <w:r w:rsidR="00744FD2">
        <w:t>we define</w:t>
      </w:r>
      <w:r w:rsidR="00D175C8">
        <w:t xml:space="preserve"> </w:t>
      </w:r>
      <w:r w:rsidR="00714CBF">
        <w:t>R&amp;D investment</w:t>
      </w:r>
      <w:r w:rsidR="009E4A04">
        <w:t xml:space="preserve"> data</w:t>
      </w:r>
      <w:r w:rsidR="00D175C8">
        <w:t xml:space="preserve"> </w:t>
      </w:r>
      <w:r w:rsidR="00744FD2">
        <w:t xml:space="preserve">as </w:t>
      </w:r>
      <w:r w:rsidR="00770CFD">
        <w:t xml:space="preserve">including </w:t>
      </w:r>
      <w:r w:rsidR="0079600E">
        <w:t xml:space="preserve">basic and </w:t>
      </w:r>
      <w:r w:rsidR="0079600E" w:rsidRPr="00277B12">
        <w:t>translational resea</w:t>
      </w:r>
      <w:r w:rsidR="002F43E4" w:rsidRPr="00277B12">
        <w:t>r</w:t>
      </w:r>
      <w:r w:rsidR="0079600E" w:rsidRPr="00277B12">
        <w:t>ch</w:t>
      </w:r>
      <w:r w:rsidR="000F06A5" w:rsidRPr="00277B12">
        <w:t>, as well as development</w:t>
      </w:r>
      <w:r w:rsidR="0079600E" w:rsidRPr="00277B12">
        <w:t>al activities</w:t>
      </w:r>
      <w:r w:rsidR="000F06A5" w:rsidRPr="00277B12">
        <w:t xml:space="preserve"> </w:t>
      </w:r>
      <w:r w:rsidR="0079600E" w:rsidRPr="00277B12">
        <w:t xml:space="preserve">such as </w:t>
      </w:r>
      <w:r w:rsidR="005712BF" w:rsidRPr="00277B12">
        <w:t xml:space="preserve">clinical </w:t>
      </w:r>
      <w:r w:rsidR="0079600E" w:rsidRPr="00277B12">
        <w:t>trials</w:t>
      </w:r>
      <w:r w:rsidR="00744FD2" w:rsidRPr="00277B12">
        <w:t xml:space="preserve"> undertaken by </w:t>
      </w:r>
      <w:r w:rsidR="00744FD2" w:rsidRPr="00E1724B">
        <w:t>private companies</w:t>
      </w:r>
      <w:r w:rsidR="00EF4C58" w:rsidRPr="00277B12">
        <w:t xml:space="preserve">, </w:t>
      </w:r>
      <w:r w:rsidR="000B6BB9">
        <w:t>which include</w:t>
      </w:r>
      <w:r w:rsidR="001F6D65">
        <w:t xml:space="preserve"> </w:t>
      </w:r>
      <w:r w:rsidR="000D3FF6">
        <w:t>contract</w:t>
      </w:r>
      <w:r w:rsidR="00AC0E93">
        <w:t xml:space="preserve"> research organisations (CRO</w:t>
      </w:r>
      <w:r w:rsidR="001A63A7">
        <w:t xml:space="preserve">s) and </w:t>
      </w:r>
      <w:r w:rsidR="00277B12">
        <w:t>contract manufacturing organisations (CMOs)</w:t>
      </w:r>
      <w:r w:rsidR="0079600E">
        <w:t>.</w:t>
      </w:r>
      <w:r w:rsidR="00B570D9">
        <w:t xml:space="preserve"> </w:t>
      </w:r>
      <w:r w:rsidR="0090558E">
        <w:t>There are a number of issues with comparing data on this basis:</w:t>
      </w:r>
    </w:p>
    <w:p w14:paraId="6159957B" w14:textId="4E4C72FB" w:rsidR="0090558E" w:rsidRDefault="0090558E" w:rsidP="000A2E03">
      <w:pPr>
        <w:pStyle w:val="Tekstpodstawowy"/>
        <w:numPr>
          <w:ilvl w:val="0"/>
          <w:numId w:val="164"/>
        </w:numPr>
      </w:pPr>
      <w:r>
        <w:t>The coverage depends on the companies that are members of the relevant trade associations</w:t>
      </w:r>
      <w:r w:rsidR="00710906">
        <w:t>.</w:t>
      </w:r>
      <w:r w:rsidR="00D12DCB">
        <w:rPr>
          <w:rStyle w:val="Odwoanieprzypisudolnego"/>
        </w:rPr>
        <w:footnoteReference w:id="24"/>
      </w:r>
      <w:r w:rsidR="00BD1A63" w:rsidRPr="004667E8">
        <w:rPr>
          <w:vertAlign w:val="superscript"/>
        </w:rPr>
        <w:t>,</w:t>
      </w:r>
      <w:r w:rsidR="00397B61">
        <w:rPr>
          <w:rStyle w:val="Odwoanieprzypisudolnego"/>
        </w:rPr>
        <w:footnoteReference w:id="25"/>
      </w:r>
      <w:r w:rsidR="00710906">
        <w:t xml:space="preserve"> Indeed, coverage changes over time as companies enter or leave the</w:t>
      </w:r>
      <w:r w:rsidR="00BB501B">
        <w:t xml:space="preserve">se </w:t>
      </w:r>
      <w:r w:rsidR="00710906">
        <w:t>association</w:t>
      </w:r>
      <w:r w:rsidR="00BB501B">
        <w:t>s</w:t>
      </w:r>
      <w:r w:rsidR="004E0B2C">
        <w:t>.</w:t>
      </w:r>
    </w:p>
    <w:p w14:paraId="029E3A21" w14:textId="3D6D1DFC" w:rsidR="00710906" w:rsidRDefault="00CC5D8C" w:rsidP="000A2E03">
      <w:pPr>
        <w:pStyle w:val="Tekstpodstawowy"/>
        <w:numPr>
          <w:ilvl w:val="0"/>
          <w:numId w:val="164"/>
        </w:numPr>
      </w:pPr>
      <w:r>
        <w:t>Due to</w:t>
      </w:r>
      <w:r w:rsidR="00971EB0">
        <w:t xml:space="preserve"> differ</w:t>
      </w:r>
      <w:r w:rsidR="00BB776B">
        <w:t>ing</w:t>
      </w:r>
      <w:r w:rsidR="00971EB0">
        <w:t xml:space="preserve"> statistics report</w:t>
      </w:r>
      <w:r w:rsidR="0082142D">
        <w:t>ed</w:t>
      </w:r>
      <w:r w:rsidR="00971EB0">
        <w:t xml:space="preserve">, </w:t>
      </w:r>
      <w:r>
        <w:t>comparisons of</w:t>
      </w:r>
      <w:r w:rsidR="00971EB0">
        <w:t xml:space="preserve"> R&amp;D investment in relevant geographical area</w:t>
      </w:r>
      <w:r>
        <w:t>s are needed</w:t>
      </w:r>
      <w:r w:rsidR="004E0B2C">
        <w:t>.</w:t>
      </w:r>
    </w:p>
    <w:p w14:paraId="0CE8D733" w14:textId="22017025" w:rsidR="00971EB0" w:rsidRDefault="00B75C76" w:rsidP="000A2E03">
      <w:pPr>
        <w:pStyle w:val="Tekstpodstawowy"/>
        <w:numPr>
          <w:ilvl w:val="0"/>
          <w:numId w:val="164"/>
        </w:numPr>
      </w:pPr>
      <w:r>
        <w:t>D</w:t>
      </w:r>
      <w:r w:rsidR="00971EB0">
        <w:t>efinition</w:t>
      </w:r>
      <w:r>
        <w:t>s</w:t>
      </w:r>
      <w:r w:rsidR="00971EB0">
        <w:t xml:space="preserve"> var</w:t>
      </w:r>
      <w:r>
        <w:t>y</w:t>
      </w:r>
      <w:r w:rsidR="00971EB0">
        <w:t xml:space="preserve"> between countries and over time. </w:t>
      </w:r>
      <w:r>
        <w:t>D</w:t>
      </w:r>
      <w:r w:rsidR="00D32B9B">
        <w:t>ata</w:t>
      </w:r>
      <w:r w:rsidR="00971EB0">
        <w:t xml:space="preserve"> </w:t>
      </w:r>
      <w:r w:rsidR="007F775F">
        <w:t xml:space="preserve">may be </w:t>
      </w:r>
      <w:r w:rsidR="00971EB0">
        <w:t>based on tax accounting (</w:t>
      </w:r>
      <w:r w:rsidR="007F775F">
        <w:t>ideal case</w:t>
      </w:r>
      <w:r w:rsidR="00971EB0">
        <w:t>) or company estimates</w:t>
      </w:r>
      <w:r w:rsidR="00B832E0">
        <w:t xml:space="preserve"> (where different approaches </w:t>
      </w:r>
      <w:r w:rsidR="007F775F">
        <w:t>may be</w:t>
      </w:r>
      <w:r w:rsidR="00B832E0">
        <w:t xml:space="preserve"> </w:t>
      </w:r>
      <w:r w:rsidR="00B832E0">
        <w:lastRenderedPageBreak/>
        <w:t>used)</w:t>
      </w:r>
      <w:r w:rsidR="00971EB0">
        <w:t>. The</w:t>
      </w:r>
      <w:r w:rsidR="00B832E0">
        <w:t>re are also issues regarding the accounting for R&amp;D</w:t>
      </w:r>
      <w:r w:rsidR="007F775F">
        <w:t>;</w:t>
      </w:r>
      <w:r w:rsidR="00B832E0">
        <w:t xml:space="preserve"> for example</w:t>
      </w:r>
      <w:r w:rsidR="007F775F">
        <w:t>,</w:t>
      </w:r>
      <w:r w:rsidR="00B832E0">
        <w:t xml:space="preserve"> </w:t>
      </w:r>
      <w:r w:rsidR="00971EB0">
        <w:t xml:space="preserve">R&amp;D </w:t>
      </w:r>
      <w:r w:rsidR="007F775F">
        <w:t>expenditure</w:t>
      </w:r>
      <w:r w:rsidR="00971EB0">
        <w:t xml:space="preserve"> for </w:t>
      </w:r>
      <w:r w:rsidR="005A3552">
        <w:t>a</w:t>
      </w:r>
      <w:r w:rsidR="00971EB0">
        <w:t xml:space="preserve"> product that fail</w:t>
      </w:r>
      <w:r w:rsidR="007F775F">
        <w:t>ed</w:t>
      </w:r>
      <w:r w:rsidR="00971EB0">
        <w:t xml:space="preserve"> </w:t>
      </w:r>
      <w:r w:rsidR="007F775F">
        <w:t xml:space="preserve">may or may not be </w:t>
      </w:r>
      <w:r w:rsidR="00971EB0">
        <w:t xml:space="preserve">allocated to the year when </w:t>
      </w:r>
      <w:r w:rsidR="005A3552">
        <w:t xml:space="preserve">it </w:t>
      </w:r>
      <w:r w:rsidR="00323DC1">
        <w:t>occurred</w:t>
      </w:r>
      <w:r w:rsidR="00971EB0">
        <w:t xml:space="preserve">. </w:t>
      </w:r>
    </w:p>
    <w:p w14:paraId="2E4C8D31" w14:textId="4464CD23" w:rsidR="00971EB0" w:rsidRPr="00BD7920" w:rsidRDefault="007F775F" w:rsidP="000A2E03">
      <w:pPr>
        <w:pStyle w:val="Tekstpodstawowy"/>
        <w:numPr>
          <w:ilvl w:val="0"/>
          <w:numId w:val="164"/>
        </w:numPr>
      </w:pPr>
      <w:r>
        <w:t>Fluctuations in</w:t>
      </w:r>
      <w:r w:rsidR="002A46D2">
        <w:t xml:space="preserve"> exchange</w:t>
      </w:r>
      <w:r w:rsidR="00C928C5">
        <w:t xml:space="preserve"> rates and inflation need to be taken into account when making </w:t>
      </w:r>
      <w:r w:rsidR="007C7BE6">
        <w:t xml:space="preserve">a </w:t>
      </w:r>
      <w:r w:rsidR="00C928C5">
        <w:t xml:space="preserve">comparison across countries and </w:t>
      </w:r>
      <w:r>
        <w:t xml:space="preserve">over </w:t>
      </w:r>
      <w:r w:rsidR="00C928C5">
        <w:t>time.</w:t>
      </w:r>
    </w:p>
    <w:p w14:paraId="20526328" w14:textId="6A588C3C" w:rsidR="000D7EAF" w:rsidRDefault="00C928C5" w:rsidP="000A2E03">
      <w:pPr>
        <w:pStyle w:val="Tekstpodstawowy"/>
      </w:pPr>
      <w:r>
        <w:t>R&amp;D</w:t>
      </w:r>
      <w:r w:rsidR="001453A3" w:rsidRPr="008117CB">
        <w:t xml:space="preserve"> investment data collected annually by major pharmaceutical industry associations </w:t>
      </w:r>
      <w:r w:rsidR="000E3C3A">
        <w:t xml:space="preserve">and </w:t>
      </w:r>
      <w:r>
        <w:t xml:space="preserve">converted </w:t>
      </w:r>
      <w:r w:rsidR="000E3C3A">
        <w:t>in</w:t>
      </w:r>
      <w:r>
        <w:t xml:space="preserve">to </w:t>
      </w:r>
      <w:r w:rsidR="00A11A1F">
        <w:t>e</w:t>
      </w:r>
      <w:r>
        <w:t>uros</w:t>
      </w:r>
      <w:r w:rsidRPr="00EC4559">
        <w:t xml:space="preserve"> </w:t>
      </w:r>
      <w:r>
        <w:t xml:space="preserve">is presented in </w:t>
      </w:r>
      <w:r w:rsidR="001453A3" w:rsidRPr="000A2E03">
        <w:fldChar w:fldCharType="begin"/>
      </w:r>
      <w:r w:rsidR="001453A3" w:rsidRPr="00EC4559">
        <w:instrText xml:space="preserve"> REF _Ref105506441 \h </w:instrText>
      </w:r>
      <w:r w:rsidR="001453A3" w:rsidRPr="000A2E03">
        <w:fldChar w:fldCharType="separate"/>
      </w:r>
      <w:r w:rsidR="00DB37E6">
        <w:t xml:space="preserve">Figure </w:t>
      </w:r>
      <w:r w:rsidR="00DB37E6">
        <w:rPr>
          <w:noProof/>
        </w:rPr>
        <w:t>1</w:t>
      </w:r>
      <w:r w:rsidR="001453A3" w:rsidRPr="000A2E03">
        <w:fldChar w:fldCharType="end"/>
      </w:r>
      <w:r>
        <w:t xml:space="preserve"> below. </w:t>
      </w:r>
      <w:r w:rsidR="00BA1527">
        <w:t xml:space="preserve">This </w:t>
      </w:r>
      <w:r w:rsidR="000E3C3A">
        <w:t>graph</w:t>
      </w:r>
      <w:r w:rsidR="00BA1527">
        <w:t xml:space="preserve"> shows the US leading in aggregate terms</w:t>
      </w:r>
      <w:r w:rsidR="002A46D2">
        <w:t>. However</w:t>
      </w:r>
      <w:r w:rsidR="002B0C55">
        <w:t>, in</w:t>
      </w:r>
      <w:r w:rsidR="00BA1527">
        <w:t xml:space="preserve"> terms of compound growth</w:t>
      </w:r>
      <w:r w:rsidR="004A40B9">
        <w:t>,</w:t>
      </w:r>
      <w:r w:rsidR="002B0C55">
        <w:t xml:space="preserve"> </w:t>
      </w:r>
      <w:r w:rsidR="00FD46C5">
        <w:t xml:space="preserve">China </w:t>
      </w:r>
      <w:r w:rsidR="00500949">
        <w:t>leads</w:t>
      </w:r>
      <w:r w:rsidR="00270113">
        <w:t>, alb</w:t>
      </w:r>
      <w:r w:rsidR="00241683">
        <w:t>eit with</w:t>
      </w:r>
      <w:r w:rsidR="00270113">
        <w:t xml:space="preserve"> much lower absolute numbers and a much larger population.</w:t>
      </w:r>
      <w:r w:rsidR="00BA1527">
        <w:t xml:space="preserve"> Although </w:t>
      </w:r>
      <w:r w:rsidR="002C7A15">
        <w:t>in absolute terms</w:t>
      </w:r>
      <w:r w:rsidR="00BA1527">
        <w:t xml:space="preserve"> Europe remains ahead of China, the growth rate of </w:t>
      </w:r>
      <w:r w:rsidR="000E3C3A">
        <w:t xml:space="preserve">R&amp;D expenditure in </w:t>
      </w:r>
      <w:r w:rsidR="00BA1527">
        <w:t>China far exceeds that of Europe</w:t>
      </w:r>
      <w:r w:rsidR="000D7EAF">
        <w:t xml:space="preserve"> over </w:t>
      </w:r>
      <w:r w:rsidR="004A40B9">
        <w:t xml:space="preserve">this </w:t>
      </w:r>
      <w:r w:rsidR="000D7EAF">
        <w:t>period</w:t>
      </w:r>
      <w:r w:rsidR="00BA1527">
        <w:t>.</w:t>
      </w:r>
      <w:r w:rsidR="001453A3" w:rsidRPr="008117CB">
        <w:t xml:space="preserve"> </w:t>
      </w:r>
      <w:r w:rsidR="000D7EAF">
        <w:t>R&amp;D</w:t>
      </w:r>
      <w:r w:rsidR="000D7EAF" w:rsidRPr="008117CB">
        <w:t xml:space="preserve"> </w:t>
      </w:r>
      <w:r w:rsidR="000E3C3A">
        <w:t>growth</w:t>
      </w:r>
      <w:r w:rsidR="000D7EAF" w:rsidRPr="008117CB">
        <w:t xml:space="preserve"> </w:t>
      </w:r>
      <w:r w:rsidR="001453A3" w:rsidRPr="008117CB">
        <w:t>in China appears to have slowed from 2016 onwards (36% average annual growth rate between 2010</w:t>
      </w:r>
      <w:r w:rsidR="00167717">
        <w:t xml:space="preserve"> and </w:t>
      </w:r>
      <w:r w:rsidR="001453A3" w:rsidRPr="008117CB">
        <w:t>2015 compared to 10% average annual growth rate between 2016</w:t>
      </w:r>
      <w:r w:rsidR="00167717">
        <w:t xml:space="preserve"> and </w:t>
      </w:r>
      <w:r w:rsidR="001453A3" w:rsidRPr="008117CB">
        <w:t>2020)</w:t>
      </w:r>
      <w:r w:rsidR="000E3C3A">
        <w:t>; yet</w:t>
      </w:r>
      <w:r w:rsidR="003E4292">
        <w:t xml:space="preserve"> </w:t>
      </w:r>
      <w:r w:rsidR="00AA039E">
        <w:t xml:space="preserve">it </w:t>
      </w:r>
      <w:r w:rsidR="001453A3" w:rsidRPr="008117CB">
        <w:t>is still occurring at a considerably faster rate than in Europe, where the average annual growth rate between 2010</w:t>
      </w:r>
      <w:r w:rsidR="00167717">
        <w:t xml:space="preserve"> and </w:t>
      </w:r>
      <w:r w:rsidR="001453A3" w:rsidRPr="008117CB">
        <w:t xml:space="preserve">2020 </w:t>
      </w:r>
      <w:r w:rsidR="00F82628">
        <w:t>wa</w:t>
      </w:r>
      <w:r w:rsidR="001453A3" w:rsidRPr="00EC4559">
        <w:t>s</w:t>
      </w:r>
      <w:r w:rsidR="001453A3" w:rsidRPr="008117CB">
        <w:t xml:space="preserve"> only 3.</w:t>
      </w:r>
      <w:r w:rsidR="0056680B">
        <w:t>7</w:t>
      </w:r>
      <w:r w:rsidR="001453A3" w:rsidRPr="008117CB">
        <w:t xml:space="preserve">%. </w:t>
      </w:r>
    </w:p>
    <w:p w14:paraId="220E67F9" w14:textId="2E270EA2" w:rsidR="00B7607A" w:rsidRDefault="00B81253" w:rsidP="000A2E03">
      <w:pPr>
        <w:pStyle w:val="Tekstpodstawowy"/>
      </w:pPr>
      <w:r>
        <w:t>C</w:t>
      </w:r>
      <w:r w:rsidR="001453A3" w:rsidRPr="00EC4559">
        <w:t>ontinued</w:t>
      </w:r>
      <w:r w:rsidR="001453A3" w:rsidRPr="008117CB">
        <w:t xml:space="preserve"> strong growth in the US is evident in </w:t>
      </w:r>
      <w:r w:rsidR="001453A3" w:rsidRPr="000A2E03">
        <w:fldChar w:fldCharType="begin"/>
      </w:r>
      <w:r w:rsidR="001453A3" w:rsidRPr="00EC4559">
        <w:instrText xml:space="preserve"> REF _Ref105506441 \h </w:instrText>
      </w:r>
      <w:r w:rsidR="001453A3" w:rsidRPr="000A2E03">
        <w:fldChar w:fldCharType="separate"/>
      </w:r>
      <w:r w:rsidR="00DB37E6">
        <w:t xml:space="preserve">Figure </w:t>
      </w:r>
      <w:r w:rsidR="00DB37E6">
        <w:rPr>
          <w:noProof/>
        </w:rPr>
        <w:t>1</w:t>
      </w:r>
      <w:r w:rsidR="001453A3" w:rsidRPr="000A2E03">
        <w:fldChar w:fldCharType="end"/>
      </w:r>
      <w:r w:rsidR="00E62DF4">
        <w:t>,</w:t>
      </w:r>
      <w:r w:rsidR="001453A3" w:rsidRPr="008117CB">
        <w:t xml:space="preserve"> </w:t>
      </w:r>
      <w:r w:rsidR="002E567E">
        <w:t>which shows the</w:t>
      </w:r>
      <w:r w:rsidR="0013018B" w:rsidRPr="008117CB">
        <w:t xml:space="preserve"> </w:t>
      </w:r>
      <w:r w:rsidR="001453A3" w:rsidRPr="008117CB">
        <w:t xml:space="preserve">expenditure of </w:t>
      </w:r>
      <w:r w:rsidR="008117CB">
        <w:t xml:space="preserve">surveyed </w:t>
      </w:r>
      <w:r w:rsidR="00167717">
        <w:t xml:space="preserve">members of </w:t>
      </w:r>
      <w:r w:rsidR="00D64E9E">
        <w:t>PhRMA</w:t>
      </w:r>
      <w:r w:rsidR="001453A3" w:rsidRPr="008117CB">
        <w:t xml:space="preserve">, </w:t>
      </w:r>
      <w:r w:rsidR="006462C8">
        <w:t>in which</w:t>
      </w:r>
      <w:r w:rsidR="00D376E0">
        <w:t xml:space="preserve"> membership</w:t>
      </w:r>
      <w:r w:rsidR="00D376E0" w:rsidRPr="008117CB">
        <w:t xml:space="preserve"> </w:t>
      </w:r>
      <w:r w:rsidR="00C47A90">
        <w:t>has</w:t>
      </w:r>
      <w:r w:rsidR="00C47A90" w:rsidRPr="008117CB">
        <w:t xml:space="preserve"> </w:t>
      </w:r>
      <w:r w:rsidR="001453A3" w:rsidRPr="008117CB">
        <w:t xml:space="preserve">also </w:t>
      </w:r>
      <w:r w:rsidR="00DD7337">
        <w:t>increased</w:t>
      </w:r>
      <w:r w:rsidR="001453A3" w:rsidRPr="008117CB">
        <w:t xml:space="preserve"> over time. Particularly rapid growth in US expenditure from 2014 onwards may also be viewed as a</w:t>
      </w:r>
      <w:r w:rsidR="00364D75">
        <w:t xml:space="preserve"> reaction to</w:t>
      </w:r>
      <w:r w:rsidR="001453A3" w:rsidRPr="008117CB">
        <w:t xml:space="preserve"> stifled R&amp;D </w:t>
      </w:r>
      <w:r w:rsidR="0090716F">
        <w:t>investment</w:t>
      </w:r>
      <w:r w:rsidR="00330822">
        <w:t xml:space="preserve"> </w:t>
      </w:r>
      <w:r w:rsidR="0071669F">
        <w:t>during</w:t>
      </w:r>
      <w:r w:rsidR="001453A3" w:rsidRPr="008117CB">
        <w:t xml:space="preserve"> a conservative slowdown from 2008</w:t>
      </w:r>
      <w:r w:rsidR="006462C8">
        <w:t xml:space="preserve"> to </w:t>
      </w:r>
      <w:r w:rsidR="001453A3" w:rsidRPr="008117CB">
        <w:t>2014 in response to the financial crisis</w:t>
      </w:r>
      <w:r w:rsidR="00B832E0">
        <w:t xml:space="preserve"> (which did not seem </w:t>
      </w:r>
      <w:r w:rsidR="00B51913">
        <w:t xml:space="preserve">to </w:t>
      </w:r>
      <w:r w:rsidR="00B832E0">
        <w:t>have the same impact in Europe)</w:t>
      </w:r>
      <w:r w:rsidR="001453A3" w:rsidRPr="008117CB">
        <w:t xml:space="preserve">. Nevertheless, it is clear that the US continues to attract considerably more pharmaceutical </w:t>
      </w:r>
      <w:r w:rsidR="000D7EAF">
        <w:t xml:space="preserve">R&amp;D investment </w:t>
      </w:r>
      <w:r w:rsidR="001453A3" w:rsidRPr="008117CB">
        <w:t>than other regions</w:t>
      </w:r>
      <w:r w:rsidR="0067016C">
        <w:t>,</w:t>
      </w:r>
      <w:r w:rsidR="001453A3" w:rsidRPr="008117CB">
        <w:t xml:space="preserve"> including Europe. </w:t>
      </w:r>
    </w:p>
    <w:p w14:paraId="5EC6406D" w14:textId="3B0E9155" w:rsidR="003B3C84" w:rsidRDefault="003B3C84" w:rsidP="000A2E03">
      <w:pPr>
        <w:pStyle w:val="Tekstpodstawowy"/>
      </w:pPr>
      <w:r>
        <w:t>Th</w:t>
      </w:r>
      <w:r w:rsidR="006462C8">
        <w:t>ese</w:t>
      </w:r>
      <w:r>
        <w:t xml:space="preserve"> data can also be viewed </w:t>
      </w:r>
      <w:r w:rsidR="002B7EEC">
        <w:t>as</w:t>
      </w:r>
      <w:r w:rsidR="006462C8">
        <w:t xml:space="preserve"> each region’s </w:t>
      </w:r>
      <w:r>
        <w:t xml:space="preserve">share of </w:t>
      </w:r>
      <w:r w:rsidR="006462C8">
        <w:t xml:space="preserve">the </w:t>
      </w:r>
      <w:r w:rsidR="002B7EEC">
        <w:t>combined</w:t>
      </w:r>
      <w:r w:rsidR="00162524">
        <w:t xml:space="preserve"> </w:t>
      </w:r>
      <w:r>
        <w:t>R</w:t>
      </w:r>
      <w:r w:rsidR="00B03A85">
        <w:t>&amp;D expenditure</w:t>
      </w:r>
      <w:r w:rsidR="002B7EEC">
        <w:t>s from the four regions</w:t>
      </w:r>
      <w:r w:rsidR="00B03A85">
        <w:t xml:space="preserve"> (</w:t>
      </w:r>
      <w:r w:rsidR="008365CD" w:rsidRPr="000A2E03">
        <w:fldChar w:fldCharType="begin"/>
      </w:r>
      <w:r w:rsidR="008365CD">
        <w:instrText xml:space="preserve"> REF _Ref110006571 \h </w:instrText>
      </w:r>
      <w:r w:rsidR="008365CD" w:rsidRPr="000A2E03">
        <w:fldChar w:fldCharType="separate"/>
      </w:r>
      <w:r w:rsidR="008365CD">
        <w:t xml:space="preserve">Figure </w:t>
      </w:r>
      <w:r w:rsidR="008365CD">
        <w:rPr>
          <w:noProof/>
        </w:rPr>
        <w:t>2</w:t>
      </w:r>
      <w:r w:rsidR="008365CD" w:rsidRPr="000A2E03">
        <w:fldChar w:fldCharType="end"/>
      </w:r>
      <w:r w:rsidR="008365CD">
        <w:t xml:space="preserve">). </w:t>
      </w:r>
      <w:r w:rsidR="00A26C17">
        <w:t>Of the total R&amp;D investments made in the US, Europe, China and Japan</w:t>
      </w:r>
      <w:r w:rsidR="00752C7F">
        <w:t xml:space="preserve"> in 2020</w:t>
      </w:r>
      <w:r w:rsidR="00A26C17">
        <w:t xml:space="preserve">, </w:t>
      </w:r>
      <w:r w:rsidR="00953B6C">
        <w:t xml:space="preserve">31% </w:t>
      </w:r>
      <w:r w:rsidR="00A6786C">
        <w:t>occurred</w:t>
      </w:r>
      <w:r w:rsidR="00C11CD2">
        <w:t xml:space="preserve"> in Europe. </w:t>
      </w:r>
      <w:r w:rsidR="007A59E4">
        <w:t xml:space="preserve">This has declined steadily </w:t>
      </w:r>
      <w:r w:rsidR="00BA2534">
        <w:t xml:space="preserve">over the last twenty years, </w:t>
      </w:r>
      <w:r w:rsidR="004A702C">
        <w:t xml:space="preserve">down </w:t>
      </w:r>
      <w:r w:rsidR="00BA2534">
        <w:t xml:space="preserve">from 41% in 2001. </w:t>
      </w:r>
      <w:r w:rsidR="007A5BD3">
        <w:t>Over the same period, China</w:t>
      </w:r>
      <w:r w:rsidR="00985D71">
        <w:t>’s</w:t>
      </w:r>
      <w:r w:rsidR="007A5BD3">
        <w:t xml:space="preserve"> share</w:t>
      </w:r>
      <w:r w:rsidR="00985D71">
        <w:t xml:space="preserve"> </w:t>
      </w:r>
      <w:r w:rsidR="007A5BD3">
        <w:t xml:space="preserve">has grown from 1% to 8%. </w:t>
      </w:r>
      <w:r w:rsidR="00FA27D2">
        <w:t xml:space="preserve">There is no evidence that expenditure in China is occurring at the expense of investment into Europe. Indeed, expenditure in Europe continues to grow, but at a much slower rate; this leads to Europe </w:t>
      </w:r>
      <w:r w:rsidR="0090716F">
        <w:t>having</w:t>
      </w:r>
      <w:r w:rsidR="00FA27D2">
        <w:t xml:space="preserve"> a diminishing share of total global pharmaceutical R&amp;D investment.</w:t>
      </w:r>
    </w:p>
    <w:p w14:paraId="1080C822" w14:textId="462EFAF4" w:rsidR="00625C84" w:rsidRDefault="00625C84" w:rsidP="00625C84">
      <w:pPr>
        <w:pStyle w:val="Legenda"/>
      </w:pPr>
      <w:bookmarkStart w:id="52" w:name="_Ref109984609"/>
      <w:bookmarkStart w:id="53" w:name="_Ref109651455"/>
      <w:bookmarkStart w:id="54" w:name="_Ref105506441"/>
      <w:bookmarkStart w:id="55" w:name="_Toc115717794"/>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576C03">
        <w:rPr>
          <w:noProof/>
        </w:rPr>
        <w:t>1</w:t>
      </w:r>
      <w:r w:rsidR="00F64CC5" w:rsidRPr="000A2E03">
        <w:fldChar w:fldCharType="end"/>
      </w:r>
      <w:bookmarkEnd w:id="52"/>
      <w:bookmarkEnd w:id="53"/>
      <w:bookmarkEnd w:id="54"/>
      <w:r>
        <w:t xml:space="preserve">: Pharmaceutical </w:t>
      </w:r>
      <w:r w:rsidR="00323DC1">
        <w:t xml:space="preserve">companies’ </w:t>
      </w:r>
      <w:r>
        <w:t>R&amp;D expenditure i</w:t>
      </w:r>
      <w:r w:rsidR="00323DC1">
        <w:t>s growing in all</w:t>
      </w:r>
      <w:r>
        <w:t xml:space="preserve"> major markets</w:t>
      </w:r>
      <w:r w:rsidR="00104BFA">
        <w:t>, but fastest in the US and China</w:t>
      </w:r>
      <w:bookmarkEnd w:id="55"/>
      <w:r w:rsidR="00104BFA">
        <w:t xml:space="preserve"> </w:t>
      </w:r>
    </w:p>
    <w:p w14:paraId="7408EFFF" w14:textId="410A9516" w:rsidR="00BF0276" w:rsidRDefault="008B6B81" w:rsidP="001453A3">
      <w:pPr>
        <w:pStyle w:val="Tekstpodstawowy"/>
        <w:rPr>
          <w:color w:val="000000" w:themeColor="text1"/>
          <w:sz w:val="16"/>
          <w:szCs w:val="16"/>
        </w:rPr>
      </w:pPr>
      <w:r w:rsidRPr="000A2E03">
        <w:rPr>
          <w:noProof/>
        </w:rPr>
        <w:drawing>
          <wp:inline distT="0" distB="0" distL="0" distR="0" wp14:anchorId="38EE78FC" wp14:editId="68A5D0AF">
            <wp:extent cx="5048250" cy="3467100"/>
            <wp:effectExtent l="0" t="0" r="0" b="0"/>
            <wp:docPr id="24" name="Chart 24">
              <a:extLst xmlns:a="http://schemas.openxmlformats.org/drawingml/2006/main">
                <a:ext uri="{FF2B5EF4-FFF2-40B4-BE49-F238E27FC236}">
                  <a16:creationId xmlns:a16="http://schemas.microsoft.com/office/drawing/2014/main" id="{7010A3BA-3317-4B1D-A46B-A0C53BAA8D83}"/>
                </a:ext>
                <a:ext uri="{147F2762-F138-4A5C-976F-8EAC2B608ADB}">
                  <a16:predDERef xmlns:a16="http://schemas.microsoft.com/office/drawing/2014/main" pred="{A8015635-0F26-4390-8E36-97B83379F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7A3788" w14:textId="04FE5518" w:rsidR="00120C13" w:rsidRDefault="00C71717" w:rsidP="001453A3">
      <w:pPr>
        <w:pStyle w:val="Tekstpodstawowy"/>
        <w:rPr>
          <w:color w:val="000000" w:themeColor="text1"/>
          <w:sz w:val="16"/>
          <w:szCs w:val="16"/>
        </w:rPr>
      </w:pPr>
      <w:r>
        <w:rPr>
          <w:sz w:val="16"/>
          <w:szCs w:val="16"/>
        </w:rPr>
        <w:t>*CAGR</w:t>
      </w:r>
      <w:r w:rsidR="00835E27">
        <w:rPr>
          <w:sz w:val="16"/>
          <w:szCs w:val="16"/>
        </w:rPr>
        <w:t xml:space="preserve"> </w:t>
      </w:r>
      <w:r w:rsidR="001B0532">
        <w:rPr>
          <w:sz w:val="16"/>
          <w:szCs w:val="16"/>
        </w:rPr>
        <w:t xml:space="preserve">(compound annual growth rate) </w:t>
      </w:r>
      <w:r w:rsidR="00835E27">
        <w:rPr>
          <w:sz w:val="16"/>
          <w:szCs w:val="16"/>
        </w:rPr>
        <w:t xml:space="preserve">is </w:t>
      </w:r>
      <w:r>
        <w:rPr>
          <w:sz w:val="16"/>
          <w:szCs w:val="16"/>
        </w:rPr>
        <w:t xml:space="preserve">the average rate of growth between two </w:t>
      </w:r>
      <w:r w:rsidR="001B0532">
        <w:rPr>
          <w:sz w:val="16"/>
          <w:szCs w:val="16"/>
        </w:rPr>
        <w:t xml:space="preserve">given </w:t>
      </w:r>
      <w:r>
        <w:rPr>
          <w:sz w:val="16"/>
          <w:szCs w:val="16"/>
        </w:rPr>
        <w:t>years</w:t>
      </w:r>
    </w:p>
    <w:p w14:paraId="47C7E388" w14:textId="22568F62" w:rsidR="00517CA2" w:rsidRDefault="00517CA2" w:rsidP="00517CA2">
      <w:pPr>
        <w:pStyle w:val="Legenda"/>
      </w:pPr>
      <w:bookmarkStart w:id="56" w:name="_Ref110006571"/>
      <w:bookmarkStart w:id="57" w:name="_Ref109984616"/>
      <w:bookmarkStart w:id="58" w:name="_Ref109984585"/>
      <w:bookmarkStart w:id="59" w:name="_Toc115717795"/>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2</w:t>
      </w:r>
      <w:r w:rsidR="00F64CC5" w:rsidRPr="000A2E03">
        <w:fldChar w:fldCharType="end"/>
      </w:r>
      <w:bookmarkEnd w:id="56"/>
      <w:bookmarkEnd w:id="57"/>
      <w:r>
        <w:t xml:space="preserve">: </w:t>
      </w:r>
      <w:r w:rsidR="007A0792">
        <w:t>The US and China represent a growing share of biopharmaceutical R&amp;D investments made in major markets</w:t>
      </w:r>
      <w:bookmarkEnd w:id="58"/>
      <w:bookmarkEnd w:id="59"/>
    </w:p>
    <w:p w14:paraId="5B56EC1B" w14:textId="134798EB" w:rsidR="00762842" w:rsidRPr="004667E8" w:rsidRDefault="00762842" w:rsidP="004667E8">
      <w:pPr>
        <w:pStyle w:val="Tekstpodstawowy"/>
        <w:keepNext/>
      </w:pPr>
      <w:r w:rsidRPr="000A2E03">
        <w:rPr>
          <w:noProof/>
          <w:color w:val="FFFFFF" w:themeColor="background1"/>
          <w:sz w:val="16"/>
        </w:rPr>
        <w:drawing>
          <wp:inline distT="0" distB="0" distL="0" distR="0" wp14:anchorId="5A13C23A" wp14:editId="573B640F">
            <wp:extent cx="5143500" cy="2737485"/>
            <wp:effectExtent l="0" t="0" r="0" b="5715"/>
            <wp:docPr id="27" name="Chart 27">
              <a:extLst xmlns:a="http://schemas.openxmlformats.org/drawingml/2006/main">
                <a:ext uri="{FF2B5EF4-FFF2-40B4-BE49-F238E27FC236}">
                  <a16:creationId xmlns:a16="http://schemas.microsoft.com/office/drawing/2014/main" id="{C0C850EF-1F53-4952-A0AE-C5A354742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8D4822" w14:textId="546900F7" w:rsidR="00625C84" w:rsidRDefault="00B372EB" w:rsidP="001453A3">
      <w:pPr>
        <w:pStyle w:val="Tekstpodstawowy"/>
        <w:rPr>
          <w:color w:val="000000" w:themeColor="text1"/>
          <w:sz w:val="16"/>
          <w:szCs w:val="16"/>
        </w:rPr>
      </w:pPr>
      <w:r>
        <w:rPr>
          <w:color w:val="000000" w:themeColor="text1"/>
          <w:sz w:val="16"/>
          <w:szCs w:val="16"/>
        </w:rPr>
        <w:t>S</w:t>
      </w:r>
      <w:r w:rsidR="00625C84" w:rsidRPr="007F16B0">
        <w:rPr>
          <w:color w:val="000000" w:themeColor="text1"/>
          <w:sz w:val="16"/>
          <w:szCs w:val="16"/>
        </w:rPr>
        <w:t>ource</w:t>
      </w:r>
      <w:r w:rsidR="00FC6277">
        <w:rPr>
          <w:color w:val="000000" w:themeColor="text1"/>
          <w:sz w:val="16"/>
          <w:szCs w:val="16"/>
        </w:rPr>
        <w:t>:</w:t>
      </w:r>
      <w:r>
        <w:rPr>
          <w:color w:val="000000" w:themeColor="text1"/>
          <w:sz w:val="16"/>
          <w:szCs w:val="16"/>
        </w:rPr>
        <w:t xml:space="preserve"> Various</w:t>
      </w:r>
      <w:bookmarkStart w:id="60" w:name="_Ref106276634"/>
      <w:r w:rsidR="00625C84" w:rsidRPr="007F16B0">
        <w:rPr>
          <w:rStyle w:val="Odwoanieprzypisudolnego"/>
          <w:color w:val="000000" w:themeColor="text1"/>
          <w:sz w:val="12"/>
          <w:szCs w:val="16"/>
        </w:rPr>
        <w:footnoteReference w:id="26"/>
      </w:r>
      <w:bookmarkEnd w:id="60"/>
    </w:p>
    <w:p w14:paraId="68E30606" w14:textId="0FB5EA30" w:rsidR="0090558E" w:rsidRDefault="00B633C3" w:rsidP="001453A3">
      <w:pPr>
        <w:pStyle w:val="Tekstpodstawowy"/>
        <w:rPr>
          <w:color w:val="000000" w:themeColor="text1"/>
          <w:sz w:val="16"/>
          <w:szCs w:val="16"/>
        </w:rPr>
      </w:pPr>
      <w:r>
        <w:t xml:space="preserve">Another way to look at activity is to consider </w:t>
      </w:r>
      <w:r w:rsidR="000D7EAF">
        <w:t xml:space="preserve">the level of employment in </w:t>
      </w:r>
      <w:r>
        <w:t xml:space="preserve">the </w:t>
      </w:r>
      <w:r w:rsidR="000D7EAF">
        <w:t xml:space="preserve">pharmaceutical </w:t>
      </w:r>
      <w:r>
        <w:t xml:space="preserve">sector </w:t>
      </w:r>
      <w:r w:rsidR="000D7EAF">
        <w:t>in each region</w:t>
      </w:r>
      <w:r>
        <w:t>.</w:t>
      </w:r>
      <w:r w:rsidR="000D7EAF">
        <w:t xml:space="preserve"> </w:t>
      </w:r>
      <w:r>
        <w:t xml:space="preserve">Although there are </w:t>
      </w:r>
      <w:r w:rsidR="00E0070B">
        <w:t>also</w:t>
      </w:r>
      <w:r>
        <w:t xml:space="preserve"> issue</w:t>
      </w:r>
      <w:r w:rsidR="008278CF">
        <w:t>s</w:t>
      </w:r>
      <w:r w:rsidR="00E0070B">
        <w:t xml:space="preserve"> here</w:t>
      </w:r>
      <w:r>
        <w:t xml:space="preserve"> in comparing data between regions, it is possible to </w:t>
      </w:r>
      <w:r w:rsidR="00347DAC">
        <w:t xml:space="preserve">compare R&amp;D </w:t>
      </w:r>
      <w:r w:rsidR="00104BFA">
        <w:t>employment</w:t>
      </w:r>
      <w:r>
        <w:t xml:space="preserve"> over time</w:t>
      </w:r>
      <w:r w:rsidR="004D1868">
        <w:t>,</w:t>
      </w:r>
      <w:r w:rsidR="00347DAC">
        <w:t xml:space="preserve"> to a certain degree</w:t>
      </w:r>
      <w:r>
        <w:t>.</w:t>
      </w:r>
      <w:r w:rsidR="00755224">
        <w:rPr>
          <w:rStyle w:val="Odwoanieprzypisudolnego"/>
        </w:rPr>
        <w:footnoteReference w:id="27"/>
      </w:r>
      <w:r>
        <w:t xml:space="preserve"> This is illustrated in </w:t>
      </w:r>
      <w:r w:rsidR="000D7EAF" w:rsidRPr="000A2E03">
        <w:fldChar w:fldCharType="begin"/>
      </w:r>
      <w:r w:rsidR="000D7EAF">
        <w:instrText xml:space="preserve"> REF _Ref106112086 \h </w:instrText>
      </w:r>
      <w:r w:rsidR="000D7EAF" w:rsidRPr="000A2E03">
        <w:fldChar w:fldCharType="separate"/>
      </w:r>
      <w:r w:rsidR="002B47FB">
        <w:t xml:space="preserve">Figure </w:t>
      </w:r>
      <w:r w:rsidR="002B47FB">
        <w:rPr>
          <w:noProof/>
        </w:rPr>
        <w:t>3</w:t>
      </w:r>
      <w:r w:rsidR="000D7EAF" w:rsidRPr="000A2E03">
        <w:fldChar w:fldCharType="end"/>
      </w:r>
      <w:r>
        <w:t xml:space="preserve"> below</w:t>
      </w:r>
      <w:r w:rsidR="000D7EAF">
        <w:t xml:space="preserve">. </w:t>
      </w:r>
      <w:r>
        <w:t>According to available data, t</w:t>
      </w:r>
      <w:r w:rsidR="000D7EAF">
        <w:t xml:space="preserve">he </w:t>
      </w:r>
      <w:r w:rsidR="00884F70">
        <w:t>number</w:t>
      </w:r>
      <w:r w:rsidR="00884F70" w:rsidRPr="000253D1">
        <w:t xml:space="preserve"> </w:t>
      </w:r>
      <w:r w:rsidR="000D7EAF" w:rsidRPr="000253D1">
        <w:t>of pharmaceutical R&amp;D employees in China</w:t>
      </w:r>
      <w:r w:rsidR="006D65BC">
        <w:t xml:space="preserve"> </w:t>
      </w:r>
      <w:r w:rsidR="00B57112">
        <w:t>(</w:t>
      </w:r>
      <w:r w:rsidR="006A3038">
        <w:t xml:space="preserve">as </w:t>
      </w:r>
      <w:r w:rsidR="0059656D">
        <w:t xml:space="preserve">stated in the </w:t>
      </w:r>
      <w:r w:rsidR="00B57112">
        <w:t>C</w:t>
      </w:r>
      <w:r w:rsidR="00236ABA" w:rsidRPr="00236ABA">
        <w:t>hina Statistical Yearbook</w:t>
      </w:r>
      <w:r w:rsidR="00236ABA">
        <w:t>)</w:t>
      </w:r>
      <w:r w:rsidR="00631268">
        <w:rPr>
          <w:rStyle w:val="Odwoanieprzypisudolnego"/>
        </w:rPr>
        <w:footnoteReference w:id="28"/>
      </w:r>
      <w:r w:rsidR="00236ABA">
        <w:t xml:space="preserve"> </w:t>
      </w:r>
      <w:r w:rsidR="000D7EAF" w:rsidRPr="000253D1">
        <w:t>has increased by over 800% since 2001</w:t>
      </w:r>
      <w:r w:rsidR="000D7EAF">
        <w:t xml:space="preserve">, although growth has stabilised from 2014 to </w:t>
      </w:r>
      <w:r w:rsidR="00884F70">
        <w:t>the</w:t>
      </w:r>
      <w:r w:rsidR="000D7EAF">
        <w:t xml:space="preserve"> present. In contrast, employment in Europe has increased </w:t>
      </w:r>
      <w:r w:rsidR="006A3038">
        <w:t xml:space="preserve">by </w:t>
      </w:r>
      <w:r w:rsidR="000D7EAF">
        <w:t xml:space="preserve">only 30% over the same </w:t>
      </w:r>
      <w:r w:rsidR="0059656D">
        <w:t>period</w:t>
      </w:r>
      <w:r w:rsidR="000D7EAF">
        <w:t>. Although</w:t>
      </w:r>
      <w:r w:rsidR="005F629B">
        <w:t xml:space="preserve"> </w:t>
      </w:r>
      <w:r w:rsidR="00797A63">
        <w:t>metrics for measuring</w:t>
      </w:r>
      <w:r w:rsidR="000D7EAF">
        <w:t xml:space="preserve"> pharmaceutical R&amp;D employment differ</w:t>
      </w:r>
      <w:r w:rsidR="00F9451C">
        <w:t xml:space="preserve"> in each country</w:t>
      </w:r>
      <w:r w:rsidR="000D7EAF">
        <w:t xml:space="preserve">, we can nonetheless conclude from the data that China </w:t>
      </w:r>
      <w:r w:rsidR="00E62DF4">
        <w:t xml:space="preserve">is </w:t>
      </w:r>
      <w:r w:rsidR="00F9451C">
        <w:t>experiencing a</w:t>
      </w:r>
      <w:r w:rsidR="00E62DF4">
        <w:t xml:space="preserve"> significant increase in</w:t>
      </w:r>
      <w:r w:rsidR="000D7EAF">
        <w:t xml:space="preserve"> R&amp;D </w:t>
      </w:r>
      <w:r w:rsidR="00F9451C">
        <w:t xml:space="preserve">employment </w:t>
      </w:r>
      <w:r w:rsidR="000D7EAF">
        <w:t xml:space="preserve">over the last two decades, overtaking Europe in 2012 and now rivalling the level of employment in the US. </w:t>
      </w:r>
      <w:r w:rsidR="00015010">
        <w:t>W</w:t>
      </w:r>
      <w:r w:rsidR="009A00D6">
        <w:t>h</w:t>
      </w:r>
      <w:r w:rsidR="00015010">
        <w:t xml:space="preserve">en looking at </w:t>
      </w:r>
      <w:r w:rsidR="009A00D6" w:rsidRPr="000A2E03">
        <w:fldChar w:fldCharType="begin"/>
      </w:r>
      <w:r w:rsidR="009A00D6">
        <w:instrText xml:space="preserve"> REF _Ref109651455 \h </w:instrText>
      </w:r>
      <w:r w:rsidR="009A00D6" w:rsidRPr="000A2E03">
        <w:fldChar w:fldCharType="separate"/>
      </w:r>
      <w:r w:rsidR="002B47FB">
        <w:t>Figure</w:t>
      </w:r>
      <w:r w:rsidR="00F9451C">
        <w:t>s</w:t>
      </w:r>
      <w:r w:rsidR="002B47FB">
        <w:t xml:space="preserve"> </w:t>
      </w:r>
      <w:r w:rsidR="002B47FB">
        <w:rPr>
          <w:noProof/>
        </w:rPr>
        <w:t>1</w:t>
      </w:r>
      <w:r w:rsidR="009A00D6" w:rsidRPr="000A2E03">
        <w:fldChar w:fldCharType="end"/>
      </w:r>
      <w:r w:rsidR="009A00D6">
        <w:t xml:space="preserve"> and</w:t>
      </w:r>
      <w:r w:rsidR="009A00D6" w:rsidRPr="000A2E03">
        <w:fldChar w:fldCharType="begin"/>
      </w:r>
      <w:r w:rsidR="009A00D6">
        <w:instrText xml:space="preserve"> REF _Ref109651457 \h </w:instrText>
      </w:r>
      <w:r w:rsidR="009A00D6" w:rsidRPr="000A2E03">
        <w:fldChar w:fldCharType="separate"/>
      </w:r>
      <w:r w:rsidR="002B47FB">
        <w:t xml:space="preserve"> </w:t>
      </w:r>
      <w:r w:rsidR="002B47FB">
        <w:rPr>
          <w:noProof/>
        </w:rPr>
        <w:t>3</w:t>
      </w:r>
      <w:r w:rsidR="009A00D6" w:rsidRPr="000A2E03">
        <w:fldChar w:fldCharType="end"/>
      </w:r>
      <w:r w:rsidR="00512CAC">
        <w:t>,</w:t>
      </w:r>
      <w:r w:rsidR="009A00D6">
        <w:t xml:space="preserve"> we observe that</w:t>
      </w:r>
      <w:r w:rsidR="00015010">
        <w:t xml:space="preserve"> </w:t>
      </w:r>
      <w:r w:rsidR="00EC6DC5">
        <w:t xml:space="preserve">R&amp;D expenditure per employee </w:t>
      </w:r>
      <w:r w:rsidR="00363652">
        <w:t xml:space="preserve">is </w:t>
      </w:r>
      <w:r w:rsidR="003918DD">
        <w:t>significantly lower</w:t>
      </w:r>
      <w:r w:rsidR="00363652">
        <w:t xml:space="preserve"> </w:t>
      </w:r>
      <w:r w:rsidR="00356A27">
        <w:t>in China</w:t>
      </w:r>
      <w:r w:rsidR="00363652">
        <w:t xml:space="preserve"> compared to </w:t>
      </w:r>
      <w:r w:rsidR="003A6F75">
        <w:t xml:space="preserve">that of </w:t>
      </w:r>
      <w:r w:rsidR="00363652">
        <w:t xml:space="preserve">Europe and </w:t>
      </w:r>
      <w:r w:rsidR="00363652">
        <w:lastRenderedPageBreak/>
        <w:t>the US</w:t>
      </w:r>
      <w:r w:rsidR="00F9451C">
        <w:t>;</w:t>
      </w:r>
      <w:r w:rsidR="00363652">
        <w:t xml:space="preserve"> </w:t>
      </w:r>
      <w:r w:rsidR="00B505BE">
        <w:t>however</w:t>
      </w:r>
      <w:r w:rsidR="00F9451C">
        <w:t>,</w:t>
      </w:r>
      <w:r w:rsidR="00B505BE">
        <w:t xml:space="preserve"> </w:t>
      </w:r>
      <w:r w:rsidR="000D7EAF">
        <w:t xml:space="preserve">we can infer that the capacity </w:t>
      </w:r>
      <w:r w:rsidR="006A3038">
        <w:t xml:space="preserve">for </w:t>
      </w:r>
      <w:r w:rsidR="000D7EAF">
        <w:t xml:space="preserve">and </w:t>
      </w:r>
      <w:r w:rsidR="006A3038">
        <w:t xml:space="preserve">the </w:t>
      </w:r>
      <w:r w:rsidR="000D7EAF">
        <w:t>capabili</w:t>
      </w:r>
      <w:r w:rsidR="003D5EB7">
        <w:t>ty</w:t>
      </w:r>
      <w:r w:rsidR="000D7EAF">
        <w:t xml:space="preserve"> </w:t>
      </w:r>
      <w:r w:rsidR="006A3038">
        <w:t xml:space="preserve">of </w:t>
      </w:r>
      <w:r w:rsidR="000D7EAF">
        <w:t xml:space="preserve">conducting </w:t>
      </w:r>
      <w:r w:rsidR="00A01163">
        <w:t xml:space="preserve">large-scale </w:t>
      </w:r>
      <w:r w:rsidR="000D7EAF">
        <w:t xml:space="preserve">R&amp;D have increased in China, indicating its increasing attractiveness as a base for pharmaceutical </w:t>
      </w:r>
      <w:r w:rsidR="0042273A">
        <w:t xml:space="preserve">companies </w:t>
      </w:r>
      <w:r w:rsidR="000D7EAF">
        <w:t>to locate their research activities.</w:t>
      </w:r>
    </w:p>
    <w:p w14:paraId="02213010" w14:textId="24475A8D" w:rsidR="00E759C4" w:rsidRDefault="00E759C4" w:rsidP="00E759C4">
      <w:pPr>
        <w:pStyle w:val="Legenda"/>
      </w:pPr>
      <w:bookmarkStart w:id="61" w:name="_Ref109651457"/>
      <w:bookmarkStart w:id="62" w:name="_Ref106112086"/>
      <w:bookmarkStart w:id="63" w:name="_Toc115717796"/>
      <w:r>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3</w:t>
      </w:r>
      <w:r w:rsidR="00F64CC5" w:rsidRPr="000A2E03">
        <w:fldChar w:fldCharType="end"/>
      </w:r>
      <w:bookmarkEnd w:id="61"/>
      <w:bookmarkEnd w:id="62"/>
      <w:r>
        <w:t xml:space="preserve">: Pharmaceutical R&amp;D employment </w:t>
      </w:r>
      <w:r w:rsidR="00AE4778">
        <w:t xml:space="preserve">has grown at a much faster rate in China than </w:t>
      </w:r>
      <w:r>
        <w:t>in</w:t>
      </w:r>
      <w:r w:rsidR="00AE4778">
        <w:t xml:space="preserve"> other</w:t>
      </w:r>
      <w:r>
        <w:t xml:space="preserve"> major markets</w:t>
      </w:r>
      <w:bookmarkEnd w:id="63"/>
    </w:p>
    <w:p w14:paraId="539EEB8C" w14:textId="160698EF" w:rsidR="00FC6277" w:rsidRDefault="006C2162" w:rsidP="001453A3">
      <w:pPr>
        <w:pStyle w:val="Tekstpodstawowy"/>
        <w:rPr>
          <w:color w:val="FF0000"/>
        </w:rPr>
      </w:pPr>
      <w:r w:rsidRPr="006C2162">
        <w:rPr>
          <w:noProof/>
          <w:color w:val="FF0000"/>
        </w:rPr>
        <w:drawing>
          <wp:inline distT="0" distB="0" distL="0" distR="0" wp14:anchorId="2D534941" wp14:editId="5EEA373A">
            <wp:extent cx="5048250" cy="2828925"/>
            <wp:effectExtent l="0" t="0" r="0" b="9525"/>
            <wp:docPr id="94" name="Chart 94">
              <a:extLst xmlns:a="http://schemas.openxmlformats.org/drawingml/2006/main">
                <a:ext uri="{FF2B5EF4-FFF2-40B4-BE49-F238E27FC236}">
                  <a16:creationId xmlns:a16="http://schemas.microsoft.com/office/drawing/2014/main" id="{E1BAEF8F-64D3-4391-987D-C04EE98D4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C9D865" w14:textId="6D1D0AE0" w:rsidR="007303A0" w:rsidRDefault="00B372EB" w:rsidP="001453A3">
      <w:pPr>
        <w:pStyle w:val="Tekstpodstawowy"/>
        <w:rPr>
          <w:sz w:val="16"/>
          <w:szCs w:val="16"/>
        </w:rPr>
      </w:pPr>
      <w:r>
        <w:rPr>
          <w:sz w:val="16"/>
          <w:szCs w:val="16"/>
        </w:rPr>
        <w:t>S</w:t>
      </w:r>
      <w:r w:rsidR="007303A0" w:rsidRPr="00426A56">
        <w:rPr>
          <w:sz w:val="16"/>
          <w:szCs w:val="16"/>
        </w:rPr>
        <w:t>ource:</w:t>
      </w:r>
      <w:r>
        <w:rPr>
          <w:sz w:val="16"/>
          <w:szCs w:val="16"/>
        </w:rPr>
        <w:t xml:space="preserve"> Various</w:t>
      </w:r>
      <w:r w:rsidR="008C36F7" w:rsidRPr="00426A56">
        <w:rPr>
          <w:rStyle w:val="Odwoanieprzypisudolnego"/>
          <w:szCs w:val="16"/>
        </w:rPr>
        <w:footnoteReference w:id="29"/>
      </w:r>
    </w:p>
    <w:p w14:paraId="2B7724D1" w14:textId="00ABAD4E" w:rsidR="00004C9D" w:rsidRDefault="008117CB" w:rsidP="008117CB">
      <w:pPr>
        <w:pStyle w:val="Tekstpodstawowy"/>
      </w:pPr>
      <w:r w:rsidRPr="008117CB">
        <w:t xml:space="preserve">It is </w:t>
      </w:r>
      <w:r>
        <w:t xml:space="preserve">also </w:t>
      </w:r>
      <w:r w:rsidR="007B1270">
        <w:t>instructive</w:t>
      </w:r>
      <w:r>
        <w:t xml:space="preserve"> to look at the composition of the industry. Although an imperfect proxy, the EU R&amp;D scoreboard looks at the performance of companies based on the location of their headquarters. This </w:t>
      </w:r>
      <w:r w:rsidR="00476206">
        <w:t>is particularly concerning</w:t>
      </w:r>
      <w:r>
        <w:t xml:space="preserve"> for the development of smaller companies in Europe. </w:t>
      </w:r>
      <w:r w:rsidR="00811828">
        <w:t>I</w:t>
      </w:r>
      <w:r w:rsidR="00FB0F64" w:rsidRPr="008B3987">
        <w:t xml:space="preserve">nvestment in early-stage companies </w:t>
      </w:r>
      <w:r w:rsidR="00811828">
        <w:t xml:space="preserve">in </w:t>
      </w:r>
      <w:r w:rsidR="00516930">
        <w:t>Europe</w:t>
      </w:r>
      <w:r w:rsidR="00FB0F64" w:rsidRPr="008B3987">
        <w:t xml:space="preserve"> is</w:t>
      </w:r>
      <w:r w:rsidR="00424A95" w:rsidRPr="008117CB">
        <w:t xml:space="preserve"> lagging behind </w:t>
      </w:r>
      <w:r w:rsidR="00884302">
        <w:t>that of</w:t>
      </w:r>
      <w:r w:rsidR="006C1152" w:rsidRPr="008117CB">
        <w:t xml:space="preserve"> the US</w:t>
      </w:r>
      <w:r w:rsidR="002E77EC" w:rsidRPr="008117CB">
        <w:t xml:space="preserve"> and China. When comparing </w:t>
      </w:r>
      <w:r w:rsidR="00BB1DF0">
        <w:t xml:space="preserve">data </w:t>
      </w:r>
      <w:r w:rsidR="002702D8">
        <w:t>from</w:t>
      </w:r>
      <w:r w:rsidR="002E77EC" w:rsidRPr="008117CB">
        <w:t xml:space="preserve"> </w:t>
      </w:r>
      <w:r w:rsidR="003A1052" w:rsidRPr="008117CB">
        <w:t xml:space="preserve">2015 to 2017 with </w:t>
      </w:r>
      <w:r w:rsidR="00C9417D">
        <w:t>data</w:t>
      </w:r>
      <w:r w:rsidR="003A1052" w:rsidRPr="008117CB">
        <w:t xml:space="preserve"> from 2018 to 2020, </w:t>
      </w:r>
      <w:r w:rsidR="00C613CA" w:rsidRPr="008117CB">
        <w:t xml:space="preserve">the average </w:t>
      </w:r>
      <w:r w:rsidR="00B23F3E">
        <w:t>early-</w:t>
      </w:r>
      <w:r w:rsidR="00C613CA" w:rsidRPr="008117CB">
        <w:t xml:space="preserve">stage funding </w:t>
      </w:r>
      <w:r w:rsidR="00D26567" w:rsidRPr="008117CB">
        <w:t>in Europe</w:t>
      </w:r>
      <w:r w:rsidR="00FB0F64" w:rsidRPr="008B3987">
        <w:t xml:space="preserve"> </w:t>
      </w:r>
      <w:r w:rsidR="00333E3A" w:rsidRPr="008117CB">
        <w:t xml:space="preserve">increased </w:t>
      </w:r>
      <w:r w:rsidR="00FA1B25">
        <w:t xml:space="preserve">by </w:t>
      </w:r>
      <w:r w:rsidR="00D26567" w:rsidRPr="008117CB">
        <w:t>13%</w:t>
      </w:r>
      <w:r w:rsidR="009463D2">
        <w:t xml:space="preserve"> (</w:t>
      </w:r>
      <w:r w:rsidR="00992689">
        <w:t>$</w:t>
      </w:r>
      <w:r w:rsidR="006A44F4">
        <w:t>14.1</w:t>
      </w:r>
      <w:r w:rsidR="0040650E">
        <w:t xml:space="preserve"> </w:t>
      </w:r>
      <w:r w:rsidR="00992689">
        <w:t xml:space="preserve">million </w:t>
      </w:r>
      <w:r w:rsidR="0040650E">
        <w:t xml:space="preserve">to </w:t>
      </w:r>
      <w:r w:rsidR="00992689">
        <w:t>$</w:t>
      </w:r>
      <w:r w:rsidR="0040650E">
        <w:t>20.6 million)</w:t>
      </w:r>
      <w:r w:rsidR="001B4326" w:rsidRPr="008117CB">
        <w:t xml:space="preserve">, while in the US and China it grew </w:t>
      </w:r>
      <w:r w:rsidR="002A4A46" w:rsidRPr="008117CB">
        <w:t xml:space="preserve">by 17% </w:t>
      </w:r>
      <w:r w:rsidR="006171F2">
        <w:t>(</w:t>
      </w:r>
      <w:r w:rsidR="00992689">
        <w:t>$</w:t>
      </w:r>
      <w:r w:rsidR="006171F2">
        <w:t xml:space="preserve">22.5 </w:t>
      </w:r>
      <w:r w:rsidR="00992689">
        <w:t xml:space="preserve">million </w:t>
      </w:r>
      <w:r w:rsidR="006171F2">
        <w:t>to $</w:t>
      </w:r>
      <w:r w:rsidR="00992689">
        <w:t>36</w:t>
      </w:r>
      <w:r w:rsidR="006171F2">
        <w:t xml:space="preserve"> million)</w:t>
      </w:r>
      <w:r w:rsidR="002A4A46" w:rsidRPr="008117CB">
        <w:t xml:space="preserve"> and 18%</w:t>
      </w:r>
      <w:r w:rsidR="00B23F3E">
        <w:t xml:space="preserve"> </w:t>
      </w:r>
      <w:r w:rsidR="006171F2">
        <w:t>(</w:t>
      </w:r>
      <w:r w:rsidR="00992689">
        <w:t>$</w:t>
      </w:r>
      <w:r w:rsidR="0043443C">
        <w:t>28.3</w:t>
      </w:r>
      <w:r w:rsidR="0018650B">
        <w:t xml:space="preserve"> </w:t>
      </w:r>
      <w:r w:rsidR="00992689">
        <w:t xml:space="preserve">million </w:t>
      </w:r>
      <w:r w:rsidR="0018650B">
        <w:t xml:space="preserve">to </w:t>
      </w:r>
      <w:r w:rsidR="00992689">
        <w:t>$</w:t>
      </w:r>
      <w:r w:rsidR="0018650B">
        <w:t>46.2 million)</w:t>
      </w:r>
      <w:r w:rsidR="00EC792F" w:rsidRPr="008117CB">
        <w:t>, respectively.</w:t>
      </w:r>
      <w:r w:rsidR="00741BAF" w:rsidRPr="000A2E03">
        <w:rPr>
          <w:rStyle w:val="Odwoanieprzypisudolnego"/>
        </w:rPr>
        <w:footnoteReference w:id="30"/>
      </w:r>
      <w:r w:rsidR="0018650B" w:rsidRPr="000A2E03">
        <w:rPr>
          <w:rStyle w:val="Odwoanieprzypisudolnego"/>
        </w:rPr>
        <w:t>,</w:t>
      </w:r>
      <w:r w:rsidR="00741BAF" w:rsidRPr="000A2E03">
        <w:rPr>
          <w:rStyle w:val="Odwoanieprzypisudolnego"/>
        </w:rPr>
        <w:footnoteReference w:id="31"/>
      </w:r>
      <w:r w:rsidR="00FB0F64" w:rsidRPr="00C111C4">
        <w:rPr>
          <w:rStyle w:val="Odwoanieprzypisudolnego"/>
          <w:sz w:val="20"/>
        </w:rPr>
        <w:t xml:space="preserve"> </w:t>
      </w:r>
      <w:r w:rsidR="00D97DD7">
        <w:t xml:space="preserve">In absolute terms, </w:t>
      </w:r>
      <w:r w:rsidR="005943FD">
        <w:t xml:space="preserve">the majority of </w:t>
      </w:r>
      <w:r w:rsidR="007749E6">
        <w:t xml:space="preserve">innovation coming from </w:t>
      </w:r>
      <w:r w:rsidR="005943FD">
        <w:t>early-stage companies continue</w:t>
      </w:r>
      <w:r w:rsidR="00105DD7">
        <w:t>s</w:t>
      </w:r>
      <w:r w:rsidR="005943FD">
        <w:t xml:space="preserve"> to </w:t>
      </w:r>
      <w:r w:rsidR="007749E6">
        <w:t>originate</w:t>
      </w:r>
      <w:r w:rsidR="005943FD">
        <w:t xml:space="preserve"> in the US</w:t>
      </w:r>
      <w:r w:rsidR="007749E6">
        <w:t xml:space="preserve"> (46%)</w:t>
      </w:r>
      <w:r w:rsidR="0070652B">
        <w:t>, followed</w:t>
      </w:r>
      <w:r w:rsidR="007749E6">
        <w:t xml:space="preserve"> by Europe (20%)</w:t>
      </w:r>
      <w:r w:rsidR="005943FD">
        <w:t>, but strong growth</w:t>
      </w:r>
      <w:r w:rsidR="000D12D9">
        <w:t xml:space="preserve"> </w:t>
      </w:r>
      <w:r w:rsidR="00E86FCD">
        <w:t xml:space="preserve">has been </w:t>
      </w:r>
      <w:r w:rsidR="000D12D9">
        <w:t>observed</w:t>
      </w:r>
      <w:r w:rsidR="005943FD">
        <w:t xml:space="preserve"> in China.</w:t>
      </w:r>
      <w:r w:rsidR="005943FD">
        <w:rPr>
          <w:rStyle w:val="Odwoanieprzypisudolnego"/>
        </w:rPr>
        <w:footnoteReference w:id="32"/>
      </w:r>
      <w:r w:rsidR="005943FD">
        <w:t xml:space="preserve"> </w:t>
      </w:r>
      <w:r w:rsidR="005F3661" w:rsidRPr="008117CB">
        <w:t>Between 2018</w:t>
      </w:r>
      <w:r w:rsidR="00992689">
        <w:t xml:space="preserve"> </w:t>
      </w:r>
      <w:r w:rsidR="00992689">
        <w:lastRenderedPageBreak/>
        <w:t xml:space="preserve">and </w:t>
      </w:r>
      <w:r w:rsidR="005F3661">
        <w:t xml:space="preserve">2020, </w:t>
      </w:r>
      <w:r w:rsidR="00992689">
        <w:t xml:space="preserve">7 </w:t>
      </w:r>
      <w:r w:rsidR="002D36DB" w:rsidRPr="002D36DB">
        <w:t xml:space="preserve">of the </w:t>
      </w:r>
      <w:r w:rsidR="00992689">
        <w:t>10</w:t>
      </w:r>
      <w:r w:rsidR="002D36DB" w:rsidRPr="002D36DB">
        <w:t xml:space="preserve"> largest biopharma Initial Public Offerings originated </w:t>
      </w:r>
      <w:r w:rsidR="002D36DB">
        <w:t>from</w:t>
      </w:r>
      <w:r w:rsidR="002D36DB" w:rsidRPr="002D36DB">
        <w:t xml:space="preserve"> China</w:t>
      </w:r>
      <w:r w:rsidR="00454427">
        <w:t>.</w:t>
      </w:r>
      <w:r w:rsidR="00454427">
        <w:rPr>
          <w:rStyle w:val="Odwoanieprzypisudolnego"/>
        </w:rPr>
        <w:footnoteReference w:id="33"/>
      </w:r>
      <w:r w:rsidR="00DE3334">
        <w:t xml:space="preserve"> </w:t>
      </w:r>
      <w:r w:rsidR="009E0F53">
        <w:t>Between 2020 and</w:t>
      </w:r>
      <w:r w:rsidR="00DE3334">
        <w:t xml:space="preserve"> 2021, there was a notable rise in the number of Chinese institutions ranking in the top </w:t>
      </w:r>
      <w:r w:rsidR="00FC0B20">
        <w:t>10</w:t>
      </w:r>
      <w:r w:rsidR="00DE3334">
        <w:t xml:space="preserve"> global R&amp;D institutes</w:t>
      </w:r>
      <w:r w:rsidR="009E0F53">
        <w:t xml:space="preserve">, from only one in 2020 (the Chinese Academy of Sciences – CAS) to </w:t>
      </w:r>
      <w:r w:rsidR="00A22F8C">
        <w:t>four institutions in 2021.</w:t>
      </w:r>
      <w:r w:rsidR="00920DBF">
        <w:rPr>
          <w:rStyle w:val="Odwoanieprzypisudolnego"/>
        </w:rPr>
        <w:footnoteReference w:id="34"/>
      </w:r>
    </w:p>
    <w:p w14:paraId="1FB3776B" w14:textId="3AA7E90E" w:rsidR="005E1FE4" w:rsidRPr="0037101A" w:rsidRDefault="0037101A" w:rsidP="001453A3">
      <w:pPr>
        <w:pStyle w:val="Tekstpodstawowy"/>
      </w:pPr>
      <w:r>
        <w:t>It would</w:t>
      </w:r>
      <w:r w:rsidR="001F2F0A">
        <w:t xml:space="preserve"> </w:t>
      </w:r>
      <w:r w:rsidR="006E2D4E">
        <w:t>be</w:t>
      </w:r>
      <w:r>
        <w:t xml:space="preserve"> interesting to </w:t>
      </w:r>
      <w:r w:rsidR="00992689">
        <w:t xml:space="preserve">break down </w:t>
      </w:r>
      <w:r>
        <w:t xml:space="preserve">R&amp;D spending into spending on particular types of technology, </w:t>
      </w:r>
      <w:r w:rsidR="00C02C4B">
        <w:t xml:space="preserve">including new therapeutic solutions </w:t>
      </w:r>
      <w:r w:rsidR="00A97D44">
        <w:t>such as</w:t>
      </w:r>
      <w:r>
        <w:t xml:space="preserve"> </w:t>
      </w:r>
      <w:r w:rsidR="00F5301F" w:rsidRPr="00F5301F">
        <w:t>ATMPs</w:t>
      </w:r>
      <w:r>
        <w:t xml:space="preserve">, artificial intelligence </w:t>
      </w:r>
      <w:r w:rsidR="0078741F">
        <w:t xml:space="preserve">(data exists on </w:t>
      </w:r>
      <w:r w:rsidR="004F06A4">
        <w:t xml:space="preserve">its </w:t>
      </w:r>
      <w:r w:rsidR="0078741F">
        <w:t>fast growth</w:t>
      </w:r>
      <w:r w:rsidR="004F06A4">
        <w:t xml:space="preserve"> rate</w:t>
      </w:r>
      <w:r w:rsidR="0078741F">
        <w:t xml:space="preserve"> but not its location)</w:t>
      </w:r>
      <w:r w:rsidR="0078741F">
        <w:rPr>
          <w:rStyle w:val="Odwoanieprzypisudolnego"/>
        </w:rPr>
        <w:footnoteReference w:id="35"/>
      </w:r>
      <w:r w:rsidR="0078741F">
        <w:t xml:space="preserve"> </w:t>
      </w:r>
      <w:r>
        <w:t>and digital</w:t>
      </w:r>
      <w:r w:rsidR="00496C99">
        <w:t xml:space="preserve"> therapeutics</w:t>
      </w:r>
      <w:r w:rsidR="00A97D44">
        <w:t>,</w:t>
      </w:r>
      <w:r>
        <w:t xml:space="preserve"> but this has </w:t>
      </w:r>
      <w:r w:rsidR="00644AAC">
        <w:t>thus far</w:t>
      </w:r>
      <w:r>
        <w:t xml:space="preserve"> not been possible. </w:t>
      </w:r>
    </w:p>
    <w:p w14:paraId="28A7BFED" w14:textId="77777777" w:rsidR="001453A3" w:rsidRDefault="001453A3" w:rsidP="001453A3">
      <w:pPr>
        <w:pStyle w:val="Nagwek2"/>
        <w:ind w:left="0"/>
      </w:pPr>
      <w:bookmarkStart w:id="64" w:name="_Toc106104527"/>
      <w:bookmarkStart w:id="65" w:name="_Toc115717780"/>
      <w:r>
        <w:t>The location of clinical trials</w:t>
      </w:r>
      <w:bookmarkEnd w:id="64"/>
      <w:bookmarkEnd w:id="65"/>
    </w:p>
    <w:p w14:paraId="6ECFF130" w14:textId="0034D581" w:rsidR="00075598" w:rsidRDefault="00075598" w:rsidP="001453A3">
      <w:pPr>
        <w:pStyle w:val="Tekstpodstawowy"/>
      </w:pPr>
      <w:r>
        <w:t>Although R&amp;D investment</w:t>
      </w:r>
      <w:r w:rsidR="00314B6A">
        <w:t>s</w:t>
      </w:r>
      <w:r>
        <w:t xml:space="preserve"> include </w:t>
      </w:r>
      <w:r w:rsidR="00A5151B">
        <w:t xml:space="preserve">those made </w:t>
      </w:r>
      <w:r>
        <w:t>by pharmaceutical companies in clinical trials</w:t>
      </w:r>
      <w:r w:rsidR="00B16DE6">
        <w:t xml:space="preserve">, </w:t>
      </w:r>
      <w:r w:rsidR="001A7656">
        <w:t>i</w:t>
      </w:r>
      <w:r>
        <w:t xml:space="preserve">t is </w:t>
      </w:r>
      <w:r w:rsidR="00314B6A">
        <w:t>nevertheless</w:t>
      </w:r>
      <w:r>
        <w:t xml:space="preserve"> useful to consider</w:t>
      </w:r>
      <w:r w:rsidR="00062737">
        <w:t xml:space="preserve"> in more detail</w:t>
      </w:r>
      <w:r>
        <w:t xml:space="preserve"> the </w:t>
      </w:r>
      <w:r w:rsidR="00FF4F82">
        <w:t>location</w:t>
      </w:r>
      <w:r w:rsidR="006C774E">
        <w:t>s</w:t>
      </w:r>
      <w:r w:rsidR="00FF4F82">
        <w:t xml:space="preserve"> of clinical trial activity </w:t>
      </w:r>
      <w:r w:rsidR="00062737">
        <w:t>differentiated by</w:t>
      </w:r>
      <w:r>
        <w:t xml:space="preserve"> types of clinical trial</w:t>
      </w:r>
      <w:r w:rsidR="00737270">
        <w:t>s</w:t>
      </w:r>
      <w:r>
        <w:t>.</w:t>
      </w:r>
    </w:p>
    <w:p w14:paraId="18F196CE" w14:textId="3C95BB9F" w:rsidR="005E1FE4" w:rsidRDefault="00284FD1" w:rsidP="001453A3">
      <w:pPr>
        <w:pStyle w:val="Tekstpodstawowy"/>
      </w:pPr>
      <w:r>
        <w:t>There are various data sources that can be used to compare clinical trials</w:t>
      </w:r>
      <w:r w:rsidR="00E456F5">
        <w:t xml:space="preserve"> globally</w:t>
      </w:r>
      <w:r>
        <w:t>.</w:t>
      </w:r>
      <w:r w:rsidR="004202BF">
        <w:t xml:space="preserve"> </w:t>
      </w:r>
      <w:r>
        <w:t xml:space="preserve">This includes the </w:t>
      </w:r>
      <w:r w:rsidR="00970FF9">
        <w:t>World Health Organization’s (</w:t>
      </w:r>
      <w:r>
        <w:t>WHO</w:t>
      </w:r>
      <w:r w:rsidR="00970FF9">
        <w:t>)</w:t>
      </w:r>
      <w:r w:rsidR="003B17BE">
        <w:t xml:space="preserve"> </w:t>
      </w:r>
      <w:r w:rsidR="003B17BE" w:rsidRPr="003B17BE">
        <w:t>International Clinical Trials Registry Platform (ICTRP)</w:t>
      </w:r>
      <w:r w:rsidR="00547562">
        <w:t>,</w:t>
      </w:r>
      <w:r w:rsidR="00C111C4">
        <w:t xml:space="preserve"> which </w:t>
      </w:r>
      <w:r w:rsidR="009263B4">
        <w:t xml:space="preserve">contains </w:t>
      </w:r>
      <w:r w:rsidR="00C111C4">
        <w:t>information from t</w:t>
      </w:r>
      <w:r w:rsidR="00C111C4" w:rsidRPr="00C111C4">
        <w:t>he European Union Clinical Trials Register (EU-CTR)</w:t>
      </w:r>
      <w:r>
        <w:t xml:space="preserve">, </w:t>
      </w:r>
      <w:r w:rsidR="009B6CB8">
        <w:t>the National Institutes of Health (</w:t>
      </w:r>
      <w:r w:rsidR="0044159A">
        <w:t>NIH</w:t>
      </w:r>
      <w:r w:rsidR="009B6CB8">
        <w:t>)</w:t>
      </w:r>
      <w:r w:rsidR="00B844B3">
        <w:t xml:space="preserve">’s </w:t>
      </w:r>
      <w:r w:rsidR="007D0F0A">
        <w:t>C</w:t>
      </w:r>
      <w:r w:rsidR="001B58DF">
        <w:t>linical</w:t>
      </w:r>
      <w:r w:rsidR="007D0F0A">
        <w:t>T</w:t>
      </w:r>
      <w:r w:rsidR="001B58DF">
        <w:t>rials.gov</w:t>
      </w:r>
      <w:r w:rsidR="00624619">
        <w:t>, and</w:t>
      </w:r>
      <w:r w:rsidR="0044159A">
        <w:t xml:space="preserve"> </w:t>
      </w:r>
      <w:r>
        <w:t xml:space="preserve">commercial data sources such as </w:t>
      </w:r>
      <w:proofErr w:type="spellStart"/>
      <w:r w:rsidR="00A43DB3">
        <w:t>GlobalData</w:t>
      </w:r>
      <w:proofErr w:type="spellEnd"/>
      <w:r w:rsidR="00624619">
        <w:t>.</w:t>
      </w:r>
      <w:r>
        <w:t xml:space="preserve"> </w:t>
      </w:r>
      <w:r w:rsidR="005E1FE4">
        <w:t xml:space="preserve">There are challenges </w:t>
      </w:r>
      <w:r w:rsidR="00BD4072">
        <w:t xml:space="preserve">in </w:t>
      </w:r>
      <w:r w:rsidR="00C96F2B">
        <w:t>attributing</w:t>
      </w:r>
      <w:r w:rsidR="005E1FE4">
        <w:t xml:space="preserve"> clinical trials to countries and regions:</w:t>
      </w:r>
    </w:p>
    <w:p w14:paraId="2F9359C1" w14:textId="574B96E8" w:rsidR="005E1FE4" w:rsidRDefault="00F92B90" w:rsidP="005E1FE4">
      <w:pPr>
        <w:pStyle w:val="Tekstpodstawowy"/>
        <w:numPr>
          <w:ilvl w:val="0"/>
          <w:numId w:val="56"/>
        </w:numPr>
      </w:pPr>
      <w:r>
        <w:t>Inclusion of</w:t>
      </w:r>
      <w:r w:rsidR="005E1FE4">
        <w:t xml:space="preserve"> trials that have </w:t>
      </w:r>
      <w:r w:rsidR="00A074E1">
        <w:t xml:space="preserve">only </w:t>
      </w:r>
      <w:r w:rsidR="005E1FE4">
        <w:t xml:space="preserve">started recruiting, </w:t>
      </w:r>
      <w:r w:rsidR="007E4D49">
        <w:t>are</w:t>
      </w:r>
      <w:r w:rsidR="005E1FE4">
        <w:t xml:space="preserve"> </w:t>
      </w:r>
      <w:r w:rsidR="00A074E1">
        <w:t>already</w:t>
      </w:r>
      <w:r w:rsidR="005E1FE4">
        <w:t xml:space="preserve"> completed</w:t>
      </w:r>
      <w:r w:rsidR="007E4D49">
        <w:t xml:space="preserve">, </w:t>
      </w:r>
      <w:r w:rsidR="003E378B">
        <w:t>or</w:t>
      </w:r>
      <w:r w:rsidR="007E4D49">
        <w:t xml:space="preserve"> have </w:t>
      </w:r>
      <w:r w:rsidR="005F3D7C">
        <w:t xml:space="preserve">had results </w:t>
      </w:r>
      <w:r w:rsidR="007E4D49">
        <w:t>reported</w:t>
      </w:r>
    </w:p>
    <w:p w14:paraId="27A6793B" w14:textId="4ECEC419" w:rsidR="005E1FE4" w:rsidRDefault="00A50B09" w:rsidP="008B3987">
      <w:pPr>
        <w:pStyle w:val="Tekstpodstawowy"/>
        <w:numPr>
          <w:ilvl w:val="0"/>
          <w:numId w:val="56"/>
        </w:numPr>
      </w:pPr>
      <w:r>
        <w:t>Accounting</w:t>
      </w:r>
      <w:r w:rsidR="005E1FE4">
        <w:t xml:space="preserve"> for mul</w:t>
      </w:r>
      <w:r w:rsidR="001742C4">
        <w:t>t</w:t>
      </w:r>
      <w:r w:rsidR="005E1FE4">
        <w:t>inational studies with many different countries involved</w:t>
      </w:r>
    </w:p>
    <w:p w14:paraId="0B125A44" w14:textId="6D45CB32" w:rsidR="007E4D49" w:rsidRDefault="008C7A16" w:rsidP="007E4D49">
      <w:pPr>
        <w:pStyle w:val="Tekstpodstawowy"/>
        <w:numPr>
          <w:ilvl w:val="0"/>
          <w:numId w:val="56"/>
        </w:numPr>
      </w:pPr>
      <w:r>
        <w:t>I</w:t>
      </w:r>
      <w:r w:rsidR="00CD1CC3">
        <w:t xml:space="preserve">ncomplete </w:t>
      </w:r>
      <w:r w:rsidR="004234FF">
        <w:t>datasets</w:t>
      </w:r>
      <w:r w:rsidR="008B3987">
        <w:t xml:space="preserve"> </w:t>
      </w:r>
    </w:p>
    <w:p w14:paraId="4DFEC2B0" w14:textId="1217A51A" w:rsidR="004A6B02" w:rsidRDefault="008C7A16" w:rsidP="001453A3">
      <w:pPr>
        <w:pStyle w:val="Tekstpodstawowy"/>
      </w:pPr>
      <w:r>
        <w:t>A</w:t>
      </w:r>
      <w:r w:rsidR="00A221B9" w:rsidRPr="00A221B9">
        <w:t>lthough these registr</w:t>
      </w:r>
      <w:r w:rsidR="007E4D49">
        <w:t>ies</w:t>
      </w:r>
      <w:r w:rsidR="00A221B9" w:rsidRPr="00A221B9">
        <w:t xml:space="preserve"> do not provide comprehensive results of clinical trials, </w:t>
      </w:r>
      <w:r w:rsidR="007E4D49">
        <w:t xml:space="preserve">a </w:t>
      </w:r>
      <w:r w:rsidR="00A221B9" w:rsidRPr="00A221B9">
        <w:t>trend analysis</w:t>
      </w:r>
      <w:r w:rsidR="007E4D49">
        <w:t xml:space="preserve"> </w:t>
      </w:r>
      <w:r>
        <w:t xml:space="preserve">can still </w:t>
      </w:r>
      <w:r w:rsidR="007E4D49">
        <w:t xml:space="preserve">be undertaken (if the </w:t>
      </w:r>
      <w:r>
        <w:t>inclusion criteria</w:t>
      </w:r>
      <w:r w:rsidR="007E4D49">
        <w:t xml:space="preserve"> </w:t>
      </w:r>
      <w:r w:rsidR="002B47FB">
        <w:t>are</w:t>
      </w:r>
      <w:r w:rsidR="007E4D49">
        <w:t xml:space="preserve"> taken into account)</w:t>
      </w:r>
      <w:r w:rsidR="008417A6">
        <w:t>.</w:t>
      </w:r>
      <w:r w:rsidR="007E4D49">
        <w:t xml:space="preserve"> </w:t>
      </w:r>
      <w:r w:rsidR="00284FD1">
        <w:t>To make this comparison</w:t>
      </w:r>
      <w:r w:rsidR="00924FF1">
        <w:t>,</w:t>
      </w:r>
      <w:r w:rsidR="00284FD1">
        <w:t xml:space="preserve"> we have focused on </w:t>
      </w:r>
      <w:hyperlink r:id="rId23" w:history="1">
        <w:r w:rsidR="008F0B9D" w:rsidRPr="00BE420C">
          <w:rPr>
            <w:rStyle w:val="Hipercze"/>
            <w:sz w:val="20"/>
          </w:rPr>
          <w:t>www.ClinicalTrials.gov</w:t>
        </w:r>
      </w:hyperlink>
      <w:r w:rsidR="008F0B9D">
        <w:rPr>
          <w:u w:color="808080"/>
        </w:rPr>
        <w:t>, and specifically on industry-sponsored trials</w:t>
      </w:r>
      <w:r w:rsidR="008417A6">
        <w:t>.</w:t>
      </w:r>
      <w:r w:rsidR="007F0291">
        <w:rPr>
          <w:rStyle w:val="Odwoanieprzypisudolnego"/>
        </w:rPr>
        <w:footnoteReference w:id="36"/>
      </w:r>
      <w:r w:rsidR="00624619">
        <w:t xml:space="preserve"> </w:t>
      </w:r>
      <w:r w:rsidR="00284FD1">
        <w:t xml:space="preserve">Although this </w:t>
      </w:r>
      <w:r w:rsidR="001C347D">
        <w:t xml:space="preserve">database </w:t>
      </w:r>
      <w:r w:rsidR="00284FD1">
        <w:t xml:space="preserve">goes back over many years, </w:t>
      </w:r>
      <w:r w:rsidR="00017E89">
        <w:t xml:space="preserve">only </w:t>
      </w:r>
      <w:r w:rsidR="001C347D">
        <w:t>since</w:t>
      </w:r>
      <w:r>
        <w:t xml:space="preserve"> </w:t>
      </w:r>
      <w:r w:rsidR="00847FAB" w:rsidRPr="008B3987">
        <w:t>2007</w:t>
      </w:r>
      <w:r w:rsidR="00284FD1">
        <w:t xml:space="preserve"> </w:t>
      </w:r>
      <w:r w:rsidR="00284FD1">
        <w:lastRenderedPageBreak/>
        <w:t xml:space="preserve">have </w:t>
      </w:r>
      <w:r w:rsidR="006A6522">
        <w:t>companies</w:t>
      </w:r>
      <w:r w:rsidR="00284FD1">
        <w:t xml:space="preserve"> been </w:t>
      </w:r>
      <w:r w:rsidR="002E789C">
        <w:t xml:space="preserve">required </w:t>
      </w:r>
      <w:r w:rsidR="00284FD1">
        <w:t>to include clinical trials in</w:t>
      </w:r>
      <w:r w:rsidR="001C347D">
        <w:t xml:space="preserve"> it.</w:t>
      </w:r>
      <w:r w:rsidR="00163E30" w:rsidRPr="008B3987">
        <w:rPr>
          <w:rStyle w:val="Odwoanieprzypisudolnego"/>
        </w:rPr>
        <w:footnoteReference w:id="37"/>
      </w:r>
      <w:r w:rsidR="006A6522">
        <w:t xml:space="preserve"> </w:t>
      </w:r>
      <w:r w:rsidR="00EE74E2">
        <w:t>T</w:t>
      </w:r>
      <w:r w:rsidR="00284FD1">
        <w:t>herefore</w:t>
      </w:r>
      <w:r w:rsidR="00C16614">
        <w:t xml:space="preserve"> </w:t>
      </w:r>
      <w:r w:rsidR="00284FD1">
        <w:t xml:space="preserve">our </w:t>
      </w:r>
      <w:r w:rsidR="00C16614">
        <w:t>analysis is based</w:t>
      </w:r>
      <w:r w:rsidR="00284FD1">
        <w:t xml:space="preserve"> on the last </w:t>
      </w:r>
      <w:r w:rsidR="00FC0B20">
        <w:t>10</w:t>
      </w:r>
      <w:r w:rsidR="00284FD1">
        <w:t xml:space="preserve"> years.</w:t>
      </w:r>
      <w:r w:rsidR="00366E27">
        <w:t xml:space="preserve"> </w:t>
      </w:r>
      <w:r w:rsidR="006A6522">
        <w:t>Th</w:t>
      </w:r>
      <w:r w:rsidR="00FF68FC">
        <w:t>ese</w:t>
      </w:r>
      <w:r w:rsidR="006A6522">
        <w:t xml:space="preserve"> data </w:t>
      </w:r>
      <w:r w:rsidR="00E456F5">
        <w:t>show that</w:t>
      </w:r>
      <w:r w:rsidR="00B406B0">
        <w:t xml:space="preserve"> </w:t>
      </w:r>
      <w:r w:rsidR="006A6522">
        <w:t>the</w:t>
      </w:r>
      <w:r w:rsidR="00B406B0">
        <w:t xml:space="preserve"> US continues to </w:t>
      </w:r>
      <w:r w:rsidR="008B0E14">
        <w:t>outcompete</w:t>
      </w:r>
      <w:r w:rsidR="00B406B0">
        <w:t xml:space="preserve"> Europe, China and Japan as </w:t>
      </w:r>
      <w:r w:rsidR="00DE23A5">
        <w:t>the most attractive location for industry-sponsored clinical trials (</w:t>
      </w:r>
      <w:r w:rsidR="00753CD3" w:rsidRPr="000A2E03">
        <w:fldChar w:fldCharType="begin"/>
      </w:r>
      <w:r w:rsidR="00753CD3">
        <w:instrText xml:space="preserve"> REF _Ref106183483 </w:instrText>
      </w:r>
      <w:r w:rsidR="00753CD3" w:rsidRPr="000A2E03">
        <w:fldChar w:fldCharType="separate"/>
      </w:r>
      <w:r w:rsidR="002B47FB">
        <w:t xml:space="preserve">Figure </w:t>
      </w:r>
      <w:r w:rsidR="002B47FB">
        <w:rPr>
          <w:noProof/>
        </w:rPr>
        <w:t>4</w:t>
      </w:r>
      <w:r w:rsidR="00753CD3" w:rsidRPr="000A2E03">
        <w:fldChar w:fldCharType="end"/>
      </w:r>
      <w:r w:rsidR="00DE23A5">
        <w:t>). This is consistent across all phases of clinical development.</w:t>
      </w:r>
      <w:r w:rsidR="00E116EE">
        <w:t xml:space="preserve"> </w:t>
      </w:r>
      <w:r w:rsidR="00861762">
        <w:t>As with research expenditure (</w:t>
      </w:r>
      <w:r w:rsidR="00861762" w:rsidRPr="000A2E03">
        <w:fldChar w:fldCharType="begin"/>
      </w:r>
      <w:r w:rsidR="00861762">
        <w:instrText xml:space="preserve"> REF _Ref105506441 \h </w:instrText>
      </w:r>
      <w:r w:rsidR="00861762" w:rsidRPr="000A2E03">
        <w:fldChar w:fldCharType="separate"/>
      </w:r>
      <w:r w:rsidR="002B47FB">
        <w:t xml:space="preserve">Figure </w:t>
      </w:r>
      <w:r w:rsidR="002B47FB">
        <w:rPr>
          <w:noProof/>
        </w:rPr>
        <w:t>1</w:t>
      </w:r>
      <w:r w:rsidR="00861762" w:rsidRPr="000A2E03">
        <w:fldChar w:fldCharType="end"/>
      </w:r>
      <w:r w:rsidR="00861762">
        <w:t xml:space="preserve">), </w:t>
      </w:r>
      <w:r w:rsidR="00465043">
        <w:t>Europe still attracts more</w:t>
      </w:r>
      <w:r w:rsidR="008F0B9D">
        <w:t xml:space="preserve"> industry</w:t>
      </w:r>
      <w:r w:rsidR="00465043">
        <w:t xml:space="preserve"> clinical trial investment than China</w:t>
      </w:r>
      <w:r w:rsidR="00391289">
        <w:t>; however,</w:t>
      </w:r>
      <w:r w:rsidR="00465043">
        <w:t xml:space="preserve"> </w:t>
      </w:r>
      <w:r w:rsidR="008F0B9D">
        <w:t xml:space="preserve">industry </w:t>
      </w:r>
      <w:r w:rsidR="00465043">
        <w:t>investment in China</w:t>
      </w:r>
      <w:r w:rsidR="008F0B9D">
        <w:t xml:space="preserve">, where clinical trial activity has </w:t>
      </w:r>
      <w:r w:rsidR="002913EA">
        <w:t>historically</w:t>
      </w:r>
      <w:r w:rsidR="008F0B9D">
        <w:t xml:space="preserve"> been largely government-led,</w:t>
      </w:r>
      <w:r w:rsidR="00465043">
        <w:t xml:space="preserve"> is growing at a rapid pace</w:t>
      </w:r>
      <w:r w:rsidR="0031736B">
        <w:t xml:space="preserve"> across all phases of development</w:t>
      </w:r>
      <w:r w:rsidR="00970FF9">
        <w:t xml:space="preserve"> – </w:t>
      </w:r>
      <w:r w:rsidR="0031736B">
        <w:t>particularly for Phase 1 studies</w:t>
      </w:r>
      <w:r w:rsidR="00465043">
        <w:t>.</w:t>
      </w:r>
      <w:r w:rsidR="00DF00F8">
        <w:t xml:space="preserve"> </w:t>
      </w:r>
      <w:r w:rsidR="006E069A">
        <w:t>While</w:t>
      </w:r>
      <w:r w:rsidR="00DF00F8">
        <w:t xml:space="preserve"> Japan </w:t>
      </w:r>
      <w:r w:rsidR="00A16E48">
        <w:t>has historically</w:t>
      </w:r>
      <w:r w:rsidR="00DF00F8">
        <w:t xml:space="preserve"> attracted more </w:t>
      </w:r>
      <w:r w:rsidR="000916EE">
        <w:t xml:space="preserve">industry-sponsored </w:t>
      </w:r>
      <w:r w:rsidR="00DF00F8">
        <w:t>clinical trials</w:t>
      </w:r>
      <w:r w:rsidR="004D470D">
        <w:t xml:space="preserve"> than China, </w:t>
      </w:r>
      <w:r w:rsidR="003A79A7">
        <w:t xml:space="preserve">China has overtaken </w:t>
      </w:r>
      <w:r w:rsidR="009279A6">
        <w:t>it</w:t>
      </w:r>
      <w:r w:rsidR="003A79A7">
        <w:t xml:space="preserve"> in </w:t>
      </w:r>
      <w:r w:rsidR="008E4E25">
        <w:t xml:space="preserve">the </w:t>
      </w:r>
      <w:r w:rsidR="003A79A7">
        <w:t xml:space="preserve">number of clinical trials </w:t>
      </w:r>
      <w:r w:rsidR="004A6B02">
        <w:t xml:space="preserve">conducted </w:t>
      </w:r>
      <w:r w:rsidR="003A79A7">
        <w:t>per year</w:t>
      </w:r>
      <w:r w:rsidR="00C47AB2">
        <w:t xml:space="preserve"> since 2017</w:t>
      </w:r>
      <w:r w:rsidR="003A79A7">
        <w:t>.</w:t>
      </w:r>
      <w:r w:rsidR="005E1FE4">
        <w:t xml:space="preserve"> </w:t>
      </w:r>
      <w:r w:rsidR="009279A6">
        <w:t>Strong</w:t>
      </w:r>
      <w:r w:rsidR="005E1FE4">
        <w:t xml:space="preserve"> growth in recent data</w:t>
      </w:r>
      <w:r w:rsidR="009279A6">
        <w:t xml:space="preserve"> </w:t>
      </w:r>
      <w:r w:rsidR="005E1FE4">
        <w:t xml:space="preserve">is </w:t>
      </w:r>
      <w:r w:rsidR="009279A6">
        <w:t xml:space="preserve">also </w:t>
      </w:r>
      <w:r w:rsidR="005E1FE4">
        <w:t xml:space="preserve">likely to be </w:t>
      </w:r>
      <w:r w:rsidR="00A24A3C">
        <w:t>partly</w:t>
      </w:r>
      <w:r w:rsidR="005E1FE4">
        <w:t xml:space="preserve"> </w:t>
      </w:r>
      <w:r w:rsidR="00995A94">
        <w:t>due to</w:t>
      </w:r>
      <w:r w:rsidR="005E1FE4">
        <w:t xml:space="preserve"> </w:t>
      </w:r>
      <w:r w:rsidR="00A24A3C">
        <w:t xml:space="preserve">the </w:t>
      </w:r>
      <w:r w:rsidR="005E1FE4">
        <w:t>COVID</w:t>
      </w:r>
      <w:r w:rsidR="002063C7">
        <w:t>-19</w:t>
      </w:r>
      <w:r w:rsidR="005E1FE4">
        <w:t xml:space="preserve"> </w:t>
      </w:r>
      <w:r w:rsidR="00A24A3C">
        <w:t>pandemic</w:t>
      </w:r>
      <w:r w:rsidR="005E1FE4">
        <w:t>.</w:t>
      </w:r>
      <w:r w:rsidR="00F30879">
        <w:t xml:space="preserve"> </w:t>
      </w:r>
      <w:r w:rsidR="009279A6">
        <w:t>I</w:t>
      </w:r>
      <w:r w:rsidR="000916EE">
        <w:t>ndustry</w:t>
      </w:r>
      <w:r w:rsidR="00F30879">
        <w:t xml:space="preserve"> </w:t>
      </w:r>
      <w:r w:rsidR="00F30879" w:rsidRPr="00F30879">
        <w:t xml:space="preserve">clinical trial activity </w:t>
      </w:r>
      <w:r w:rsidR="00F30879">
        <w:t xml:space="preserve">was </w:t>
      </w:r>
      <w:r w:rsidR="009279A6">
        <w:t>generally</w:t>
      </w:r>
      <w:r w:rsidR="00F30879">
        <w:t xml:space="preserve"> maintained </w:t>
      </w:r>
      <w:r w:rsidR="00F30879" w:rsidRPr="00F30879">
        <w:t>through</w:t>
      </w:r>
      <w:r w:rsidR="009279A6">
        <w:t>out</w:t>
      </w:r>
      <w:r w:rsidR="00F30879" w:rsidRPr="00F30879">
        <w:t xml:space="preserve"> the pandemic</w:t>
      </w:r>
      <w:r w:rsidR="0046656D">
        <w:t xml:space="preserve">, to which </w:t>
      </w:r>
      <w:r w:rsidR="007F579F">
        <w:t>the industry</w:t>
      </w:r>
      <w:r w:rsidR="00F30879" w:rsidRPr="00F30879">
        <w:t xml:space="preserve"> has adapted </w:t>
      </w:r>
      <w:r w:rsidR="00A34FE9">
        <w:t xml:space="preserve">by developing </w:t>
      </w:r>
      <w:r w:rsidR="00F30879" w:rsidRPr="00F30879">
        <w:t>new approaches to enable research to continue</w:t>
      </w:r>
      <w:r w:rsidR="0046656D">
        <w:t>. T</w:t>
      </w:r>
      <w:r w:rsidR="00F30879">
        <w:t xml:space="preserve">his is </w:t>
      </w:r>
      <w:r w:rsidR="007F579F">
        <w:t>discussed</w:t>
      </w:r>
      <w:r w:rsidR="0046656D">
        <w:t xml:space="preserve"> </w:t>
      </w:r>
      <w:r w:rsidR="001C347D">
        <w:t xml:space="preserve">further </w:t>
      </w:r>
      <w:r w:rsidR="00F30879">
        <w:t>in the next chapter.</w:t>
      </w:r>
      <w:r w:rsidR="00F30879">
        <w:rPr>
          <w:rStyle w:val="Odwoanieprzypisudolnego"/>
        </w:rPr>
        <w:footnoteReference w:id="38"/>
      </w:r>
    </w:p>
    <w:p w14:paraId="7CBF5518" w14:textId="30257E62" w:rsidR="005A48A0" w:rsidRDefault="005A48A0" w:rsidP="005A48A0">
      <w:pPr>
        <w:pStyle w:val="Legenda"/>
      </w:pPr>
      <w:bookmarkStart w:id="66" w:name="_Ref109850547"/>
      <w:bookmarkStart w:id="67" w:name="_Ref106183483"/>
      <w:bookmarkStart w:id="68" w:name="_Toc115717797"/>
      <w:r>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4</w:t>
      </w:r>
      <w:r w:rsidR="00F64CC5" w:rsidRPr="000A2E03">
        <w:fldChar w:fldCharType="end"/>
      </w:r>
      <w:bookmarkEnd w:id="66"/>
      <w:bookmarkEnd w:id="67"/>
      <w:r>
        <w:t xml:space="preserve">: </w:t>
      </w:r>
      <w:r w:rsidR="00F1501A" w:rsidRPr="00F1501A">
        <w:t xml:space="preserve">US continues to </w:t>
      </w:r>
      <w:r w:rsidR="008B0E14">
        <w:t>outcompete</w:t>
      </w:r>
      <w:r w:rsidR="00F1501A" w:rsidRPr="00F1501A">
        <w:t xml:space="preserve"> Europe, China and Japan as the most attractive location for industry-sponsored clinical trials</w:t>
      </w:r>
      <w:r w:rsidR="00F1501A">
        <w:t>*</w:t>
      </w:r>
      <w:bookmarkEnd w:id="68"/>
    </w:p>
    <w:p w14:paraId="7758A12E" w14:textId="4108EAFD" w:rsidR="00C7037B" w:rsidRPr="00C7037B" w:rsidRDefault="00C7037B" w:rsidP="002823BC">
      <w:pPr>
        <w:pStyle w:val="Tekstpodstawowy"/>
      </w:pPr>
      <w:r>
        <w:rPr>
          <w:noProof/>
        </w:rPr>
        <w:drawing>
          <wp:inline distT="0" distB="0" distL="0" distR="0" wp14:anchorId="553E2111" wp14:editId="30C2ECF3">
            <wp:extent cx="5038725" cy="402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4029075"/>
                    </a:xfrm>
                    <a:prstGeom prst="rect">
                      <a:avLst/>
                    </a:prstGeom>
                    <a:noFill/>
                    <a:ln>
                      <a:noFill/>
                    </a:ln>
                  </pic:spPr>
                </pic:pic>
              </a:graphicData>
            </a:graphic>
          </wp:inline>
        </w:drawing>
      </w:r>
    </w:p>
    <w:p w14:paraId="6BA249DE" w14:textId="3E6AE57C" w:rsidR="00D857FB" w:rsidRDefault="00844E1D" w:rsidP="001453A3">
      <w:pPr>
        <w:pStyle w:val="Tekstpodstawowy"/>
      </w:pPr>
      <w:r w:rsidRPr="000A2E03">
        <w:rPr>
          <w:noProof/>
        </w:rPr>
        <w:lastRenderedPageBreak/>
        <w:drawing>
          <wp:inline distT="0" distB="0" distL="0" distR="0" wp14:anchorId="234505D4" wp14:editId="54C88EBA">
            <wp:extent cx="5038725" cy="402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4029075"/>
                    </a:xfrm>
                    <a:prstGeom prst="rect">
                      <a:avLst/>
                    </a:prstGeom>
                    <a:noFill/>
                    <a:ln>
                      <a:noFill/>
                    </a:ln>
                  </pic:spPr>
                </pic:pic>
              </a:graphicData>
            </a:graphic>
          </wp:inline>
        </w:drawing>
      </w:r>
    </w:p>
    <w:p w14:paraId="60647CC1" w14:textId="6DAFF5F7" w:rsidR="00605259" w:rsidRPr="00964962" w:rsidRDefault="00B372EB" w:rsidP="001453A3">
      <w:pPr>
        <w:pStyle w:val="Tekstpodstawowy"/>
        <w:rPr>
          <w:i/>
          <w:sz w:val="16"/>
          <w:szCs w:val="16"/>
        </w:rPr>
      </w:pPr>
      <w:r>
        <w:rPr>
          <w:sz w:val="16"/>
          <w:szCs w:val="16"/>
        </w:rPr>
        <w:t>S</w:t>
      </w:r>
      <w:r w:rsidR="00DC5D52" w:rsidRPr="003B5817">
        <w:rPr>
          <w:sz w:val="16"/>
          <w:szCs w:val="16"/>
        </w:rPr>
        <w:t>ource</w:t>
      </w:r>
      <w:r>
        <w:rPr>
          <w:sz w:val="16"/>
          <w:szCs w:val="16"/>
        </w:rPr>
        <w:t>: Various</w:t>
      </w:r>
      <w:r w:rsidR="00446D70" w:rsidRPr="003B5817">
        <w:rPr>
          <w:rStyle w:val="Odwoanieprzypisudolnego"/>
          <w:szCs w:val="16"/>
        </w:rPr>
        <w:footnoteReference w:id="39"/>
      </w:r>
      <w:r w:rsidR="00074F81">
        <w:rPr>
          <w:sz w:val="16"/>
          <w:szCs w:val="16"/>
        </w:rPr>
        <w:t xml:space="preserve"> </w:t>
      </w:r>
      <w:r w:rsidR="00605259" w:rsidRPr="00964962">
        <w:rPr>
          <w:i/>
          <w:sz w:val="16"/>
          <w:szCs w:val="16"/>
        </w:rPr>
        <w:t xml:space="preserve">*It is important to note that our numbers </w:t>
      </w:r>
      <w:r w:rsidR="008B02D9" w:rsidRPr="00964962">
        <w:rPr>
          <w:i/>
          <w:sz w:val="16"/>
          <w:szCs w:val="16"/>
        </w:rPr>
        <w:t>of clinical trials</w:t>
      </w:r>
      <w:r w:rsidR="00605259" w:rsidRPr="00964962">
        <w:rPr>
          <w:i/>
          <w:sz w:val="16"/>
          <w:szCs w:val="16"/>
        </w:rPr>
        <w:t xml:space="preserve"> </w:t>
      </w:r>
      <w:r w:rsidR="00B9472A" w:rsidRPr="00964962">
        <w:rPr>
          <w:i/>
          <w:sz w:val="16"/>
          <w:szCs w:val="16"/>
        </w:rPr>
        <w:t xml:space="preserve">are lower compared to </w:t>
      </w:r>
      <w:r w:rsidR="008B02D9" w:rsidRPr="00964962">
        <w:rPr>
          <w:i/>
          <w:sz w:val="16"/>
          <w:szCs w:val="16"/>
        </w:rPr>
        <w:t xml:space="preserve">other </w:t>
      </w:r>
      <w:r w:rsidR="00D71B0F" w:rsidRPr="00964962">
        <w:rPr>
          <w:i/>
          <w:sz w:val="16"/>
          <w:szCs w:val="16"/>
        </w:rPr>
        <w:t xml:space="preserve">research </w:t>
      </w:r>
      <w:r w:rsidR="008C0B99" w:rsidRPr="00964962">
        <w:rPr>
          <w:i/>
          <w:sz w:val="16"/>
          <w:szCs w:val="16"/>
        </w:rPr>
        <w:t>papers</w:t>
      </w:r>
      <w:r w:rsidR="00CF14DD" w:rsidRPr="00964962">
        <w:rPr>
          <w:rStyle w:val="Odwoanieprzypisudolnego"/>
          <w:i/>
          <w:szCs w:val="16"/>
        </w:rPr>
        <w:footnoteReference w:id="40"/>
      </w:r>
      <w:r w:rsidR="00D71B0F" w:rsidRPr="00964962">
        <w:rPr>
          <w:i/>
          <w:sz w:val="16"/>
          <w:szCs w:val="16"/>
        </w:rPr>
        <w:t xml:space="preserve"> or published data by WHO</w:t>
      </w:r>
      <w:r w:rsidR="00256BE5">
        <w:rPr>
          <w:i/>
          <w:sz w:val="16"/>
          <w:szCs w:val="16"/>
        </w:rPr>
        <w:t>.</w:t>
      </w:r>
      <w:r w:rsidR="00E213AB" w:rsidRPr="00964962">
        <w:rPr>
          <w:rStyle w:val="Odwoanieprzypisudolnego"/>
          <w:i/>
          <w:szCs w:val="16"/>
        </w:rPr>
        <w:footnoteReference w:id="41"/>
      </w:r>
      <w:r w:rsidR="000F02A2">
        <w:rPr>
          <w:i/>
          <w:iCs/>
          <w:sz w:val="16"/>
          <w:szCs w:val="16"/>
        </w:rPr>
        <w:t xml:space="preserve"> CRA focused only on industry-sponsored </w:t>
      </w:r>
      <w:r w:rsidR="008330A0">
        <w:rPr>
          <w:i/>
          <w:iCs/>
          <w:sz w:val="16"/>
          <w:szCs w:val="16"/>
        </w:rPr>
        <w:t xml:space="preserve">trials </w:t>
      </w:r>
      <w:r w:rsidR="004B2736">
        <w:rPr>
          <w:i/>
          <w:iCs/>
          <w:sz w:val="16"/>
          <w:szCs w:val="16"/>
        </w:rPr>
        <w:t>having a status of</w:t>
      </w:r>
      <w:r w:rsidR="008330A0">
        <w:rPr>
          <w:i/>
          <w:iCs/>
          <w:sz w:val="16"/>
          <w:szCs w:val="16"/>
        </w:rPr>
        <w:t xml:space="preserve"> </w:t>
      </w:r>
      <w:r w:rsidR="007B376D">
        <w:rPr>
          <w:i/>
          <w:iCs/>
          <w:sz w:val="16"/>
          <w:szCs w:val="16"/>
        </w:rPr>
        <w:t>recr</w:t>
      </w:r>
      <w:r w:rsidR="003217FE">
        <w:rPr>
          <w:i/>
          <w:iCs/>
          <w:sz w:val="16"/>
          <w:szCs w:val="16"/>
        </w:rPr>
        <w:t>uit</w:t>
      </w:r>
      <w:r w:rsidR="00B90648">
        <w:rPr>
          <w:i/>
          <w:iCs/>
          <w:sz w:val="16"/>
          <w:szCs w:val="16"/>
        </w:rPr>
        <w:t>i</w:t>
      </w:r>
      <w:r w:rsidR="007B376D">
        <w:rPr>
          <w:i/>
          <w:iCs/>
          <w:sz w:val="16"/>
          <w:szCs w:val="16"/>
        </w:rPr>
        <w:t xml:space="preserve">ng, active </w:t>
      </w:r>
      <w:r w:rsidR="00256BE5">
        <w:rPr>
          <w:i/>
          <w:iCs/>
          <w:sz w:val="16"/>
          <w:szCs w:val="16"/>
        </w:rPr>
        <w:t xml:space="preserve">or </w:t>
      </w:r>
      <w:r w:rsidR="007B376D">
        <w:rPr>
          <w:i/>
          <w:iCs/>
          <w:sz w:val="16"/>
          <w:szCs w:val="16"/>
        </w:rPr>
        <w:t>completed</w:t>
      </w:r>
      <w:r w:rsidR="00256BE5">
        <w:rPr>
          <w:i/>
          <w:iCs/>
          <w:sz w:val="16"/>
          <w:szCs w:val="16"/>
        </w:rPr>
        <w:t>,</w:t>
      </w:r>
      <w:r w:rsidR="00B90648">
        <w:rPr>
          <w:i/>
          <w:iCs/>
          <w:sz w:val="16"/>
          <w:szCs w:val="16"/>
        </w:rPr>
        <w:t xml:space="preserve"> compared to other analysis which </w:t>
      </w:r>
      <w:r w:rsidR="00486776">
        <w:rPr>
          <w:i/>
          <w:iCs/>
          <w:sz w:val="16"/>
          <w:szCs w:val="16"/>
        </w:rPr>
        <w:t>counted all registered</w:t>
      </w:r>
      <w:r w:rsidR="002710F1">
        <w:rPr>
          <w:i/>
          <w:iCs/>
          <w:sz w:val="16"/>
          <w:szCs w:val="16"/>
        </w:rPr>
        <w:t xml:space="preserve"> </w:t>
      </w:r>
      <w:r w:rsidR="00765A6E">
        <w:rPr>
          <w:i/>
          <w:iCs/>
          <w:sz w:val="16"/>
          <w:szCs w:val="16"/>
        </w:rPr>
        <w:t>clinical</w:t>
      </w:r>
      <w:r w:rsidR="00486776">
        <w:rPr>
          <w:i/>
          <w:iCs/>
          <w:sz w:val="16"/>
          <w:szCs w:val="16"/>
        </w:rPr>
        <w:t xml:space="preserve"> trials</w:t>
      </w:r>
      <w:r w:rsidR="00765A6E">
        <w:rPr>
          <w:i/>
          <w:iCs/>
          <w:sz w:val="16"/>
          <w:szCs w:val="16"/>
        </w:rPr>
        <w:t>.</w:t>
      </w:r>
      <w:r w:rsidR="002710F1">
        <w:rPr>
          <w:i/>
          <w:iCs/>
          <w:sz w:val="16"/>
          <w:szCs w:val="16"/>
        </w:rPr>
        <w:t xml:space="preserve"> We also exclude</w:t>
      </w:r>
      <w:r w:rsidR="00256BE5">
        <w:rPr>
          <w:i/>
          <w:iCs/>
          <w:sz w:val="16"/>
          <w:szCs w:val="16"/>
        </w:rPr>
        <w:t>d</w:t>
      </w:r>
      <w:r w:rsidR="002710F1">
        <w:rPr>
          <w:i/>
          <w:iCs/>
          <w:sz w:val="16"/>
          <w:szCs w:val="16"/>
        </w:rPr>
        <w:t xml:space="preserve"> </w:t>
      </w:r>
      <w:r w:rsidR="00615121">
        <w:rPr>
          <w:i/>
          <w:iCs/>
          <w:sz w:val="16"/>
          <w:szCs w:val="16"/>
        </w:rPr>
        <w:t>trials with an unknown status</w:t>
      </w:r>
      <w:r w:rsidR="00B53F72">
        <w:rPr>
          <w:i/>
          <w:iCs/>
          <w:sz w:val="16"/>
          <w:szCs w:val="16"/>
        </w:rPr>
        <w:t xml:space="preserve"> </w:t>
      </w:r>
      <w:r w:rsidR="00F23DBF">
        <w:rPr>
          <w:i/>
          <w:iCs/>
          <w:sz w:val="16"/>
          <w:szCs w:val="16"/>
        </w:rPr>
        <w:t>or non-applicable study phase.</w:t>
      </w:r>
      <w:r w:rsidR="00486776">
        <w:rPr>
          <w:i/>
          <w:iCs/>
          <w:sz w:val="16"/>
          <w:szCs w:val="16"/>
        </w:rPr>
        <w:t xml:space="preserve"> </w:t>
      </w:r>
    </w:p>
    <w:p w14:paraId="0AF1040D" w14:textId="26F34D68" w:rsidR="009178AA" w:rsidRDefault="00284FD1" w:rsidP="001453A3">
      <w:pPr>
        <w:pStyle w:val="Tekstpodstawowy"/>
      </w:pPr>
      <w:r>
        <w:t>We also consider</w:t>
      </w:r>
      <w:r w:rsidR="00782A8F">
        <w:t>ed</w:t>
      </w:r>
      <w:r>
        <w:t xml:space="preserve"> whether the pattern of clinical trial locations varies for different types of technology, </w:t>
      </w:r>
      <w:r w:rsidR="00ED7D7C">
        <w:t>focusing on</w:t>
      </w:r>
      <w:r>
        <w:t xml:space="preserve"> the trends for </w:t>
      </w:r>
      <w:r w:rsidR="00F05CDF">
        <w:t>ATMPs</w:t>
      </w:r>
      <w:r w:rsidR="00F33E2F">
        <w:t xml:space="preserve"> as an example of </w:t>
      </w:r>
      <w:r w:rsidR="00602380">
        <w:t xml:space="preserve">a new </w:t>
      </w:r>
      <w:r w:rsidR="00416D8D">
        <w:t>therapeutic</w:t>
      </w:r>
      <w:r w:rsidR="00602380">
        <w:t xml:space="preserve"> solution</w:t>
      </w:r>
      <w:r>
        <w:t xml:space="preserve">. The key difference </w:t>
      </w:r>
      <w:r w:rsidRPr="002B47FB">
        <w:t xml:space="preserve">observed is the competitiveness of </w:t>
      </w:r>
      <w:r w:rsidR="007F65A8">
        <w:t>the</w:t>
      </w:r>
      <w:r w:rsidRPr="002B47FB">
        <w:t xml:space="preserve"> Asia</w:t>
      </w:r>
      <w:r w:rsidR="005F198C" w:rsidRPr="002B47FB">
        <w:t xml:space="preserve">-Pacific </w:t>
      </w:r>
      <w:r w:rsidR="007F65A8">
        <w:t>region</w:t>
      </w:r>
      <w:r w:rsidR="005F198C" w:rsidRPr="002B47FB">
        <w:t xml:space="preserve"> (</w:t>
      </w:r>
      <w:r w:rsidR="005F198C" w:rsidRPr="00C111C4">
        <w:t>used as a p</w:t>
      </w:r>
      <w:r w:rsidR="002B47FB">
        <w:t>r</w:t>
      </w:r>
      <w:r w:rsidR="005F198C" w:rsidRPr="00C111C4">
        <w:t xml:space="preserve">oxy for China, where data </w:t>
      </w:r>
      <w:r w:rsidR="00B3691D">
        <w:t>are</w:t>
      </w:r>
      <w:r w:rsidR="005F198C" w:rsidRPr="00C111C4">
        <w:t xml:space="preserve"> not available</w:t>
      </w:r>
      <w:r w:rsidR="005F198C" w:rsidRPr="002B47FB">
        <w:t>)</w:t>
      </w:r>
      <w:r>
        <w:t xml:space="preserve"> in attracting </w:t>
      </w:r>
      <w:r w:rsidR="00F05CDF">
        <w:t>ATMP</w:t>
      </w:r>
      <w:r w:rsidR="00CC2D90">
        <w:t xml:space="preserve"> </w:t>
      </w:r>
      <w:r>
        <w:t>clinical trials relative to the US (</w:t>
      </w:r>
      <w:r w:rsidRPr="000A2E03">
        <w:fldChar w:fldCharType="begin"/>
      </w:r>
      <w:r>
        <w:instrText xml:space="preserve"> REF _Ref106119562 \h </w:instrText>
      </w:r>
      <w:r w:rsidRPr="000A2E03">
        <w:fldChar w:fldCharType="separate"/>
      </w:r>
      <w:r w:rsidR="002B47FB">
        <w:t xml:space="preserve">Figure </w:t>
      </w:r>
      <w:r w:rsidR="002B47FB">
        <w:rPr>
          <w:noProof/>
        </w:rPr>
        <w:t>5</w:t>
      </w:r>
      <w:r w:rsidRPr="000A2E03">
        <w:fldChar w:fldCharType="end"/>
      </w:r>
      <w:r>
        <w:t xml:space="preserve">). </w:t>
      </w:r>
      <w:r w:rsidR="00CC2D90">
        <w:t>T</w:t>
      </w:r>
      <w:r>
        <w:t>he number of trials conducted in the US and Asia</w:t>
      </w:r>
      <w:r w:rsidR="00A75E11">
        <w:t>-Pacific</w:t>
      </w:r>
      <w:r>
        <w:t xml:space="preserve"> </w:t>
      </w:r>
      <w:r w:rsidR="00CC2D90">
        <w:t xml:space="preserve">region </w:t>
      </w:r>
      <w:r>
        <w:t xml:space="preserve">grew by </w:t>
      </w:r>
      <w:r w:rsidR="0030783F">
        <w:t>70</w:t>
      </w:r>
      <w:r>
        <w:t xml:space="preserve">% and </w:t>
      </w:r>
      <w:r w:rsidR="0030783F">
        <w:t>67</w:t>
      </w:r>
      <w:r>
        <w:t>%</w:t>
      </w:r>
      <w:r w:rsidR="00A75E11">
        <w:t>,</w:t>
      </w:r>
      <w:r>
        <w:t xml:space="preserve"> respectively, between 2014 and 20</w:t>
      </w:r>
      <w:r w:rsidR="004D5CA5">
        <w:t>21</w:t>
      </w:r>
      <w:r>
        <w:t xml:space="preserve">. </w:t>
      </w:r>
      <w:r w:rsidR="006B4A9D">
        <w:t>Meanwhile, the</w:t>
      </w:r>
      <w:r w:rsidR="00F84784">
        <w:t xml:space="preserve"> number of </w:t>
      </w:r>
      <w:r w:rsidR="00B00BC8">
        <w:t>ATMP</w:t>
      </w:r>
      <w:r w:rsidR="00CC2D90">
        <w:t xml:space="preserve"> </w:t>
      </w:r>
      <w:r w:rsidR="00F84784">
        <w:t xml:space="preserve">trials </w:t>
      </w:r>
      <w:r w:rsidR="00A75E11">
        <w:t xml:space="preserve">in Europe </w:t>
      </w:r>
      <w:r w:rsidR="00D86F69">
        <w:t xml:space="preserve">appears </w:t>
      </w:r>
      <w:r w:rsidR="00D23A49">
        <w:t>lower</w:t>
      </w:r>
      <w:r w:rsidR="007E629A">
        <w:t xml:space="preserve"> and </w:t>
      </w:r>
      <w:r w:rsidR="007F65A8">
        <w:t>stagnant</w:t>
      </w:r>
      <w:r w:rsidR="00877CD4">
        <w:t xml:space="preserve"> despite </w:t>
      </w:r>
      <w:r w:rsidR="007F65A8">
        <w:t>overall</w:t>
      </w:r>
      <w:r w:rsidR="00877CD4">
        <w:t xml:space="preserve"> </w:t>
      </w:r>
      <w:r w:rsidR="006B6DE1">
        <w:t>growth of</w:t>
      </w:r>
      <w:r w:rsidR="00B53FB2">
        <w:t xml:space="preserve"> the </w:t>
      </w:r>
      <w:r w:rsidR="00B53FB2">
        <w:lastRenderedPageBreak/>
        <w:t>global clinical development pipeline</w:t>
      </w:r>
      <w:r w:rsidR="001D534D">
        <w:t>.</w:t>
      </w:r>
      <w:r w:rsidR="00B53FB2">
        <w:rPr>
          <w:rStyle w:val="Odwoanieprzypisudolnego"/>
        </w:rPr>
        <w:footnoteReference w:id="42"/>
      </w:r>
      <w:r w:rsidR="00DB0E76">
        <w:t xml:space="preserve"> </w:t>
      </w:r>
      <w:r w:rsidR="007F65A8">
        <w:t>This observation is</w:t>
      </w:r>
      <w:r w:rsidR="00DB0E76">
        <w:t xml:space="preserve"> consistent with those in the literature</w:t>
      </w:r>
      <w:r w:rsidR="007F65A8">
        <w:t>;</w:t>
      </w:r>
      <w:r w:rsidR="00DB0E76">
        <w:t xml:space="preserve"> the Alliance for Regenerative Medicine </w:t>
      </w:r>
      <w:r w:rsidR="007F65A8">
        <w:t>fou</w:t>
      </w:r>
      <w:r w:rsidR="00670551">
        <w:t>nd</w:t>
      </w:r>
      <w:r w:rsidR="007F65A8">
        <w:t xml:space="preserve"> </w:t>
      </w:r>
      <w:r w:rsidR="00DB0E76">
        <w:t xml:space="preserve">that </w:t>
      </w:r>
      <w:r w:rsidR="00441F18">
        <w:t>three times as many ATMP trials were initiated in North America than in Europe between 2014</w:t>
      </w:r>
      <w:r w:rsidR="004D1868">
        <w:t xml:space="preserve"> and </w:t>
      </w:r>
      <w:r w:rsidR="00441F18">
        <w:t>201</w:t>
      </w:r>
      <w:r w:rsidR="00A733B4">
        <w:t>8</w:t>
      </w:r>
      <w:r w:rsidR="00441F18">
        <w:t xml:space="preserve">, and that during </w:t>
      </w:r>
      <w:r w:rsidR="00A733B4">
        <w:t>this time there was a marked increase in North America (36%) and Asia (28%)</w:t>
      </w:r>
      <w:r w:rsidR="00670551">
        <w:t>,</w:t>
      </w:r>
      <w:r w:rsidR="00A733B4">
        <w:t xml:space="preserve"> but not in Europe (&lt;2%).</w:t>
      </w:r>
      <w:r w:rsidR="00386BDE">
        <w:rPr>
          <w:rStyle w:val="Odwoanieprzypisudolnego"/>
        </w:rPr>
        <w:footnoteReference w:id="43"/>
      </w:r>
      <w:r w:rsidR="00A733B4">
        <w:t xml:space="preserve"> </w:t>
      </w:r>
    </w:p>
    <w:p w14:paraId="2425CEF2" w14:textId="5EED689E" w:rsidR="00284FD1" w:rsidRPr="003B5817" w:rsidRDefault="00284FD1" w:rsidP="001453A3">
      <w:pPr>
        <w:pStyle w:val="Tekstpodstawowy"/>
        <w:rPr>
          <w:sz w:val="16"/>
          <w:szCs w:val="16"/>
        </w:rPr>
      </w:pPr>
      <w:r>
        <w:t xml:space="preserve">This contrasts with the trends observed in </w:t>
      </w:r>
      <w:r w:rsidR="0062617E" w:rsidRPr="000A2E03">
        <w:fldChar w:fldCharType="begin"/>
      </w:r>
      <w:r w:rsidR="0062617E">
        <w:instrText xml:space="preserve"> REF _Ref109850547 \h </w:instrText>
      </w:r>
      <w:r w:rsidR="0062617E" w:rsidRPr="000A2E03">
        <w:fldChar w:fldCharType="separate"/>
      </w:r>
      <w:r w:rsidR="0062617E">
        <w:t xml:space="preserve">Figure </w:t>
      </w:r>
      <w:r w:rsidR="0062617E">
        <w:rPr>
          <w:noProof/>
        </w:rPr>
        <w:t>3</w:t>
      </w:r>
      <w:r w:rsidR="0062617E" w:rsidRPr="000A2E03">
        <w:fldChar w:fldCharType="end"/>
      </w:r>
      <w:r w:rsidR="0062617E">
        <w:t xml:space="preserve"> </w:t>
      </w:r>
      <w:r>
        <w:t xml:space="preserve">and indicates that </w:t>
      </w:r>
      <w:r w:rsidR="006E069A">
        <w:t>while</w:t>
      </w:r>
      <w:r>
        <w:t xml:space="preserve"> Europe continues to be an attractive location for pharmaceutical companies to conduct clinical trials for more traditional medicinal technologies, this is not the case for</w:t>
      </w:r>
      <w:r w:rsidR="0062617E">
        <w:t xml:space="preserve"> </w:t>
      </w:r>
      <w:r w:rsidR="006452BA">
        <w:t xml:space="preserve">all </w:t>
      </w:r>
      <w:r w:rsidR="005668CD">
        <w:t>new therapeutic solutions</w:t>
      </w:r>
      <w:r w:rsidR="00471756">
        <w:t xml:space="preserve">, including but not limited to </w:t>
      </w:r>
      <w:r w:rsidR="00A4694C">
        <w:t>ATMPs</w:t>
      </w:r>
      <w:r>
        <w:t xml:space="preserve">. It </w:t>
      </w:r>
      <w:r w:rsidR="0079515E">
        <w:t>is also incongruous</w:t>
      </w:r>
      <w:r>
        <w:t xml:space="preserve"> with Europe’s </w:t>
      </w:r>
      <w:r w:rsidR="00F24373">
        <w:t xml:space="preserve">relative strength </w:t>
      </w:r>
      <w:r>
        <w:t xml:space="preserve">in </w:t>
      </w:r>
      <w:r w:rsidR="00A4694C">
        <w:t>ATMP</w:t>
      </w:r>
      <w:r w:rsidR="0062617E">
        <w:t xml:space="preserve"> </w:t>
      </w:r>
      <w:r>
        <w:t>academic research</w:t>
      </w:r>
      <w:r w:rsidR="0079515E">
        <w:t>:</w:t>
      </w:r>
      <w:r>
        <w:t xml:space="preserve"> b</w:t>
      </w:r>
      <w:r w:rsidRPr="009F6C39">
        <w:t>etween 2017 and 2019, the lead author</w:t>
      </w:r>
      <w:r w:rsidR="00760769">
        <w:t>s</w:t>
      </w:r>
      <w:r w:rsidRPr="009F6C39">
        <w:t xml:space="preserve"> of </w:t>
      </w:r>
      <w:r w:rsidR="00760769">
        <w:t xml:space="preserve">around </w:t>
      </w:r>
      <w:r w:rsidRPr="009F6C39">
        <w:t xml:space="preserve">120,000 papers </w:t>
      </w:r>
      <w:r w:rsidR="00760769">
        <w:t>published</w:t>
      </w:r>
      <w:r w:rsidRPr="009F6C39">
        <w:t xml:space="preserve"> in </w:t>
      </w:r>
      <w:r w:rsidR="00A4694C">
        <w:t>ATMP</w:t>
      </w:r>
      <w:r w:rsidR="0062617E">
        <w:t xml:space="preserve"> </w:t>
      </w:r>
      <w:r w:rsidRPr="009F6C39">
        <w:t xml:space="preserve">publications </w:t>
      </w:r>
      <w:r w:rsidR="00760769">
        <w:t>were</w:t>
      </w:r>
      <w:r w:rsidR="00760769" w:rsidRPr="009F6C39">
        <w:t xml:space="preserve"> </w:t>
      </w:r>
      <w:r w:rsidRPr="009F6C39">
        <w:t>affiliated with a European institution</w:t>
      </w:r>
      <w:r>
        <w:t>. In the US and China, e</w:t>
      </w:r>
      <w:r w:rsidRPr="00F942FE">
        <w:t>quivalent figures were 72,000 and 100,000</w:t>
      </w:r>
      <w:r w:rsidR="000C655E">
        <w:t>,</w:t>
      </w:r>
      <w:r>
        <w:t xml:space="preserve"> </w:t>
      </w:r>
      <w:r w:rsidRPr="00F942FE">
        <w:t>respectively</w:t>
      </w:r>
      <w:r>
        <w:t>.</w:t>
      </w:r>
      <w:r>
        <w:rPr>
          <w:rStyle w:val="Odwoanieprzypisudolnego"/>
        </w:rPr>
        <w:footnoteReference w:id="44"/>
      </w:r>
      <w:r>
        <w:t xml:space="preserve"> In </w:t>
      </w:r>
      <w:r w:rsidR="00E04069">
        <w:t xml:space="preserve">Chapter </w:t>
      </w:r>
      <w:r w:rsidR="00505110">
        <w:t>3</w:t>
      </w:r>
      <w:r w:rsidR="000A4BD2">
        <w:t>,</w:t>
      </w:r>
      <w:r w:rsidRPr="000A2E03">
        <w:fldChar w:fldCharType="begin"/>
      </w:r>
      <w:r>
        <w:instrText xml:space="preserve"> REF _Ref105674482 \r \h </w:instrText>
      </w:r>
      <w:r w:rsidR="000F0501">
        <w:fldChar w:fldCharType="separate"/>
      </w:r>
      <w:r w:rsidRPr="000A2E03">
        <w:fldChar w:fldCharType="end"/>
      </w:r>
      <w:r>
        <w:t xml:space="preserve"> we explore the reasons behind these contrasting patterns of investment.</w:t>
      </w:r>
    </w:p>
    <w:p w14:paraId="768BB28C" w14:textId="0B45CABB" w:rsidR="00502C0E" w:rsidRDefault="00502C0E" w:rsidP="00502C0E">
      <w:pPr>
        <w:pStyle w:val="Legenda"/>
      </w:pPr>
      <w:bookmarkStart w:id="69" w:name="_Ref109302197"/>
      <w:bookmarkStart w:id="70" w:name="_Ref106119562"/>
      <w:bookmarkStart w:id="71" w:name="_Toc115717798"/>
      <w:r>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5</w:t>
      </w:r>
      <w:r w:rsidR="00F64CC5" w:rsidRPr="000A2E03">
        <w:fldChar w:fldCharType="end"/>
      </w:r>
      <w:bookmarkEnd w:id="69"/>
      <w:bookmarkEnd w:id="70"/>
      <w:r>
        <w:t xml:space="preserve">: </w:t>
      </w:r>
      <w:r w:rsidR="00F40D6B">
        <w:t>The</w:t>
      </w:r>
      <w:r w:rsidR="00D76388">
        <w:t xml:space="preserve"> l</w:t>
      </w:r>
      <w:r>
        <w:t xml:space="preserve">ocation of </w:t>
      </w:r>
      <w:r w:rsidR="002A46D2">
        <w:t>Advanced Therapy M</w:t>
      </w:r>
      <w:r w:rsidR="00761C7C">
        <w:t>edicinal</w:t>
      </w:r>
      <w:r w:rsidR="002A46D2">
        <w:t xml:space="preserve"> Products (ATMP)</w:t>
      </w:r>
      <w:r>
        <w:t xml:space="preserve"> clinical trials </w:t>
      </w:r>
      <w:r w:rsidR="00D76388">
        <w:t xml:space="preserve">differ from </w:t>
      </w:r>
      <w:r w:rsidR="007A5A52">
        <w:t xml:space="preserve">the </w:t>
      </w:r>
      <w:r w:rsidR="006452BA">
        <w:t>overall</w:t>
      </w:r>
      <w:r w:rsidR="00D76388">
        <w:t xml:space="preserve"> </w:t>
      </w:r>
      <w:r w:rsidR="00F40D6B">
        <w:t>geographic p</w:t>
      </w:r>
      <w:r w:rsidR="00D76388">
        <w:t xml:space="preserve">attern of </w:t>
      </w:r>
      <w:r w:rsidR="00F40D6B">
        <w:t xml:space="preserve">biopharma </w:t>
      </w:r>
      <w:r w:rsidR="00D76388">
        <w:t>clinical trial activity</w:t>
      </w:r>
      <w:bookmarkEnd w:id="71"/>
    </w:p>
    <w:p w14:paraId="26840D52" w14:textId="511E439F" w:rsidR="00830283" w:rsidRDefault="00830283" w:rsidP="001453A3">
      <w:pPr>
        <w:pStyle w:val="Tekstpodstawowy"/>
      </w:pPr>
      <w:r w:rsidRPr="000A2E03">
        <w:rPr>
          <w:noProof/>
        </w:rPr>
        <w:drawing>
          <wp:inline distT="0" distB="0" distL="0" distR="0" wp14:anchorId="778BD4BD" wp14:editId="71FB5909">
            <wp:extent cx="5056505" cy="2857500"/>
            <wp:effectExtent l="0" t="0" r="10795" b="0"/>
            <wp:docPr id="9" name="Chart 9">
              <a:extLst xmlns:a="http://schemas.openxmlformats.org/drawingml/2006/main">
                <a:ext uri="{FF2B5EF4-FFF2-40B4-BE49-F238E27FC236}">
                  <a16:creationId xmlns:a16="http://schemas.microsoft.com/office/drawing/2014/main" id="{19C44186-F883-48DF-B6C4-BFBDA7AE0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9CA8CE" w14:textId="54D36D6F" w:rsidR="00502C0E" w:rsidRPr="004F3208" w:rsidRDefault="00B372EB" w:rsidP="001453A3">
      <w:pPr>
        <w:pStyle w:val="Tekstpodstawowy"/>
        <w:rPr>
          <w:sz w:val="16"/>
          <w:szCs w:val="16"/>
        </w:rPr>
      </w:pPr>
      <w:r>
        <w:rPr>
          <w:sz w:val="16"/>
          <w:szCs w:val="16"/>
        </w:rPr>
        <w:lastRenderedPageBreak/>
        <w:t>S</w:t>
      </w:r>
      <w:r w:rsidR="00502C0E" w:rsidRPr="004F3208">
        <w:rPr>
          <w:sz w:val="16"/>
          <w:szCs w:val="16"/>
        </w:rPr>
        <w:t>ource</w:t>
      </w:r>
      <w:r w:rsidR="00D54AFE">
        <w:rPr>
          <w:sz w:val="16"/>
          <w:szCs w:val="16"/>
        </w:rPr>
        <w:t>:</w:t>
      </w:r>
      <w:r w:rsidR="00F94D85">
        <w:rPr>
          <w:sz w:val="16"/>
          <w:szCs w:val="16"/>
        </w:rPr>
        <w:t xml:space="preserve"> </w:t>
      </w:r>
      <w:proofErr w:type="spellStart"/>
      <w:r w:rsidR="00A43DB3">
        <w:rPr>
          <w:sz w:val="16"/>
          <w:szCs w:val="16"/>
        </w:rPr>
        <w:t>GlobalData</w:t>
      </w:r>
      <w:proofErr w:type="spellEnd"/>
      <w:r w:rsidR="0021704A">
        <w:rPr>
          <w:rStyle w:val="Odwoanieprzypisudolnego"/>
          <w:szCs w:val="16"/>
        </w:rPr>
        <w:footnoteReference w:id="45"/>
      </w:r>
    </w:p>
    <w:p w14:paraId="699F9E87" w14:textId="5300C972" w:rsidR="001453A3" w:rsidRDefault="001453A3" w:rsidP="001453A3">
      <w:pPr>
        <w:pStyle w:val="Nagwek2"/>
        <w:ind w:left="0"/>
      </w:pPr>
      <w:bookmarkStart w:id="72" w:name="_Toc106104528"/>
      <w:bookmarkStart w:id="73" w:name="_Toc115717781"/>
      <w:r>
        <w:t xml:space="preserve">The location of </w:t>
      </w:r>
      <w:r w:rsidR="00E04069">
        <w:t xml:space="preserve">investigational </w:t>
      </w:r>
      <w:r>
        <w:t>and commercial manufacturing</w:t>
      </w:r>
      <w:bookmarkEnd w:id="72"/>
      <w:bookmarkEnd w:id="73"/>
    </w:p>
    <w:p w14:paraId="7CD9EA79" w14:textId="295F5525" w:rsidR="00AD2349" w:rsidRDefault="00AD2349" w:rsidP="002472EC">
      <w:pPr>
        <w:pStyle w:val="Tekstpodstawowy"/>
      </w:pPr>
      <w:r>
        <w:t xml:space="preserve">We next </w:t>
      </w:r>
      <w:r w:rsidRPr="004D22E0">
        <w:t xml:space="preserve">consider investment in </w:t>
      </w:r>
      <w:r w:rsidR="00575890" w:rsidRPr="004D22E0">
        <w:t xml:space="preserve">the </w:t>
      </w:r>
      <w:r w:rsidRPr="004D22E0">
        <w:t xml:space="preserve">manufacturing </w:t>
      </w:r>
      <w:r w:rsidR="00575890" w:rsidRPr="004D22E0">
        <w:t>of innovative medicines</w:t>
      </w:r>
      <w:r w:rsidR="00E35ADD" w:rsidRPr="004D22E0">
        <w:t>.</w:t>
      </w:r>
      <w:r w:rsidR="00CD2CA2" w:rsidRPr="004D22E0">
        <w:rPr>
          <w:rStyle w:val="Odwoanieprzypisudolnego"/>
        </w:rPr>
        <w:footnoteReference w:id="46"/>
      </w:r>
      <w:r w:rsidR="00575890" w:rsidRPr="004D22E0">
        <w:t xml:space="preserve"> </w:t>
      </w:r>
      <w:r w:rsidR="00E35ADD" w:rsidRPr="00B54BF4">
        <w:t xml:space="preserve">We are interested in </w:t>
      </w:r>
      <w:r w:rsidR="00E35ADD" w:rsidRPr="00B54BF4">
        <w:rPr>
          <w:color w:val="000000" w:themeColor="text1"/>
        </w:rPr>
        <w:t>IMP</w:t>
      </w:r>
      <w:r w:rsidR="004D1868">
        <w:rPr>
          <w:color w:val="000000" w:themeColor="text1"/>
        </w:rPr>
        <w:t>s</w:t>
      </w:r>
      <w:r w:rsidR="005E3C6A" w:rsidRPr="00B54BF4">
        <w:rPr>
          <w:color w:val="000000" w:themeColor="text1"/>
        </w:rPr>
        <w:t xml:space="preserve">, </w:t>
      </w:r>
      <w:r w:rsidR="00E35ADD" w:rsidRPr="00B54BF4">
        <w:rPr>
          <w:color w:val="000000" w:themeColor="text1"/>
        </w:rPr>
        <w:t>commercial manufacturing</w:t>
      </w:r>
      <w:r w:rsidR="00A71F5A" w:rsidRPr="00B54BF4">
        <w:rPr>
          <w:color w:val="000000" w:themeColor="text1"/>
        </w:rPr>
        <w:t>,</w:t>
      </w:r>
      <w:r w:rsidR="005E3C6A" w:rsidRPr="00B54BF4">
        <w:rPr>
          <w:color w:val="000000" w:themeColor="text1"/>
        </w:rPr>
        <w:t xml:space="preserve"> and</w:t>
      </w:r>
      <w:r w:rsidR="004A13C7">
        <w:rPr>
          <w:color w:val="000000" w:themeColor="text1"/>
        </w:rPr>
        <w:t>,</w:t>
      </w:r>
      <w:r w:rsidR="00A71F5A" w:rsidRPr="00B54BF4">
        <w:rPr>
          <w:color w:val="000000" w:themeColor="text1"/>
        </w:rPr>
        <w:t xml:space="preserve"> to </w:t>
      </w:r>
      <w:r w:rsidR="00D60B2B">
        <w:rPr>
          <w:color w:val="000000" w:themeColor="text1"/>
        </w:rPr>
        <w:t xml:space="preserve">a </w:t>
      </w:r>
      <w:r w:rsidR="00A71F5A" w:rsidRPr="00B54BF4">
        <w:rPr>
          <w:color w:val="000000" w:themeColor="text1"/>
        </w:rPr>
        <w:t>lesser extent</w:t>
      </w:r>
      <w:r w:rsidR="00F92809">
        <w:rPr>
          <w:color w:val="000000" w:themeColor="text1"/>
        </w:rPr>
        <w:t>,</w:t>
      </w:r>
      <w:r w:rsidR="005E3C6A" w:rsidRPr="00B54BF4">
        <w:rPr>
          <w:color w:val="000000" w:themeColor="text1"/>
        </w:rPr>
        <w:t xml:space="preserve"> </w:t>
      </w:r>
      <w:r w:rsidR="004D1868" w:rsidRPr="004D1868">
        <w:rPr>
          <w:color w:val="000000" w:themeColor="text1"/>
        </w:rPr>
        <w:t>active pharmaceutical ingredient</w:t>
      </w:r>
      <w:r w:rsidR="004D1868">
        <w:rPr>
          <w:color w:val="000000" w:themeColor="text1"/>
        </w:rPr>
        <w:t xml:space="preserve"> (</w:t>
      </w:r>
      <w:r w:rsidR="005E3C6A" w:rsidRPr="00B54BF4">
        <w:rPr>
          <w:color w:val="000000" w:themeColor="text1"/>
        </w:rPr>
        <w:t>API</w:t>
      </w:r>
      <w:r w:rsidR="004D1868">
        <w:rPr>
          <w:color w:val="000000" w:themeColor="text1"/>
        </w:rPr>
        <w:t>)</w:t>
      </w:r>
      <w:r w:rsidR="00E35ADD" w:rsidRPr="00B54BF4">
        <w:rPr>
          <w:color w:val="000000" w:themeColor="text1"/>
        </w:rPr>
        <w:t xml:space="preserve"> </w:t>
      </w:r>
      <w:r w:rsidR="00A71F5A" w:rsidRPr="00B54BF4">
        <w:rPr>
          <w:color w:val="000000" w:themeColor="text1"/>
        </w:rPr>
        <w:t>manufacturing</w:t>
      </w:r>
      <w:r w:rsidR="00093DE5">
        <w:rPr>
          <w:color w:val="000000" w:themeColor="text1"/>
        </w:rPr>
        <w:t xml:space="preserve">. </w:t>
      </w:r>
      <w:r w:rsidR="004D1868">
        <w:rPr>
          <w:color w:val="000000" w:themeColor="text1"/>
        </w:rPr>
        <w:t xml:space="preserve">An </w:t>
      </w:r>
      <w:r w:rsidR="004B5C37" w:rsidRPr="00B54BF4">
        <w:rPr>
          <w:color w:val="000000" w:themeColor="text1"/>
        </w:rPr>
        <w:t>IMP</w:t>
      </w:r>
      <w:r w:rsidR="00E35ADD" w:rsidRPr="00B54BF4">
        <w:rPr>
          <w:color w:val="000000" w:themeColor="text1"/>
        </w:rPr>
        <w:t xml:space="preserve"> </w:t>
      </w:r>
      <w:r w:rsidR="004D1868">
        <w:rPr>
          <w:color w:val="000000" w:themeColor="text1"/>
        </w:rPr>
        <w:t xml:space="preserve">is </w:t>
      </w:r>
      <w:r w:rsidR="00E35ADD" w:rsidRPr="00B54BF4">
        <w:rPr>
          <w:color w:val="000000" w:themeColor="text1"/>
        </w:rPr>
        <w:t xml:space="preserve">defined as </w:t>
      </w:r>
      <w:r w:rsidR="004D1868">
        <w:rPr>
          <w:color w:val="000000" w:themeColor="text1"/>
        </w:rPr>
        <w:t xml:space="preserve">a </w:t>
      </w:r>
      <w:r w:rsidR="005072D1" w:rsidRPr="00B54BF4">
        <w:rPr>
          <w:color w:val="000000" w:themeColor="text1"/>
        </w:rPr>
        <w:t>med</w:t>
      </w:r>
      <w:r w:rsidR="00D974EA" w:rsidRPr="00B54BF4">
        <w:rPr>
          <w:color w:val="000000" w:themeColor="text1"/>
        </w:rPr>
        <w:t xml:space="preserve">icine used in </w:t>
      </w:r>
      <w:r w:rsidR="0090379B" w:rsidRPr="00B54BF4">
        <w:rPr>
          <w:color w:val="000000" w:themeColor="text1"/>
        </w:rPr>
        <w:t xml:space="preserve">a </w:t>
      </w:r>
      <w:r w:rsidR="00D974EA" w:rsidRPr="00B54BF4">
        <w:rPr>
          <w:color w:val="000000" w:themeColor="text1"/>
        </w:rPr>
        <w:t>clinical tria</w:t>
      </w:r>
      <w:r w:rsidR="0090379B" w:rsidRPr="00B54BF4">
        <w:rPr>
          <w:color w:val="000000" w:themeColor="text1"/>
        </w:rPr>
        <w:t>l</w:t>
      </w:r>
      <w:r w:rsidR="00DD1F79">
        <w:rPr>
          <w:color w:val="000000" w:themeColor="text1"/>
        </w:rPr>
        <w:t>;</w:t>
      </w:r>
      <w:r w:rsidR="0090379B" w:rsidRPr="00B54BF4">
        <w:rPr>
          <w:rStyle w:val="Odwoanieprzypisudolnego"/>
          <w:color w:val="000000" w:themeColor="text1"/>
        </w:rPr>
        <w:footnoteReference w:id="47"/>
      </w:r>
      <w:r w:rsidR="008752DF" w:rsidRPr="00B54BF4">
        <w:rPr>
          <w:color w:val="000000" w:themeColor="text1"/>
        </w:rPr>
        <w:t xml:space="preserve"> </w:t>
      </w:r>
      <w:r w:rsidR="00DD6867" w:rsidRPr="00B54BF4">
        <w:rPr>
          <w:color w:val="000000" w:themeColor="text1"/>
        </w:rPr>
        <w:t xml:space="preserve">commercial manufacturing </w:t>
      </w:r>
      <w:r w:rsidR="003E0D5D">
        <w:rPr>
          <w:color w:val="000000" w:themeColor="text1"/>
        </w:rPr>
        <w:t>is</w:t>
      </w:r>
      <w:r w:rsidR="003E0D5D" w:rsidRPr="00B54BF4">
        <w:rPr>
          <w:color w:val="000000" w:themeColor="text1"/>
        </w:rPr>
        <w:t xml:space="preserve"> </w:t>
      </w:r>
      <w:r w:rsidR="00DD6867" w:rsidRPr="00B54BF4">
        <w:rPr>
          <w:color w:val="000000" w:themeColor="text1"/>
        </w:rPr>
        <w:t xml:space="preserve">manufacturing of </w:t>
      </w:r>
      <w:r w:rsidR="00065296" w:rsidRPr="00B54BF4">
        <w:rPr>
          <w:color w:val="000000" w:themeColor="text1"/>
        </w:rPr>
        <w:t>regulatory approved medicines</w:t>
      </w:r>
      <w:r w:rsidR="00DD1F79">
        <w:rPr>
          <w:color w:val="000000" w:themeColor="text1"/>
        </w:rPr>
        <w:t>;</w:t>
      </w:r>
      <w:r w:rsidR="005E3C6A" w:rsidRPr="004D22E0">
        <w:rPr>
          <w:color w:val="000000" w:themeColor="text1"/>
        </w:rPr>
        <w:t xml:space="preserve"> and </w:t>
      </w:r>
      <w:r w:rsidR="00DD1F79">
        <w:rPr>
          <w:color w:val="000000" w:themeColor="text1"/>
        </w:rPr>
        <w:t xml:space="preserve">an </w:t>
      </w:r>
      <w:r w:rsidR="003F712A" w:rsidRPr="004D22E0">
        <w:rPr>
          <w:color w:val="000000" w:themeColor="text1"/>
        </w:rPr>
        <w:t>API</w:t>
      </w:r>
      <w:r w:rsidR="00AC5DE6" w:rsidRPr="004D22E0">
        <w:rPr>
          <w:color w:val="000000" w:themeColor="text1"/>
        </w:rPr>
        <w:t xml:space="preserve"> </w:t>
      </w:r>
      <w:r w:rsidR="00633F17">
        <w:rPr>
          <w:color w:val="000000" w:themeColor="text1"/>
        </w:rPr>
        <w:t xml:space="preserve">is </w:t>
      </w:r>
      <w:r w:rsidR="00AC5DE6" w:rsidRPr="004D22E0">
        <w:rPr>
          <w:color w:val="000000" w:themeColor="text1"/>
        </w:rPr>
        <w:t>a</w:t>
      </w:r>
      <w:r w:rsidR="003F712A" w:rsidRPr="004D22E0">
        <w:rPr>
          <w:color w:val="000000" w:themeColor="text1"/>
        </w:rPr>
        <w:t>ny substance</w:t>
      </w:r>
      <w:r w:rsidR="003F712A" w:rsidRPr="003F712A">
        <w:rPr>
          <w:color w:val="000000" w:themeColor="text1"/>
        </w:rPr>
        <w:t>, or mixture of substances, intended to be used in the manufacture of a drug (medicinal) product and that, when used in the production of a drug, becomes an active ingredient of the drug product.</w:t>
      </w:r>
      <w:r w:rsidR="00B80CE4">
        <w:rPr>
          <w:rStyle w:val="Odwoanieprzypisudolnego"/>
          <w:color w:val="000000" w:themeColor="text1"/>
        </w:rPr>
        <w:footnoteReference w:id="48"/>
      </w:r>
      <w:r w:rsidR="00575890">
        <w:t xml:space="preserve"> There are even greater challenges in making like</w:t>
      </w:r>
      <w:r w:rsidR="00DD1F79">
        <w:t>-</w:t>
      </w:r>
      <w:r w:rsidR="00575890">
        <w:t>for</w:t>
      </w:r>
      <w:r w:rsidR="00DD1F79">
        <w:t>-</w:t>
      </w:r>
      <w:r w:rsidR="00575890">
        <w:t>like comparisons across regions</w:t>
      </w:r>
      <w:r w:rsidR="00BF13D1">
        <w:t xml:space="preserve"> than </w:t>
      </w:r>
      <w:r w:rsidR="00DD1F79">
        <w:t xml:space="preserve">there are </w:t>
      </w:r>
      <w:r w:rsidR="00BF13D1">
        <w:t>with R&amp;D investments</w:t>
      </w:r>
      <w:r w:rsidR="00575890">
        <w:t>:</w:t>
      </w:r>
    </w:p>
    <w:p w14:paraId="38B0A51B" w14:textId="41CE2875" w:rsidR="00B54BF4" w:rsidRDefault="008677A9" w:rsidP="000A2E03">
      <w:pPr>
        <w:pStyle w:val="Tekstpodstawowy"/>
        <w:numPr>
          <w:ilvl w:val="0"/>
          <w:numId w:val="172"/>
        </w:numPr>
      </w:pPr>
      <w:r w:rsidRPr="00D53D69">
        <w:rPr>
          <w:i/>
          <w:iCs/>
        </w:rPr>
        <w:t>Inconsistent m</w:t>
      </w:r>
      <w:r w:rsidR="00575890" w:rsidRPr="00D53D69">
        <w:rPr>
          <w:i/>
          <w:iCs/>
        </w:rPr>
        <w:t>etric</w:t>
      </w:r>
      <w:r w:rsidRPr="00D53D69">
        <w:rPr>
          <w:i/>
          <w:iCs/>
        </w:rPr>
        <w:t>s</w:t>
      </w:r>
      <w:r w:rsidR="00575890">
        <w:t>: Unlike investment in R&amp;D</w:t>
      </w:r>
      <w:r w:rsidR="008F26D1">
        <w:t>,</w:t>
      </w:r>
      <w:r w:rsidR="00575890">
        <w:t xml:space="preserve"> where comparison</w:t>
      </w:r>
      <w:r w:rsidR="001D46D6">
        <w:t>s</w:t>
      </w:r>
      <w:r w:rsidR="00575890">
        <w:t xml:space="preserve"> are long-standing, there has be</w:t>
      </w:r>
      <w:r w:rsidR="007C0082">
        <w:t>e</w:t>
      </w:r>
      <w:r w:rsidR="00575890">
        <w:t xml:space="preserve">n less effort to standardise </w:t>
      </w:r>
      <w:r w:rsidR="00CD4969">
        <w:t>measurements</w:t>
      </w:r>
      <w:r w:rsidR="00575890">
        <w:t xml:space="preserve"> across regions. There are a number of potential </w:t>
      </w:r>
      <w:r w:rsidR="00575890" w:rsidRPr="00803FE7">
        <w:t>definitions that could be useful</w:t>
      </w:r>
      <w:r w:rsidR="00EC68D4">
        <w:t>,</w:t>
      </w:r>
      <w:r w:rsidR="00575890" w:rsidRPr="00803FE7">
        <w:t xml:space="preserve"> </w:t>
      </w:r>
      <w:r w:rsidR="009042C1">
        <w:t>s</w:t>
      </w:r>
      <w:r w:rsidR="005F594E" w:rsidRPr="00803FE7">
        <w:t xml:space="preserve">uch as </w:t>
      </w:r>
      <w:r w:rsidR="006638BA" w:rsidRPr="00803FE7">
        <w:t xml:space="preserve">gross investments in tangible goods in the EU, </w:t>
      </w:r>
      <w:r w:rsidR="00555E23" w:rsidRPr="00803FE7">
        <w:t xml:space="preserve">investments in </w:t>
      </w:r>
      <w:r w:rsidR="001B5FAD" w:rsidRPr="00803FE7">
        <w:t>private non</w:t>
      </w:r>
      <w:r w:rsidR="00BF13D1">
        <w:t>-</w:t>
      </w:r>
      <w:r w:rsidR="001B5FAD" w:rsidRPr="00803FE7">
        <w:t xml:space="preserve">residential fixed assets </w:t>
      </w:r>
      <w:r w:rsidR="00555E23" w:rsidRPr="00803FE7">
        <w:t>in</w:t>
      </w:r>
      <w:r w:rsidR="001B5FAD" w:rsidRPr="00803FE7">
        <w:t xml:space="preserve"> the US and investment in</w:t>
      </w:r>
      <w:r w:rsidR="00555E23" w:rsidRPr="00803FE7">
        <w:t xml:space="preserve"> </w:t>
      </w:r>
      <w:r w:rsidR="00555E23" w:rsidRPr="004D22E0">
        <w:t>fixed assets in China</w:t>
      </w:r>
      <w:r w:rsidR="001B5FAD" w:rsidRPr="004D22E0">
        <w:t xml:space="preserve">. </w:t>
      </w:r>
      <w:r w:rsidR="00B54BF4">
        <w:t>The</w:t>
      </w:r>
      <w:r w:rsidR="00723FB8">
        <w:t>se</w:t>
      </w:r>
      <w:r w:rsidR="00B54BF4">
        <w:t xml:space="preserve"> </w:t>
      </w:r>
      <w:r w:rsidR="00723FB8">
        <w:t>varying</w:t>
      </w:r>
      <w:r w:rsidR="009F50D8">
        <w:t xml:space="preserve"> definitions make</w:t>
      </w:r>
      <w:r w:rsidR="00B54BF4">
        <w:t xml:space="preserve"> comparison challenging:</w:t>
      </w:r>
    </w:p>
    <w:p w14:paraId="77D82659" w14:textId="4952417C" w:rsidR="00B54BF4" w:rsidRDefault="0088362D" w:rsidP="000A2E03">
      <w:pPr>
        <w:pStyle w:val="Tekstpodstawowy"/>
        <w:numPr>
          <w:ilvl w:val="0"/>
          <w:numId w:val="174"/>
        </w:numPr>
      </w:pPr>
      <w:r w:rsidRPr="004D22E0">
        <w:t>In</w:t>
      </w:r>
      <w:r w:rsidR="003B0D35">
        <w:t xml:space="preserve"> the</w:t>
      </w:r>
      <w:r w:rsidRPr="004D22E0">
        <w:t xml:space="preserve"> EU, gross</w:t>
      </w:r>
      <w:r w:rsidRPr="0088362D">
        <w:t xml:space="preserve"> investment in tangible goods is defined as investment during the reference period in all tangible goods. Included are new and existing tangible capital goods, whether bought from third parties or produced for own use (i.e. capitalised production of tangible capital goods), </w:t>
      </w:r>
      <w:r w:rsidR="00CE3C4E">
        <w:t>and</w:t>
      </w:r>
      <w:r w:rsidRPr="0088362D">
        <w:t xml:space="preserve"> having a </w:t>
      </w:r>
      <w:r w:rsidR="00CE3C4E">
        <w:t>shelf</w:t>
      </w:r>
      <w:r w:rsidR="002A7FA0">
        <w:t xml:space="preserve"> </w:t>
      </w:r>
      <w:r w:rsidRPr="0088362D">
        <w:t>life of more than one year</w:t>
      </w:r>
      <w:r w:rsidR="00242209">
        <w:t>. This also</w:t>
      </w:r>
      <w:r w:rsidRPr="0088362D">
        <w:t xml:space="preserve"> includ</w:t>
      </w:r>
      <w:r w:rsidR="00242209">
        <w:t>es</w:t>
      </w:r>
      <w:r w:rsidRPr="0088362D">
        <w:t xml:space="preserve"> non-produced tangible goods such as land.</w:t>
      </w:r>
      <w:r w:rsidR="00E772A5">
        <w:rPr>
          <w:rStyle w:val="Odwoanieprzypisudolnego"/>
        </w:rPr>
        <w:footnoteReference w:id="49"/>
      </w:r>
      <w:r>
        <w:t xml:space="preserve"> </w:t>
      </w:r>
    </w:p>
    <w:p w14:paraId="60C7C9B5" w14:textId="1B93AFD0" w:rsidR="00B54BF4" w:rsidRDefault="00DF4D6C" w:rsidP="000A2E03">
      <w:pPr>
        <w:pStyle w:val="Tekstpodstawowy"/>
        <w:numPr>
          <w:ilvl w:val="0"/>
          <w:numId w:val="174"/>
        </w:numPr>
      </w:pPr>
      <w:r>
        <w:t>In</w:t>
      </w:r>
      <w:r w:rsidR="00C73089">
        <w:t xml:space="preserve"> the US, the Bureau of Economic </w:t>
      </w:r>
      <w:r w:rsidR="002A7FA0">
        <w:t>A</w:t>
      </w:r>
      <w:r w:rsidR="00C73089">
        <w:t>nalysis</w:t>
      </w:r>
      <w:r w:rsidR="00C73089" w:rsidRPr="00C73089">
        <w:t xml:space="preserve"> </w:t>
      </w:r>
      <w:r w:rsidR="00D22B1C">
        <w:t xml:space="preserve">defines fixed assets as </w:t>
      </w:r>
      <w:r w:rsidR="002A7FA0">
        <w:t xml:space="preserve">those </w:t>
      </w:r>
      <w:r w:rsidR="00C73089" w:rsidRPr="00C73089">
        <w:t xml:space="preserve">used continuously in production </w:t>
      </w:r>
      <w:r w:rsidR="00C73089" w:rsidRPr="002823BC">
        <w:rPr>
          <w:iCs/>
        </w:rPr>
        <w:t>for an extended period of time</w:t>
      </w:r>
      <w:r w:rsidR="00C73089" w:rsidRPr="00C73089">
        <w:t xml:space="preserve">, and </w:t>
      </w:r>
      <w:r w:rsidR="00902EC9" w:rsidRPr="002823BC">
        <w:rPr>
          <w:iCs/>
        </w:rPr>
        <w:t xml:space="preserve">generally </w:t>
      </w:r>
      <w:r w:rsidR="00902EC9" w:rsidRPr="002823BC">
        <w:rPr>
          <w:iCs/>
        </w:rPr>
        <w:lastRenderedPageBreak/>
        <w:t>defines</w:t>
      </w:r>
      <w:r w:rsidR="00C73089" w:rsidRPr="00C73089">
        <w:t xml:space="preserve"> consumer durables as tangible products that can be stored or inventoried and that have an average </w:t>
      </w:r>
      <w:r w:rsidR="00C01E10">
        <w:t>shelf</w:t>
      </w:r>
      <w:r w:rsidR="002A7FA0">
        <w:t xml:space="preserve"> </w:t>
      </w:r>
      <w:r w:rsidR="00C73089" w:rsidRPr="00C73089">
        <w:t>life of at least three years</w:t>
      </w:r>
      <w:r w:rsidR="00D22B1C">
        <w:t>.</w:t>
      </w:r>
      <w:r w:rsidR="00260810">
        <w:rPr>
          <w:rStyle w:val="Odwoanieprzypisudolnego"/>
        </w:rPr>
        <w:footnoteReference w:id="50"/>
      </w:r>
      <w:r w:rsidR="00C73089">
        <w:t xml:space="preserve"> </w:t>
      </w:r>
    </w:p>
    <w:p w14:paraId="739518B6" w14:textId="336215CE" w:rsidR="00575890" w:rsidRPr="00803FE7" w:rsidRDefault="001A76EB" w:rsidP="000A2E03">
      <w:pPr>
        <w:pStyle w:val="Tekstpodstawowy"/>
        <w:numPr>
          <w:ilvl w:val="0"/>
          <w:numId w:val="173"/>
        </w:numPr>
      </w:pPr>
      <w:r>
        <w:rPr>
          <w:i/>
          <w:iCs/>
        </w:rPr>
        <w:t xml:space="preserve">Incompleteness: </w:t>
      </w:r>
      <w:r w:rsidR="00C01E10">
        <w:t>Moreover, the data</w:t>
      </w:r>
      <w:r w:rsidR="000C2D9D" w:rsidRPr="00AB5745">
        <w:t xml:space="preserve"> </w:t>
      </w:r>
      <w:r w:rsidR="002A7FA0">
        <w:t xml:space="preserve">have </w:t>
      </w:r>
      <w:r w:rsidR="00CA6930" w:rsidRPr="00AB5745">
        <w:t xml:space="preserve">many </w:t>
      </w:r>
      <w:r w:rsidR="00CA6930" w:rsidRPr="00D53D69">
        <w:t>limitation</w:t>
      </w:r>
      <w:r w:rsidR="00E61BCB" w:rsidRPr="00D53D69">
        <w:t>s</w:t>
      </w:r>
      <w:r w:rsidR="00C01E10">
        <w:t>.</w:t>
      </w:r>
      <w:r w:rsidR="00CA6930" w:rsidRPr="00AB5745">
        <w:t xml:space="preserve"> </w:t>
      </w:r>
      <w:r w:rsidR="00C01E10">
        <w:t>In</w:t>
      </w:r>
      <w:r w:rsidR="003A324D" w:rsidRPr="00AB5745">
        <w:t xml:space="preserve"> Europe</w:t>
      </w:r>
      <w:r w:rsidR="00C01E10">
        <w:t>,</w:t>
      </w:r>
      <w:r w:rsidR="003A324D" w:rsidRPr="00AB5745">
        <w:t xml:space="preserve"> several smaller countries do not report data</w:t>
      </w:r>
      <w:r w:rsidR="003A324D" w:rsidRPr="00803FE7">
        <w:t xml:space="preserve"> to Eurostat</w:t>
      </w:r>
      <w:r w:rsidR="005E72EC">
        <w:t xml:space="preserve"> for</w:t>
      </w:r>
      <w:r w:rsidR="003A324D" w:rsidRPr="00803FE7">
        <w:t xml:space="preserve"> confidentiality reasons, </w:t>
      </w:r>
      <w:r w:rsidR="00C01E10">
        <w:t xml:space="preserve">and </w:t>
      </w:r>
      <w:r w:rsidR="003A324D" w:rsidRPr="00803FE7">
        <w:t>in the US</w:t>
      </w:r>
      <w:r w:rsidR="00C01E10">
        <w:t>,</w:t>
      </w:r>
      <w:r w:rsidR="003A324D" w:rsidRPr="00803FE7">
        <w:t xml:space="preserve"> data is collected </w:t>
      </w:r>
      <w:r w:rsidR="000678F6" w:rsidRPr="00803FE7">
        <w:t>only at the level of chemical industry</w:t>
      </w:r>
      <w:r w:rsidR="00E56CB2" w:rsidRPr="00803FE7">
        <w:t>.</w:t>
      </w:r>
      <w:r w:rsidR="000678F6" w:rsidRPr="00803FE7">
        <w:t xml:space="preserve"> </w:t>
      </w:r>
      <w:r w:rsidR="00A62E82" w:rsidRPr="00803FE7">
        <w:t>Therefore</w:t>
      </w:r>
      <w:r w:rsidR="00575890" w:rsidRPr="00803FE7">
        <w:t xml:space="preserve">, these </w:t>
      </w:r>
      <w:r w:rsidR="00C01E10">
        <w:t>reports are inconsistent</w:t>
      </w:r>
      <w:r w:rsidR="00575890" w:rsidRPr="00803FE7">
        <w:t xml:space="preserve"> across different regions</w:t>
      </w:r>
      <w:r w:rsidR="00E35ADD">
        <w:t xml:space="preserve"> and</w:t>
      </w:r>
      <w:r w:rsidR="00C01E10">
        <w:t>,</w:t>
      </w:r>
      <w:r w:rsidR="00E35ADD">
        <w:t xml:space="preserve"> as a result</w:t>
      </w:r>
      <w:r w:rsidR="00C01E10">
        <w:t>,</w:t>
      </w:r>
      <w:r w:rsidR="00E35ADD">
        <w:t xml:space="preserve"> we cannot </w:t>
      </w:r>
      <w:r w:rsidR="00C01E10">
        <w:t xml:space="preserve">aggregate them to obtain insight on </w:t>
      </w:r>
      <w:r w:rsidR="007A7089">
        <w:t>regional</w:t>
      </w:r>
      <w:r w:rsidR="00E35ADD">
        <w:t xml:space="preserve"> shares</w:t>
      </w:r>
      <w:r w:rsidR="00575890" w:rsidRPr="00803FE7">
        <w:t>.</w:t>
      </w:r>
    </w:p>
    <w:p w14:paraId="67AB73B2" w14:textId="39A803C4" w:rsidR="00575890" w:rsidRPr="0037101A" w:rsidRDefault="005E72EC" w:rsidP="000A2E03">
      <w:pPr>
        <w:pStyle w:val="Tekstpodstawowy"/>
        <w:numPr>
          <w:ilvl w:val="0"/>
          <w:numId w:val="173"/>
        </w:numPr>
      </w:pPr>
      <w:r>
        <w:rPr>
          <w:i/>
          <w:iCs/>
        </w:rPr>
        <w:t>L</w:t>
      </w:r>
      <w:r w:rsidR="00575890" w:rsidRPr="00D53D69">
        <w:rPr>
          <w:i/>
          <w:iCs/>
        </w:rPr>
        <w:t>evel of granularity</w:t>
      </w:r>
      <w:r w:rsidR="003F1057" w:rsidRPr="00803FE7">
        <w:t>:</w:t>
      </w:r>
      <w:r w:rsidR="00575890" w:rsidRPr="00803FE7">
        <w:t xml:space="preserve"> </w:t>
      </w:r>
      <w:r w:rsidR="009C36D4">
        <w:t>Given the different drivers,</w:t>
      </w:r>
      <w:r w:rsidR="00575890" w:rsidRPr="00803FE7">
        <w:t xml:space="preserve"> we </w:t>
      </w:r>
      <w:r w:rsidR="009C36D4">
        <w:t>wanted</w:t>
      </w:r>
      <w:r w:rsidR="00575890">
        <w:t xml:space="preserve"> to </w:t>
      </w:r>
      <w:r w:rsidR="009C36D4">
        <w:t>understand</w:t>
      </w:r>
      <w:r w:rsidR="00575890">
        <w:t xml:space="preserve"> investment location for both </w:t>
      </w:r>
      <w:r w:rsidR="00575890">
        <w:rPr>
          <w:color w:val="000000" w:themeColor="text1"/>
        </w:rPr>
        <w:t>IMP</w:t>
      </w:r>
      <w:r>
        <w:rPr>
          <w:color w:val="000000" w:themeColor="text1"/>
        </w:rPr>
        <w:t>s</w:t>
      </w:r>
      <w:r w:rsidR="00575890">
        <w:rPr>
          <w:color w:val="000000" w:themeColor="text1"/>
        </w:rPr>
        <w:t xml:space="preserve"> and commercial manufacturing</w:t>
      </w:r>
      <w:r w:rsidR="00535653">
        <w:rPr>
          <w:color w:val="000000" w:themeColor="text1"/>
        </w:rPr>
        <w:t>;</w:t>
      </w:r>
      <w:r w:rsidR="00575890">
        <w:rPr>
          <w:color w:val="000000" w:themeColor="text1"/>
        </w:rPr>
        <w:t xml:space="preserve"> </w:t>
      </w:r>
      <w:r w:rsidR="009C36D4">
        <w:rPr>
          <w:color w:val="000000" w:themeColor="text1"/>
        </w:rPr>
        <w:t>however,</w:t>
      </w:r>
      <w:r w:rsidR="00575890">
        <w:rPr>
          <w:color w:val="000000" w:themeColor="text1"/>
        </w:rPr>
        <w:t xml:space="preserve"> </w:t>
      </w:r>
      <w:r w:rsidR="00535653">
        <w:rPr>
          <w:color w:val="000000" w:themeColor="text1"/>
        </w:rPr>
        <w:t>our</w:t>
      </w:r>
      <w:r w:rsidR="009C36D4">
        <w:rPr>
          <w:color w:val="000000" w:themeColor="text1"/>
        </w:rPr>
        <w:t xml:space="preserve"> sources </w:t>
      </w:r>
      <w:r w:rsidR="00535653">
        <w:rPr>
          <w:color w:val="000000" w:themeColor="text1"/>
        </w:rPr>
        <w:t xml:space="preserve">do </w:t>
      </w:r>
      <w:r w:rsidR="009C36D4">
        <w:rPr>
          <w:color w:val="000000" w:themeColor="text1"/>
        </w:rPr>
        <w:t>not typically</w:t>
      </w:r>
      <w:r w:rsidR="00575890">
        <w:rPr>
          <w:color w:val="000000" w:themeColor="text1"/>
        </w:rPr>
        <w:t xml:space="preserve"> break</w:t>
      </w:r>
      <w:r>
        <w:rPr>
          <w:color w:val="000000" w:themeColor="text1"/>
        </w:rPr>
        <w:t xml:space="preserve"> </w:t>
      </w:r>
      <w:r w:rsidR="00575890">
        <w:rPr>
          <w:color w:val="000000" w:themeColor="text1"/>
        </w:rPr>
        <w:t>down data on manufacturing investments by type</w:t>
      </w:r>
      <w:r w:rsidR="00535653">
        <w:rPr>
          <w:color w:val="000000" w:themeColor="text1"/>
        </w:rPr>
        <w:t>s</w:t>
      </w:r>
      <w:r w:rsidR="00575890">
        <w:rPr>
          <w:color w:val="000000" w:themeColor="text1"/>
        </w:rPr>
        <w:t xml:space="preserve"> of manufacturing.</w:t>
      </w:r>
      <w:r w:rsidR="00114944">
        <w:rPr>
          <w:color w:val="000000" w:themeColor="text1"/>
        </w:rPr>
        <w:t xml:space="preserve"> Similarly, the sources used did not provide a breakdown of </w:t>
      </w:r>
      <w:r w:rsidR="00EC3BBA">
        <w:rPr>
          <w:color w:val="000000" w:themeColor="text1"/>
        </w:rPr>
        <w:t>commercial product manufacturing by API manufacturing versus formulation and commercial production.</w:t>
      </w:r>
    </w:p>
    <w:p w14:paraId="7FBDA341" w14:textId="711F5013" w:rsidR="00575890" w:rsidRDefault="00575890" w:rsidP="000A2E03">
      <w:pPr>
        <w:pStyle w:val="Tekstpodstawowy"/>
        <w:numPr>
          <w:ilvl w:val="0"/>
          <w:numId w:val="173"/>
        </w:numPr>
      </w:pPr>
      <w:r w:rsidRPr="00D53D69">
        <w:rPr>
          <w:i/>
          <w:iCs/>
        </w:rPr>
        <w:t>Coverage</w:t>
      </w:r>
      <w:r>
        <w:t xml:space="preserve">: Although there are measures of investment in each </w:t>
      </w:r>
      <w:r w:rsidR="007C1CD4">
        <w:t>market</w:t>
      </w:r>
      <w:r>
        <w:t xml:space="preserve">, coverage </w:t>
      </w:r>
      <w:r w:rsidR="0049623B">
        <w:t>varies</w:t>
      </w:r>
      <w:r>
        <w:t xml:space="preserve"> for </w:t>
      </w:r>
      <w:r w:rsidR="00487A2A">
        <w:t>the</w:t>
      </w:r>
      <w:r>
        <w:t xml:space="preserve"> total pharmaceutical</w:t>
      </w:r>
      <w:r w:rsidR="00535653">
        <w:t xml:space="preserve"> </w:t>
      </w:r>
      <w:r w:rsidR="00827803">
        <w:t xml:space="preserve">and </w:t>
      </w:r>
      <w:r>
        <w:t xml:space="preserve">biotech sector. There are </w:t>
      </w:r>
      <w:r w:rsidR="004E3E83">
        <w:t>ambiguities</w:t>
      </w:r>
      <w:r w:rsidR="0049623B">
        <w:t xml:space="preserve"> </w:t>
      </w:r>
      <w:r>
        <w:t xml:space="preserve">as to whether </w:t>
      </w:r>
      <w:r w:rsidR="0030536E">
        <w:t>API production</w:t>
      </w:r>
      <w:r>
        <w:t xml:space="preserve"> </w:t>
      </w:r>
      <w:r w:rsidR="0030536E">
        <w:t xml:space="preserve">is included in this </w:t>
      </w:r>
      <w:r w:rsidR="000137E4">
        <w:t>sector</w:t>
      </w:r>
      <w:r>
        <w:t xml:space="preserve"> or </w:t>
      </w:r>
      <w:r w:rsidR="0099781D">
        <w:t>rather</w:t>
      </w:r>
      <w:r>
        <w:t xml:space="preserve"> in </w:t>
      </w:r>
      <w:r w:rsidR="000137E4">
        <w:t xml:space="preserve">the </w:t>
      </w:r>
      <w:r>
        <w:t>chemical sector statistics.</w:t>
      </w:r>
    </w:p>
    <w:p w14:paraId="5EB8842D" w14:textId="0F06BD29" w:rsidR="00DD2884" w:rsidRDefault="00880A08" w:rsidP="002472EC">
      <w:pPr>
        <w:pStyle w:val="Tekstpodstawowy"/>
      </w:pPr>
      <w:r>
        <w:t>In order to compare between regions,</w:t>
      </w:r>
      <w:r w:rsidR="009C36D4">
        <w:t xml:space="preserve"> </w:t>
      </w:r>
      <w:r w:rsidR="00575890">
        <w:t xml:space="preserve">we have therefore used the </w:t>
      </w:r>
      <w:r w:rsidR="009C36D4">
        <w:t xml:space="preserve">best </w:t>
      </w:r>
      <w:r w:rsidR="00575890">
        <w:t>data that exist</w:t>
      </w:r>
      <w:bookmarkStart w:id="74" w:name="_Ref106306217"/>
      <w:r w:rsidR="009C36D4">
        <w:t xml:space="preserve"> in the region</w:t>
      </w:r>
      <w:r w:rsidR="00981916">
        <w:rPr>
          <w:rStyle w:val="Odwoanieprzypisudolnego"/>
        </w:rPr>
        <w:footnoteReference w:id="51"/>
      </w:r>
      <w:bookmarkEnd w:id="74"/>
      <w:r w:rsidR="00575890">
        <w:t xml:space="preserve"> and accept that </w:t>
      </w:r>
      <w:r>
        <w:t>while</w:t>
      </w:r>
      <w:r w:rsidR="00575890">
        <w:t xml:space="preserve"> we cannot directly compare aggregate statistic</w:t>
      </w:r>
      <w:r>
        <w:t>s,</w:t>
      </w:r>
      <w:r w:rsidR="00B81EB3">
        <w:t xml:space="preserve"> </w:t>
      </w:r>
      <w:r w:rsidR="00575890">
        <w:t>we can compare trends.</w:t>
      </w:r>
      <w:r w:rsidR="009C36D4">
        <w:t xml:space="preserve"> </w:t>
      </w:r>
      <w:r w:rsidR="00575890">
        <w:t>If we compare</w:t>
      </w:r>
      <w:r w:rsidR="00175AC8">
        <w:t xml:space="preserve"> relative</w:t>
      </w:r>
      <w:r w:rsidR="00842117">
        <w:t xml:space="preserve"> </w:t>
      </w:r>
      <w:r w:rsidR="00B4186A">
        <w:t>patterns of growth</w:t>
      </w:r>
      <w:r w:rsidR="00842117">
        <w:t xml:space="preserve"> within each region over time</w:t>
      </w:r>
      <w:r w:rsidR="007C1CD4">
        <w:t>,</w:t>
      </w:r>
      <w:r w:rsidR="00575890">
        <w:t xml:space="preserve"> we find </w:t>
      </w:r>
      <w:r w:rsidR="00EC403E">
        <w:t xml:space="preserve">that in </w:t>
      </w:r>
      <w:r w:rsidR="00842117">
        <w:t xml:space="preserve">Europe, </w:t>
      </w:r>
      <w:r w:rsidR="00E127E4">
        <w:t xml:space="preserve">investments in pharmaceutical production </w:t>
      </w:r>
      <w:r w:rsidR="00AB2CF4">
        <w:t xml:space="preserve">have increased at an annual average rate of </w:t>
      </w:r>
      <w:r w:rsidR="00143E6F">
        <w:t>10.9</w:t>
      </w:r>
      <w:r w:rsidR="00AB2CF4">
        <w:t xml:space="preserve">% per year </w:t>
      </w:r>
      <w:r w:rsidR="00430A03">
        <w:t>(</w:t>
      </w:r>
      <w:r w:rsidR="00430A03" w:rsidRPr="000A2E03">
        <w:fldChar w:fldCharType="begin"/>
      </w:r>
      <w:r w:rsidR="00430A03">
        <w:instrText xml:space="preserve"> REF _Ref106116230 </w:instrText>
      </w:r>
      <w:r w:rsidR="00430A03" w:rsidRPr="000A2E03">
        <w:fldChar w:fldCharType="separate"/>
      </w:r>
      <w:r w:rsidR="00EC3BBA">
        <w:t xml:space="preserve">Figure </w:t>
      </w:r>
      <w:r w:rsidR="00EC3BBA">
        <w:rPr>
          <w:noProof/>
        </w:rPr>
        <w:t>6</w:t>
      </w:r>
      <w:r w:rsidR="00430A03" w:rsidRPr="000A2E03">
        <w:fldChar w:fldCharType="end"/>
      </w:r>
      <w:r w:rsidR="00AB2CF4">
        <w:t xml:space="preserve">), with a sharp notable </w:t>
      </w:r>
      <w:r w:rsidR="007C78A7">
        <w:t xml:space="preserve">decline </w:t>
      </w:r>
      <w:r w:rsidR="00AB2CF4">
        <w:t>from 2018</w:t>
      </w:r>
      <w:r w:rsidR="005E72EC">
        <w:t xml:space="preserve"> to </w:t>
      </w:r>
      <w:r w:rsidR="00AB2CF4">
        <w:t>2019</w:t>
      </w:r>
      <w:r w:rsidR="007C78A7">
        <w:t xml:space="preserve">, which potentially </w:t>
      </w:r>
      <w:r w:rsidR="005E72EC">
        <w:t xml:space="preserve">could be </w:t>
      </w:r>
      <w:r w:rsidR="007C78A7">
        <w:t xml:space="preserve">explained </w:t>
      </w:r>
      <w:r w:rsidR="0066270D">
        <w:t>b</w:t>
      </w:r>
      <w:r w:rsidR="009E4940">
        <w:t>y</w:t>
      </w:r>
      <w:r w:rsidR="0066270D">
        <w:t xml:space="preserve"> </w:t>
      </w:r>
      <w:r w:rsidR="0099155E">
        <w:t xml:space="preserve">delayed </w:t>
      </w:r>
      <w:r w:rsidR="002B1A09">
        <w:t xml:space="preserve">data </w:t>
      </w:r>
      <w:r w:rsidR="002B4428">
        <w:t>reporting to Eurostat</w:t>
      </w:r>
      <w:r w:rsidR="00AB2CF4">
        <w:t>.</w:t>
      </w:r>
      <w:r w:rsidR="00507A8D">
        <w:t xml:space="preserve"> The pattern observed in the US is </w:t>
      </w:r>
      <w:r w:rsidR="002B4428">
        <w:t>con</w:t>
      </w:r>
      <w:r w:rsidR="00D153EF">
        <w:t>stant</w:t>
      </w:r>
      <w:r w:rsidR="00D15FCB">
        <w:t>, with a</w:t>
      </w:r>
      <w:r w:rsidR="00613837">
        <w:t xml:space="preserve"> </w:t>
      </w:r>
      <w:r w:rsidR="005410B5">
        <w:t>5.1</w:t>
      </w:r>
      <w:r w:rsidR="00D15FCB">
        <w:t xml:space="preserve">% </w:t>
      </w:r>
      <w:r w:rsidR="00613837">
        <w:t xml:space="preserve">average </w:t>
      </w:r>
      <w:r w:rsidR="00667CB0">
        <w:t xml:space="preserve">annual </w:t>
      </w:r>
      <w:r w:rsidR="00D15FCB">
        <w:t>growth rate betwee</w:t>
      </w:r>
      <w:r w:rsidR="00667CB0">
        <w:t>n 2005</w:t>
      </w:r>
      <w:r w:rsidR="005E72EC">
        <w:t xml:space="preserve"> and </w:t>
      </w:r>
      <w:r w:rsidR="00667CB0">
        <w:t>20</w:t>
      </w:r>
      <w:r w:rsidR="00F7374B">
        <w:t>19</w:t>
      </w:r>
      <w:r w:rsidR="00667CB0">
        <w:t xml:space="preserve">, </w:t>
      </w:r>
      <w:r w:rsidR="00613837">
        <w:t>and</w:t>
      </w:r>
      <w:r w:rsidR="00667CB0">
        <w:t xml:space="preserve"> a </w:t>
      </w:r>
      <w:r w:rsidR="00613837">
        <w:t>sharp</w:t>
      </w:r>
      <w:r w:rsidR="00667CB0">
        <w:t xml:space="preserve"> 16% increase </w:t>
      </w:r>
      <w:r w:rsidR="00613837">
        <w:t xml:space="preserve">observed </w:t>
      </w:r>
      <w:r w:rsidR="00667CB0">
        <w:t>from 2018</w:t>
      </w:r>
      <w:r w:rsidR="005E72EC">
        <w:t xml:space="preserve"> to </w:t>
      </w:r>
      <w:r w:rsidR="00667CB0">
        <w:t>2019.</w:t>
      </w:r>
      <w:r w:rsidR="00667CB0">
        <w:rPr>
          <w:rStyle w:val="Odwoanieprzypisudolnego"/>
        </w:rPr>
        <w:footnoteReference w:id="52"/>
      </w:r>
      <w:r w:rsidR="00AB2CF4">
        <w:t xml:space="preserve"> </w:t>
      </w:r>
    </w:p>
    <w:p w14:paraId="4753E5E9" w14:textId="109378D5" w:rsidR="002472EC" w:rsidRPr="0078741F" w:rsidRDefault="008573F6" w:rsidP="002472EC">
      <w:pPr>
        <w:pStyle w:val="Tekstpodstawowy"/>
      </w:pPr>
      <w:r>
        <w:t xml:space="preserve">At the same time, </w:t>
      </w:r>
      <w:r w:rsidR="00E53178">
        <w:t xml:space="preserve">manufacturing investments in China have grown on average </w:t>
      </w:r>
      <w:r w:rsidR="0016632D">
        <w:t>19</w:t>
      </w:r>
      <w:r w:rsidR="00E53178">
        <w:t xml:space="preserve">% each year, </w:t>
      </w:r>
      <w:r w:rsidR="005E72EC">
        <w:t xml:space="preserve">a rate </w:t>
      </w:r>
      <w:r w:rsidR="00E03397">
        <w:t>significantly hi</w:t>
      </w:r>
      <w:r w:rsidR="00E76997">
        <w:t>gh</w:t>
      </w:r>
      <w:r w:rsidR="00E53178">
        <w:t>e</w:t>
      </w:r>
      <w:r w:rsidR="00E76997">
        <w:t>r</w:t>
      </w:r>
      <w:r w:rsidR="00E53178">
        <w:t xml:space="preserve"> </w:t>
      </w:r>
      <w:r w:rsidR="00240107">
        <w:t xml:space="preserve">than </w:t>
      </w:r>
      <w:r w:rsidR="005E72EC">
        <w:t xml:space="preserve">that </w:t>
      </w:r>
      <w:r w:rsidR="00E53178" w:rsidRPr="00C935F4">
        <w:t>observed in Europe</w:t>
      </w:r>
      <w:r w:rsidR="00B50C41">
        <w:t xml:space="preserve"> and the US</w:t>
      </w:r>
      <w:r w:rsidR="00E53178" w:rsidRPr="00C935F4">
        <w:t>.</w:t>
      </w:r>
      <w:r w:rsidR="007B042F" w:rsidRPr="00C935F4">
        <w:rPr>
          <w:rStyle w:val="Odwoanieprzypisudolnego"/>
        </w:rPr>
        <w:footnoteReference w:id="53"/>
      </w:r>
      <w:r w:rsidR="00E53178" w:rsidRPr="00C935F4">
        <w:t xml:space="preserve"> </w:t>
      </w:r>
      <w:r w:rsidR="00C935F4" w:rsidRPr="00C935F4">
        <w:t>This is consistent with observations in the literature</w:t>
      </w:r>
      <w:r w:rsidR="00240107">
        <w:t>,</w:t>
      </w:r>
      <w:r w:rsidR="00C935F4" w:rsidRPr="00C935F4">
        <w:t xml:space="preserve"> that</w:t>
      </w:r>
      <w:r w:rsidR="002472EC" w:rsidRPr="0078741F">
        <w:t xml:space="preserve"> </w:t>
      </w:r>
      <w:r w:rsidR="000407B2" w:rsidRPr="0078741F">
        <w:t>over the past 20 years</w:t>
      </w:r>
      <w:r w:rsidR="005E72EC">
        <w:t>,</w:t>
      </w:r>
      <w:r w:rsidR="000407B2" w:rsidRPr="0078741F">
        <w:t xml:space="preserve"> </w:t>
      </w:r>
      <w:r w:rsidR="002472EC" w:rsidRPr="0078741F">
        <w:t>industry offshoring strategies for small molecules</w:t>
      </w:r>
      <w:r w:rsidR="000407B2">
        <w:t>, and</w:t>
      </w:r>
      <w:r w:rsidR="002472EC" w:rsidRPr="0078741F">
        <w:t xml:space="preserve"> </w:t>
      </w:r>
      <w:r w:rsidR="0065547E">
        <w:t>especially for generics</w:t>
      </w:r>
      <w:r w:rsidR="000407B2">
        <w:t>,</w:t>
      </w:r>
      <w:r w:rsidR="002472EC" w:rsidRPr="0078741F">
        <w:t xml:space="preserve"> have shifted all but the most </w:t>
      </w:r>
      <w:r w:rsidR="002472EC" w:rsidRPr="0078741F">
        <w:lastRenderedPageBreak/>
        <w:t xml:space="preserve">challenging or sensitive </w:t>
      </w:r>
      <w:r w:rsidR="000407B2">
        <w:t>API</w:t>
      </w:r>
      <w:r w:rsidR="002472EC" w:rsidRPr="0078741F">
        <w:t xml:space="preserve"> manufactur</w:t>
      </w:r>
      <w:r w:rsidR="000407B2">
        <w:t>ing</w:t>
      </w:r>
      <w:r w:rsidR="002472EC" w:rsidRPr="0078741F">
        <w:t xml:space="preserve"> out of the US and Europe into </w:t>
      </w:r>
      <w:r w:rsidR="00240107">
        <w:t>jurisdictions with</w:t>
      </w:r>
      <w:r w:rsidR="002472EC" w:rsidRPr="0078741F">
        <w:t xml:space="preserve"> </w:t>
      </w:r>
      <w:r w:rsidR="002472EC" w:rsidRPr="00C935F4">
        <w:t>low</w:t>
      </w:r>
      <w:r w:rsidR="00C935F4" w:rsidRPr="00C935F4">
        <w:t>er</w:t>
      </w:r>
      <w:r w:rsidR="002472EC" w:rsidRPr="0078741F">
        <w:t xml:space="preserve"> cost</w:t>
      </w:r>
      <w:r w:rsidR="00240107">
        <w:t>s and</w:t>
      </w:r>
      <w:r w:rsidR="002472EC" w:rsidRPr="0078741F">
        <w:t xml:space="preserve"> ta</w:t>
      </w:r>
      <w:r w:rsidR="00240107">
        <w:t>xes</w:t>
      </w:r>
      <w:r w:rsidR="002472EC" w:rsidRPr="00C935F4">
        <w:t>.</w:t>
      </w:r>
      <w:r w:rsidR="009C693C" w:rsidRPr="0078741F">
        <w:rPr>
          <w:vertAlign w:val="superscript"/>
        </w:rPr>
        <w:t>,</w:t>
      </w:r>
      <w:r w:rsidR="00D5183C">
        <w:rPr>
          <w:rStyle w:val="Odwoanieprzypisudolnego"/>
        </w:rPr>
        <w:footnoteReference w:id="54"/>
      </w:r>
      <w:r w:rsidR="00450476">
        <w:rPr>
          <w:vertAlign w:val="superscript"/>
        </w:rPr>
        <w:t xml:space="preserve">, </w:t>
      </w:r>
      <w:r w:rsidR="00450476" w:rsidRPr="00B54BF4">
        <w:rPr>
          <w:rStyle w:val="Odwoanieprzypisudolnego"/>
        </w:rPr>
        <w:footnoteReference w:id="55"/>
      </w:r>
    </w:p>
    <w:p w14:paraId="1AF81A9A" w14:textId="372D816F" w:rsidR="00A670EF" w:rsidRDefault="00640A58" w:rsidP="00A55660">
      <w:pPr>
        <w:pStyle w:val="Legenda"/>
      </w:pPr>
      <w:bookmarkStart w:id="75" w:name="_Ref106116230"/>
      <w:bookmarkStart w:id="76" w:name="_Ref106303809"/>
      <w:bookmarkStart w:id="77" w:name="_Toc115717799"/>
      <w:r>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6</w:t>
      </w:r>
      <w:r w:rsidR="00F64CC5" w:rsidRPr="000A2E03">
        <w:fldChar w:fldCharType="end"/>
      </w:r>
      <w:bookmarkEnd w:id="75"/>
      <w:r>
        <w:t xml:space="preserve">: </w:t>
      </w:r>
      <w:bookmarkStart w:id="78" w:name="_Ref106303818"/>
      <w:r>
        <w:t xml:space="preserve">Relative growth in pharmaceutical manufacturing </w:t>
      </w:r>
      <w:r w:rsidR="000407B2">
        <w:t>(</w:t>
      </w:r>
      <w:r w:rsidR="0065547E">
        <w:t>incl</w:t>
      </w:r>
      <w:r w:rsidR="000407B2">
        <w:t>uding</w:t>
      </w:r>
      <w:r w:rsidR="0065547E">
        <w:t xml:space="preserve"> APIs and generics</w:t>
      </w:r>
      <w:r w:rsidR="000407B2">
        <w:t>)</w:t>
      </w:r>
      <w:r>
        <w:t xml:space="preserve"> </w:t>
      </w:r>
      <w:r w:rsidR="00CD629D">
        <w:t>is greatest in China</w:t>
      </w:r>
      <w:bookmarkEnd w:id="76"/>
      <w:bookmarkEnd w:id="78"/>
      <w:r w:rsidR="00AE346C">
        <w:rPr>
          <w:rStyle w:val="Odwoanieprzypisudolnego"/>
        </w:rPr>
        <w:footnoteReference w:id="56"/>
      </w:r>
      <w:bookmarkEnd w:id="77"/>
    </w:p>
    <w:p w14:paraId="5DF593DD" w14:textId="2B0306A7" w:rsidR="006F0A68" w:rsidRPr="00B7781E" w:rsidRDefault="00BB4745" w:rsidP="00854DEA">
      <w:pPr>
        <w:pStyle w:val="Tekstpodstawowy"/>
      </w:pPr>
      <w:r w:rsidRPr="000A2E03">
        <w:rPr>
          <w:noProof/>
        </w:rPr>
        <w:drawing>
          <wp:inline distT="0" distB="0" distL="0" distR="0" wp14:anchorId="3CFBE2B1" wp14:editId="2EBD3FB2">
            <wp:extent cx="5048250" cy="2700068"/>
            <wp:effectExtent l="0" t="0" r="0" b="5080"/>
            <wp:docPr id="28" name="Chart 28">
              <a:extLst xmlns:a="http://schemas.openxmlformats.org/drawingml/2006/main">
                <a:ext uri="{FF2B5EF4-FFF2-40B4-BE49-F238E27FC236}">
                  <a16:creationId xmlns:a16="http://schemas.microsoft.com/office/drawing/2014/main" id="{8AB43F5F-A7C0-4303-AB43-4A2E4555B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F6339" w:rsidDel="008F6339">
        <w:rPr>
          <w:noProof/>
        </w:rPr>
        <w:t xml:space="preserve"> </w:t>
      </w:r>
    </w:p>
    <w:p w14:paraId="5E4A9B6A" w14:textId="63DA5CD7" w:rsidR="001453A3" w:rsidRPr="0078741F" w:rsidRDefault="00302A58" w:rsidP="00854DEA">
      <w:pPr>
        <w:pStyle w:val="Tekstpodstawowy"/>
        <w:rPr>
          <w:sz w:val="16"/>
        </w:rPr>
      </w:pPr>
      <w:r>
        <w:rPr>
          <w:sz w:val="16"/>
          <w:szCs w:val="16"/>
        </w:rPr>
        <w:t>S</w:t>
      </w:r>
      <w:r w:rsidR="002723B9" w:rsidRPr="002723B9">
        <w:rPr>
          <w:sz w:val="16"/>
          <w:szCs w:val="16"/>
        </w:rPr>
        <w:t>ource:</w:t>
      </w:r>
      <w:r w:rsidR="009F413B" w:rsidRPr="0078741F" w:rsidDel="009F413B">
        <w:rPr>
          <w:sz w:val="16"/>
          <w:szCs w:val="16"/>
          <w:vertAlign w:val="superscript"/>
        </w:rPr>
        <w:t xml:space="preserve"> </w:t>
      </w:r>
      <w:r w:rsidR="00A94CFD">
        <w:rPr>
          <w:sz w:val="16"/>
          <w:szCs w:val="16"/>
        </w:rPr>
        <w:t>CRA</w:t>
      </w:r>
      <w:r w:rsidR="00163176">
        <w:rPr>
          <w:sz w:val="16"/>
          <w:szCs w:val="16"/>
        </w:rPr>
        <w:t xml:space="preserve"> analysis of various </w:t>
      </w:r>
      <w:r w:rsidR="00104BCB">
        <w:rPr>
          <w:sz w:val="16"/>
          <w:szCs w:val="16"/>
        </w:rPr>
        <w:t>sources</w:t>
      </w:r>
      <w:r w:rsidR="00A94CFD">
        <w:rPr>
          <w:sz w:val="16"/>
          <w:szCs w:val="16"/>
        </w:rPr>
        <w:t xml:space="preserve"> </w:t>
      </w:r>
      <w:r w:rsidR="00A94CFD">
        <w:rPr>
          <w:rStyle w:val="Odwoanieprzypisudolnego"/>
          <w:szCs w:val="16"/>
        </w:rPr>
        <w:footnoteReference w:id="57"/>
      </w:r>
      <w:r w:rsidR="00835E27">
        <w:rPr>
          <w:sz w:val="16"/>
          <w:szCs w:val="16"/>
        </w:rPr>
        <w:t xml:space="preserve"> </w:t>
      </w:r>
      <w:r w:rsidR="00B343FB">
        <w:rPr>
          <w:sz w:val="16"/>
          <w:szCs w:val="16"/>
        </w:rPr>
        <w:tab/>
      </w:r>
      <w:r w:rsidR="009C79AC">
        <w:rPr>
          <w:sz w:val="16"/>
          <w:szCs w:val="16"/>
        </w:rPr>
        <w:t xml:space="preserve">*CAGR </w:t>
      </w:r>
      <w:r w:rsidR="001B0532">
        <w:rPr>
          <w:sz w:val="16"/>
          <w:szCs w:val="16"/>
        </w:rPr>
        <w:t xml:space="preserve">(compound annual growth rate) </w:t>
      </w:r>
      <w:r w:rsidR="009C79AC">
        <w:rPr>
          <w:sz w:val="16"/>
          <w:szCs w:val="16"/>
        </w:rPr>
        <w:t xml:space="preserve">is the average rate of growth between two </w:t>
      </w:r>
      <w:r w:rsidR="001B0532">
        <w:rPr>
          <w:sz w:val="16"/>
          <w:szCs w:val="16"/>
        </w:rPr>
        <w:t xml:space="preserve">given </w:t>
      </w:r>
      <w:r w:rsidR="009C79AC">
        <w:rPr>
          <w:sz w:val="16"/>
          <w:szCs w:val="16"/>
        </w:rPr>
        <w:t>years</w:t>
      </w:r>
    </w:p>
    <w:p w14:paraId="5C0C1CCA" w14:textId="05AE1BEF" w:rsidR="00C773CF" w:rsidRPr="008D1DD8" w:rsidRDefault="00D07DF3" w:rsidP="008D1DD8">
      <w:pPr>
        <w:pStyle w:val="Tekstpodstawowy"/>
        <w:rPr>
          <w:b/>
        </w:rPr>
      </w:pPr>
      <w:r w:rsidRPr="0078741F">
        <w:t>W</w:t>
      </w:r>
      <w:r w:rsidR="0046419A">
        <w:t>e are also interested in</w:t>
      </w:r>
      <w:r w:rsidRPr="0078741F">
        <w:t xml:space="preserve"> </w:t>
      </w:r>
      <w:r>
        <w:t xml:space="preserve">manufacturing </w:t>
      </w:r>
      <w:r w:rsidR="0046419A">
        <w:t xml:space="preserve">activity </w:t>
      </w:r>
      <w:r w:rsidR="00231CEF">
        <w:t>broken down by types</w:t>
      </w:r>
      <w:r>
        <w:t xml:space="preserve"> of </w:t>
      </w:r>
      <w:r w:rsidR="00CE33A3">
        <w:t xml:space="preserve">technology, and more specifically </w:t>
      </w:r>
      <w:r w:rsidR="00B4546F">
        <w:t>the impact of</w:t>
      </w:r>
      <w:r w:rsidR="0046419A">
        <w:t xml:space="preserve"> </w:t>
      </w:r>
      <w:r w:rsidR="00C3516C">
        <w:t>new thera</w:t>
      </w:r>
      <w:r w:rsidR="00E7575C">
        <w:t xml:space="preserve">peutic solutions (using </w:t>
      </w:r>
      <w:r w:rsidR="000407B2">
        <w:t>ATMPs</w:t>
      </w:r>
      <w:r w:rsidR="00E7575C">
        <w:t xml:space="preserve"> as an example)</w:t>
      </w:r>
      <w:r w:rsidR="00B4546F">
        <w:t xml:space="preserve"> on the location of investment</w:t>
      </w:r>
      <w:r w:rsidR="0046419A">
        <w:t>.</w:t>
      </w:r>
      <w:r w:rsidR="00CE33A3">
        <w:t xml:space="preserve"> </w:t>
      </w:r>
      <w:r w:rsidR="008D1DD8">
        <w:t xml:space="preserve">Given </w:t>
      </w:r>
      <w:r w:rsidR="00231CEF">
        <w:t>the</w:t>
      </w:r>
      <w:r w:rsidR="008D1DD8">
        <w:t xml:space="preserve"> lack of </w:t>
      </w:r>
      <w:r w:rsidR="00394226">
        <w:t>granularity</w:t>
      </w:r>
      <w:r w:rsidR="008D1DD8">
        <w:t xml:space="preserve"> on investment data and </w:t>
      </w:r>
      <w:r w:rsidR="00DB074D">
        <w:t xml:space="preserve">the fact </w:t>
      </w:r>
      <w:r w:rsidR="008D1DD8">
        <w:t xml:space="preserve">that </w:t>
      </w:r>
      <w:r w:rsidR="00CB3A56">
        <w:t>ATMPs are still an emerging technology</w:t>
      </w:r>
      <w:r w:rsidR="00C20964">
        <w:t>,</w:t>
      </w:r>
      <w:r w:rsidR="0086027C">
        <w:t xml:space="preserve"> it is more informative to look at </w:t>
      </w:r>
      <w:r w:rsidR="00F75810">
        <w:t xml:space="preserve">investments in </w:t>
      </w:r>
      <w:r w:rsidR="00BF2566">
        <w:t xml:space="preserve">the </w:t>
      </w:r>
      <w:r w:rsidR="0086027C">
        <w:t xml:space="preserve">facilities capable </w:t>
      </w:r>
      <w:r w:rsidR="00BF2566">
        <w:t xml:space="preserve">of producing these products </w:t>
      </w:r>
      <w:r w:rsidR="00602434">
        <w:t>in the future</w:t>
      </w:r>
      <w:r w:rsidR="001B0532">
        <w:t>,</w:t>
      </w:r>
      <w:r w:rsidR="00602434">
        <w:t xml:space="preserve"> rather than historical investments. We observe that the US and Europe (including the UK and Switzerland)</w:t>
      </w:r>
      <w:r w:rsidR="00602434" w:rsidRPr="00151B3E">
        <w:t xml:space="preserve"> are two leading regions</w:t>
      </w:r>
      <w:r w:rsidR="00602434" w:rsidRPr="000407B2">
        <w:t xml:space="preserve"> (</w:t>
      </w:r>
      <w:r w:rsidR="00602434" w:rsidRPr="000A2E03">
        <w:rPr>
          <w:b/>
        </w:rPr>
        <w:fldChar w:fldCharType="begin"/>
      </w:r>
      <w:r w:rsidR="00602434">
        <w:rPr>
          <w:b/>
        </w:rPr>
        <w:instrText xml:space="preserve"> REF _Ref109984878 \h </w:instrText>
      </w:r>
      <w:r w:rsidR="00602434" w:rsidRPr="000A2E03">
        <w:rPr>
          <w:b/>
        </w:rPr>
      </w:r>
      <w:r w:rsidR="00602434" w:rsidRPr="000A2E03">
        <w:rPr>
          <w:b/>
        </w:rPr>
        <w:fldChar w:fldCharType="separate"/>
      </w:r>
      <w:r w:rsidR="00602434" w:rsidRPr="00D53D69">
        <w:t xml:space="preserve">Figure </w:t>
      </w:r>
      <w:r w:rsidR="00602434">
        <w:rPr>
          <w:noProof/>
        </w:rPr>
        <w:t>7</w:t>
      </w:r>
      <w:r w:rsidR="00602434" w:rsidRPr="000A2E03">
        <w:rPr>
          <w:b/>
        </w:rPr>
        <w:fldChar w:fldCharType="end"/>
      </w:r>
      <w:r w:rsidR="00602434" w:rsidRPr="00151B3E">
        <w:t>)</w:t>
      </w:r>
      <w:r w:rsidR="00602434">
        <w:t xml:space="preserve">, and that China has </w:t>
      </w:r>
      <w:r w:rsidR="003C6988">
        <w:t xml:space="preserve">relatively </w:t>
      </w:r>
      <w:r w:rsidR="00602434">
        <w:t>far fewer production facilities</w:t>
      </w:r>
      <w:r w:rsidR="00602434" w:rsidRPr="00151B3E">
        <w:t>.</w:t>
      </w:r>
    </w:p>
    <w:p w14:paraId="20FF1942" w14:textId="73349628" w:rsidR="008C5472" w:rsidRDefault="00C8641A" w:rsidP="008D1DD8">
      <w:pPr>
        <w:pStyle w:val="Legenda"/>
        <w:rPr>
          <w:color w:val="FF0000"/>
        </w:rPr>
      </w:pPr>
      <w:bookmarkStart w:id="79" w:name="_Ref109984878"/>
      <w:bookmarkStart w:id="80" w:name="_Ref109850855"/>
      <w:bookmarkStart w:id="81" w:name="_Ref106302201"/>
      <w:bookmarkStart w:id="82" w:name="_Toc115717800"/>
      <w:r w:rsidRPr="00D53D69">
        <w:lastRenderedPageBreak/>
        <w:t xml:space="preserve">Figure </w:t>
      </w:r>
      <w:r w:rsidR="00F64CC5" w:rsidRPr="000A2E03">
        <w:rPr>
          <w:b w:val="0"/>
        </w:rPr>
        <w:fldChar w:fldCharType="begin"/>
      </w:r>
      <w:r w:rsidR="00F64CC5">
        <w:instrText xml:space="preserve"> SEQ Figure \* ARABIC </w:instrText>
      </w:r>
      <w:r w:rsidR="00F64CC5" w:rsidRPr="000A2E03">
        <w:rPr>
          <w:b w:val="0"/>
        </w:rPr>
        <w:fldChar w:fldCharType="separate"/>
      </w:r>
      <w:r w:rsidR="00F64CC5">
        <w:rPr>
          <w:noProof/>
        </w:rPr>
        <w:t>7</w:t>
      </w:r>
      <w:r w:rsidR="00F64CC5" w:rsidRPr="000A2E03">
        <w:rPr>
          <w:b w:val="0"/>
        </w:rPr>
        <w:fldChar w:fldCharType="end"/>
      </w:r>
      <w:bookmarkEnd w:id="79"/>
      <w:bookmarkEnd w:id="80"/>
      <w:bookmarkEnd w:id="81"/>
      <w:r w:rsidRPr="00D53D69">
        <w:t>:</w:t>
      </w:r>
      <w:r w:rsidRPr="000407B2">
        <w:t xml:space="preserve"> </w:t>
      </w:r>
      <w:r w:rsidR="00CD629D">
        <w:t>The n</w:t>
      </w:r>
      <w:r w:rsidRPr="000407B2">
        <w:t>umber</w:t>
      </w:r>
      <w:r w:rsidRPr="00703FBB">
        <w:t xml:space="preserve"> of facilities </w:t>
      </w:r>
      <w:r w:rsidR="00DD0663">
        <w:t xml:space="preserve">capable </w:t>
      </w:r>
      <w:r w:rsidR="0054300E">
        <w:t xml:space="preserve">of </w:t>
      </w:r>
      <w:r w:rsidR="00DD0663">
        <w:t>produc</w:t>
      </w:r>
      <w:r w:rsidR="0054300E">
        <w:t>ing</w:t>
      </w:r>
      <w:r w:rsidR="00DD0663">
        <w:t xml:space="preserve"> </w:t>
      </w:r>
      <w:r w:rsidR="0065547E">
        <w:t>ATMPs</w:t>
      </w:r>
      <w:r w:rsidR="00432D77">
        <w:t xml:space="preserve"> is highest in the US</w:t>
      </w:r>
      <w:bookmarkEnd w:id="82"/>
    </w:p>
    <w:p w14:paraId="7194D32B" w14:textId="7897D800" w:rsidR="004A3EF9" w:rsidRDefault="004A3EF9" w:rsidP="00854DEA">
      <w:pPr>
        <w:pStyle w:val="Tekstpodstawowy"/>
        <w:rPr>
          <w:sz w:val="16"/>
          <w:szCs w:val="16"/>
        </w:rPr>
      </w:pPr>
      <w:r w:rsidRPr="000A2E03">
        <w:rPr>
          <w:noProof/>
        </w:rPr>
        <w:drawing>
          <wp:inline distT="0" distB="0" distL="0" distR="0" wp14:anchorId="74467A86" wp14:editId="734ED252">
            <wp:extent cx="5049078" cy="2238375"/>
            <wp:effectExtent l="0" t="0" r="18415" b="9525"/>
            <wp:docPr id="13" name="Chart 13">
              <a:extLst xmlns:a="http://schemas.openxmlformats.org/drawingml/2006/main">
                <a:ext uri="{FF2B5EF4-FFF2-40B4-BE49-F238E27FC236}">
                  <a16:creationId xmlns:a16="http://schemas.microsoft.com/office/drawing/2014/main" id="{24BD5D9E-B04F-4A21-94A0-39D48E47C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EB141D" w14:textId="518E3E31" w:rsidR="00CF077A" w:rsidRPr="00F5714A" w:rsidRDefault="00CE1FD4" w:rsidP="00854DEA">
      <w:pPr>
        <w:pStyle w:val="Tekstpodstawowy"/>
        <w:rPr>
          <w:sz w:val="16"/>
          <w:szCs w:val="16"/>
        </w:rPr>
      </w:pPr>
      <w:r w:rsidRPr="00F5714A">
        <w:rPr>
          <w:sz w:val="16"/>
          <w:szCs w:val="16"/>
        </w:rPr>
        <w:t>Source</w:t>
      </w:r>
      <w:r w:rsidR="008B58E8">
        <w:rPr>
          <w:sz w:val="16"/>
          <w:szCs w:val="16"/>
        </w:rPr>
        <w:t>:</w:t>
      </w:r>
      <w:r w:rsidRPr="00F5714A">
        <w:rPr>
          <w:sz w:val="16"/>
          <w:szCs w:val="16"/>
        </w:rPr>
        <w:t xml:space="preserve"> </w:t>
      </w:r>
      <w:proofErr w:type="spellStart"/>
      <w:r w:rsidR="00A43DB3">
        <w:rPr>
          <w:sz w:val="16"/>
          <w:szCs w:val="16"/>
        </w:rPr>
        <w:t>GlobalData</w:t>
      </w:r>
      <w:proofErr w:type="spellEnd"/>
      <w:r w:rsidR="007B2B2C">
        <w:rPr>
          <w:sz w:val="16"/>
          <w:szCs w:val="16"/>
        </w:rPr>
        <w:t xml:space="preserve"> [as of June 2022]</w:t>
      </w:r>
    </w:p>
    <w:p w14:paraId="1A9E68F5" w14:textId="6C5B9805" w:rsidR="00ED3D0C" w:rsidRDefault="00ED3D0C" w:rsidP="00F5714A">
      <w:pPr>
        <w:pStyle w:val="Nagwek2"/>
      </w:pPr>
      <w:bookmarkStart w:id="83" w:name="_Toc106382040"/>
      <w:bookmarkStart w:id="84" w:name="_Toc106382041"/>
      <w:bookmarkStart w:id="85" w:name="_Toc106382042"/>
      <w:bookmarkStart w:id="86" w:name="_Toc115717782"/>
      <w:bookmarkStart w:id="87" w:name="_Toc106104529"/>
      <w:bookmarkEnd w:id="83"/>
      <w:bookmarkEnd w:id="84"/>
      <w:bookmarkEnd w:id="85"/>
      <w:r>
        <w:t xml:space="preserve">Foreign direct </w:t>
      </w:r>
      <w:r w:rsidRPr="004E6218">
        <w:t>investment</w:t>
      </w:r>
      <w:r w:rsidR="000F21A2" w:rsidRPr="004E6218">
        <w:t xml:space="preserve"> </w:t>
      </w:r>
      <w:r w:rsidR="000F21A2" w:rsidRPr="00446C7D">
        <w:t>and exports</w:t>
      </w:r>
      <w:bookmarkEnd w:id="86"/>
    </w:p>
    <w:p w14:paraId="4A2D4789" w14:textId="719FF437" w:rsidR="00ED3D0C" w:rsidRDefault="00596D76" w:rsidP="00ED3D0C">
      <w:pPr>
        <w:pStyle w:val="Tekstpodstawowy"/>
      </w:pPr>
      <w:r>
        <w:t xml:space="preserve">Another </w:t>
      </w:r>
      <w:r w:rsidR="000E798F">
        <w:t>perspective on</w:t>
      </w:r>
      <w:r>
        <w:t xml:space="preserve"> investment is to look at foreign direct investment</w:t>
      </w:r>
      <w:r w:rsidR="00883CD4">
        <w:t>s</w:t>
      </w:r>
      <w:r w:rsidR="0078741F">
        <w:t xml:space="preserve"> </w:t>
      </w:r>
      <w:r w:rsidR="007C7E49">
        <w:t>(FDI)</w:t>
      </w:r>
      <w:r w:rsidR="00010D70">
        <w:t xml:space="preserve">, which are made </w:t>
      </w:r>
      <w:r w:rsidR="008B58E8">
        <w:t xml:space="preserve">by </w:t>
      </w:r>
      <w:r w:rsidR="0078741F">
        <w:t>entities outside of the country</w:t>
      </w:r>
      <w:r>
        <w:t xml:space="preserve">. </w:t>
      </w:r>
      <w:r w:rsidR="00ED3D0C" w:rsidRPr="00F5714A">
        <w:t xml:space="preserve">There are annual reports that apply a range of sophisticated methodologies based upon </w:t>
      </w:r>
      <w:r w:rsidR="007C7E49">
        <w:t>FDI</w:t>
      </w:r>
      <w:r w:rsidR="00ED3D0C" w:rsidRPr="00F5714A">
        <w:t xml:space="preserve"> data, surveys, and numerous social, technological, and economic indices to </w:t>
      </w:r>
      <w:r w:rsidR="00A254F3">
        <w:t>compare</w:t>
      </w:r>
      <w:r w:rsidR="00626F8F" w:rsidRPr="00F5714A">
        <w:t xml:space="preserve"> </w:t>
      </w:r>
      <w:r w:rsidR="00ED3D0C" w:rsidRPr="00F5714A">
        <w:t>countries. In the 2019 World Economic Forum (WEF) Global Competitiveness Report, the key output is summari</w:t>
      </w:r>
      <w:r w:rsidR="00FD23A8">
        <w:t>sed</w:t>
      </w:r>
      <w:r w:rsidR="00ED3D0C" w:rsidRPr="00F5714A">
        <w:t xml:space="preserve"> in the form of a table ranking the Global Competitiveness of national economies.</w:t>
      </w:r>
      <w:r w:rsidR="00ED3D0C" w:rsidRPr="00F5714A">
        <w:rPr>
          <w:rStyle w:val="Odwoanieprzypisudolnego"/>
        </w:rPr>
        <w:footnoteReference w:id="58"/>
      </w:r>
      <w:r w:rsidR="00ED3D0C" w:rsidRPr="00F5714A">
        <w:t xml:space="preserve"> The first conclusion to be drawn from this analysis might be that size does not matter. The top </w:t>
      </w:r>
      <w:r w:rsidR="008B58E8">
        <w:t xml:space="preserve">10 </w:t>
      </w:r>
      <w:r w:rsidR="00ED3D0C" w:rsidRPr="00F5714A">
        <w:t>countries in rank order are: Singapore, the US, Hong Kong, the Netherlands, Switzerland, Japan, Germany, Sweden, the UK, and Denmark</w:t>
      </w:r>
      <w:r w:rsidR="00D52D50">
        <w:t>.</w:t>
      </w:r>
      <w:r w:rsidR="00ED3D0C" w:rsidRPr="00F5714A">
        <w:t xml:space="preserve"> </w:t>
      </w:r>
      <w:r w:rsidR="00D52D50">
        <w:t>H</w:t>
      </w:r>
      <w:r w:rsidR="00ED3D0C" w:rsidRPr="00F5714A">
        <w:t>owever, this is non-specific to pharmaceutical industry investment</w:t>
      </w:r>
      <w:r w:rsidR="00457F84">
        <w:t>, as these reports typically do not break down data by industry</w:t>
      </w:r>
      <w:r w:rsidR="00ED3D0C" w:rsidRPr="00F5714A">
        <w:t>.</w:t>
      </w:r>
    </w:p>
    <w:p w14:paraId="461E3462" w14:textId="2068D9DE" w:rsidR="00ED3D0C" w:rsidRDefault="00446C7D" w:rsidP="00ED3D0C">
      <w:pPr>
        <w:pStyle w:val="Tekstpodstawowy"/>
      </w:pPr>
      <w:r>
        <w:t>E</w:t>
      </w:r>
      <w:r w:rsidR="000C3C7E">
        <w:t xml:space="preserve">vidence </w:t>
      </w:r>
      <w:r w:rsidR="00AB0CC2">
        <w:t xml:space="preserve">for the pharmaceutical industry shows a similar pattern. </w:t>
      </w:r>
      <w:r w:rsidR="00C96B0E">
        <w:t xml:space="preserve">Between </w:t>
      </w:r>
      <w:r w:rsidR="004309AD">
        <w:t xml:space="preserve">January </w:t>
      </w:r>
      <w:r w:rsidR="00C96B0E">
        <w:t xml:space="preserve">2014 and </w:t>
      </w:r>
      <w:r w:rsidR="004309AD">
        <w:t>December</w:t>
      </w:r>
      <w:r w:rsidR="00C96B0E">
        <w:t xml:space="preserve"> 2019</w:t>
      </w:r>
      <w:r w:rsidR="008D5C69">
        <w:t xml:space="preserve">, </w:t>
      </w:r>
      <w:r w:rsidR="007A0C53">
        <w:t>W</w:t>
      </w:r>
      <w:r w:rsidR="00E625AB">
        <w:t xml:space="preserve">estern Europe </w:t>
      </w:r>
      <w:r w:rsidR="00BE523A">
        <w:t>received</w:t>
      </w:r>
      <w:r w:rsidR="00080A9B">
        <w:t xml:space="preserve"> more than a third (</w:t>
      </w:r>
      <w:r w:rsidR="00BC63EC">
        <w:t xml:space="preserve">36.12%) of all global pharmaceutical investments, with </w:t>
      </w:r>
      <w:r w:rsidR="00D336DE">
        <w:t xml:space="preserve">the UK attracting </w:t>
      </w:r>
      <w:r w:rsidR="00C364B6">
        <w:t xml:space="preserve">the </w:t>
      </w:r>
      <w:r w:rsidR="009230CA">
        <w:t xml:space="preserve">most </w:t>
      </w:r>
      <w:r w:rsidR="00247809">
        <w:t>FDI projects</w:t>
      </w:r>
      <w:r w:rsidR="00F72E15">
        <w:t xml:space="preserve"> </w:t>
      </w:r>
      <w:r w:rsidR="00023A71">
        <w:t>(22.12%)</w:t>
      </w:r>
      <w:r w:rsidR="00247809">
        <w:t xml:space="preserve">, followed by Germany </w:t>
      </w:r>
      <w:r w:rsidR="00080A9B">
        <w:t>(</w:t>
      </w:r>
      <w:r w:rsidR="005F559C">
        <w:t xml:space="preserve">17.37%) and </w:t>
      </w:r>
      <w:r w:rsidR="00396C71">
        <w:t xml:space="preserve">France (11.7%). </w:t>
      </w:r>
      <w:r w:rsidR="00ED3D0C">
        <w:t>In 2020, most sectors saw a decline in FDI as a result of the COVID-19 pandemic, including the pharmaceutical industry.</w:t>
      </w:r>
      <w:r w:rsidR="00ED3D0C" w:rsidRPr="00446C7D">
        <w:t xml:space="preserve"> </w:t>
      </w:r>
      <w:r w:rsidR="00ED3D0C">
        <w:t xml:space="preserve">Interestingly, Western Europe emerged as the leading region for attracting </w:t>
      </w:r>
      <w:r w:rsidR="00ED3D0C" w:rsidRPr="0068767B">
        <w:t xml:space="preserve">FDI </w:t>
      </w:r>
      <w:r w:rsidR="00ED3D0C">
        <w:t>in 2020, with an increase in greenfield FDI projects from 2019</w:t>
      </w:r>
      <w:r w:rsidR="009D0C71">
        <w:t>,</w:t>
      </w:r>
      <w:r w:rsidR="00ED3D0C">
        <w:t xml:space="preserve"> </w:t>
      </w:r>
      <w:r w:rsidR="006E069A">
        <w:t>while</w:t>
      </w:r>
      <w:r w:rsidR="00ED3D0C">
        <w:t xml:space="preserve"> Asia-Pacific and North America saw a decrease.</w:t>
      </w:r>
      <w:bookmarkStart w:id="88" w:name="_Ref106305009"/>
      <w:r w:rsidR="00ED3D0C">
        <w:rPr>
          <w:rStyle w:val="Odwoanieprzypisudolnego"/>
        </w:rPr>
        <w:footnoteReference w:id="59"/>
      </w:r>
      <w:bookmarkEnd w:id="88"/>
      <w:r w:rsidR="00ED3D0C">
        <w:t xml:space="preserve"> However, when looking at individual countries rather than regional aggregates, the US stands out as a clear leader (</w:t>
      </w:r>
      <w:r w:rsidR="000E3E1B" w:rsidRPr="000A2E03">
        <w:fldChar w:fldCharType="begin"/>
      </w:r>
      <w:r w:rsidR="000E3E1B">
        <w:instrText xml:space="preserve"> REF _Ref106301911 \h </w:instrText>
      </w:r>
      <w:r w:rsidR="000E3E1B" w:rsidRPr="000A2E03">
        <w:fldChar w:fldCharType="separate"/>
      </w:r>
      <w:r w:rsidR="00151B3E">
        <w:t xml:space="preserve">Figure </w:t>
      </w:r>
      <w:r w:rsidR="00151B3E">
        <w:rPr>
          <w:noProof/>
        </w:rPr>
        <w:t>8</w:t>
      </w:r>
      <w:r w:rsidR="000E3E1B" w:rsidRPr="000A2E03">
        <w:fldChar w:fldCharType="end"/>
      </w:r>
      <w:r w:rsidR="00ED3D0C" w:rsidRPr="000A2E03">
        <w:fldChar w:fldCharType="begin"/>
      </w:r>
      <w:r w:rsidR="00ED3D0C">
        <w:instrText xml:space="preserve"> REF _Ref106182456 \h </w:instrText>
      </w:r>
      <w:r w:rsidR="000F0501">
        <w:fldChar w:fldCharType="separate"/>
      </w:r>
      <w:r w:rsidR="00ED3D0C" w:rsidRPr="000A2E03">
        <w:fldChar w:fldCharType="end"/>
      </w:r>
      <w:r w:rsidR="00ED3D0C">
        <w:t xml:space="preserve">). Notably, most of </w:t>
      </w:r>
      <w:r w:rsidR="00ED3D0C" w:rsidRPr="00284145">
        <w:rPr>
          <w:rFonts w:cs="Arial"/>
        </w:rPr>
        <w:t>the 92 FDI projects in the US in 2020 came from European-based companies (Germany: 20, UK: 18,</w:t>
      </w:r>
      <w:r w:rsidR="00ED3D0C">
        <w:t xml:space="preserve"> Switzerland: 10). </w:t>
      </w:r>
    </w:p>
    <w:p w14:paraId="0FCC68F3" w14:textId="18435B76" w:rsidR="00ED3D0C" w:rsidRDefault="00ED3D0C" w:rsidP="00ED3D0C">
      <w:pPr>
        <w:pStyle w:val="Legenda"/>
      </w:pPr>
      <w:bookmarkStart w:id="89" w:name="_Ref106301911"/>
      <w:bookmarkStart w:id="90" w:name="_Toc115717801"/>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8</w:t>
      </w:r>
      <w:r w:rsidR="00F64CC5" w:rsidRPr="000A2E03">
        <w:fldChar w:fldCharType="end"/>
      </w:r>
      <w:bookmarkEnd w:id="89"/>
      <w:r>
        <w:t xml:space="preserve">: </w:t>
      </w:r>
      <w:r w:rsidR="00432D77">
        <w:t>Europe as a region still attracts more</w:t>
      </w:r>
      <w:r w:rsidR="00B42E97">
        <w:t xml:space="preserve"> pharmaceutical</w:t>
      </w:r>
      <w:r>
        <w:t xml:space="preserve"> greenfield FDI projects </w:t>
      </w:r>
      <w:r w:rsidR="00432D77">
        <w:t>than the US or China</w:t>
      </w:r>
      <w:bookmarkEnd w:id="90"/>
    </w:p>
    <w:p w14:paraId="2FE2E17C" w14:textId="77777777" w:rsidR="00ED3D0C" w:rsidRDefault="00ED3D0C" w:rsidP="00ED3D0C">
      <w:pPr>
        <w:pStyle w:val="Tekstpodstawowy"/>
      </w:pPr>
      <w:r w:rsidRPr="000A2E03">
        <w:rPr>
          <w:noProof/>
        </w:rPr>
        <w:drawing>
          <wp:inline distT="0" distB="0" distL="0" distR="0" wp14:anchorId="372FA4D0" wp14:editId="286EC121">
            <wp:extent cx="5048250" cy="2099144"/>
            <wp:effectExtent l="0" t="0" r="0" b="158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F11628" w14:textId="244D881C" w:rsidR="00ED3D0C" w:rsidRDefault="00ED3D0C" w:rsidP="00ED3D0C">
      <w:pPr>
        <w:pStyle w:val="Tekstpodstawowy"/>
        <w:rPr>
          <w:sz w:val="16"/>
          <w:szCs w:val="16"/>
          <w:vertAlign w:val="superscript"/>
        </w:rPr>
      </w:pPr>
      <w:r>
        <w:rPr>
          <w:sz w:val="16"/>
          <w:szCs w:val="16"/>
        </w:rPr>
        <w:t xml:space="preserve">Source: </w:t>
      </w:r>
      <w:r w:rsidRPr="008F0D4D">
        <w:rPr>
          <w:sz w:val="16"/>
          <w:szCs w:val="16"/>
        </w:rPr>
        <w:t>Adapted from</w:t>
      </w:r>
      <w:r>
        <w:rPr>
          <w:sz w:val="16"/>
          <w:szCs w:val="16"/>
        </w:rPr>
        <w:t xml:space="preserve"> </w:t>
      </w:r>
      <w:proofErr w:type="spellStart"/>
      <w:r w:rsidRPr="00B372EB">
        <w:rPr>
          <w:sz w:val="16"/>
          <w:szCs w:val="16"/>
        </w:rPr>
        <w:t>Karadima</w:t>
      </w:r>
      <w:proofErr w:type="spellEnd"/>
      <w:r w:rsidRPr="00B372EB">
        <w:rPr>
          <w:sz w:val="16"/>
          <w:szCs w:val="16"/>
        </w:rPr>
        <w:t>, S. (2022)</w:t>
      </w:r>
      <w:r w:rsidR="00AB0CC2">
        <w:rPr>
          <w:rStyle w:val="Odwoanieprzypisudolnego"/>
          <w:szCs w:val="16"/>
        </w:rPr>
        <w:footnoteReference w:id="60"/>
      </w:r>
      <w:r w:rsidR="00AB0CC2" w:rsidRPr="008F0D4D" w:rsidDel="00AB0CC2">
        <w:rPr>
          <w:sz w:val="16"/>
          <w:szCs w:val="16"/>
          <w:vertAlign w:val="superscript"/>
        </w:rPr>
        <w:t xml:space="preserve"> </w:t>
      </w:r>
    </w:p>
    <w:p w14:paraId="1F6104DB" w14:textId="544BFFB0" w:rsidR="0006446B" w:rsidRPr="009E6410" w:rsidRDefault="00D52D50" w:rsidP="00ED3D0C">
      <w:pPr>
        <w:pStyle w:val="Tekstpodstawowy"/>
        <w:rPr>
          <w:vertAlign w:val="superscript"/>
        </w:rPr>
      </w:pPr>
      <w:r>
        <w:t>When separating</w:t>
      </w:r>
      <w:r w:rsidR="00ED3D0C">
        <w:t xml:space="preserve"> the FDI data by business function, the ranking of countries changes: China was </w:t>
      </w:r>
      <w:r w:rsidR="00ED3D0C" w:rsidRPr="009E6410">
        <w:t>the leading destination in 2020 for R&amp;D.</w:t>
      </w:r>
      <w:r w:rsidR="00666A8E" w:rsidRPr="009E6410" w:rsidDel="00666A8E">
        <w:rPr>
          <w:vertAlign w:val="superscript"/>
        </w:rPr>
        <w:t xml:space="preserve"> </w:t>
      </w:r>
    </w:p>
    <w:p w14:paraId="4903EAEB" w14:textId="717AE519" w:rsidR="00A46964" w:rsidRDefault="00446C7D" w:rsidP="00ED3D0C">
      <w:pPr>
        <w:pStyle w:val="Tekstpodstawowy"/>
        <w:rPr>
          <w:vertAlign w:val="superscript"/>
        </w:rPr>
      </w:pPr>
      <w:r w:rsidRPr="009E6410">
        <w:t>A final way to look at location is to look at trade. This is clearly a proxy</w:t>
      </w:r>
      <w:r w:rsidR="00D52D50">
        <w:t xml:space="preserve">; </w:t>
      </w:r>
      <w:r w:rsidR="00FF5373">
        <w:t>while</w:t>
      </w:r>
      <w:r w:rsidRPr="009E6410">
        <w:t xml:space="preserve"> we might expect countries attracting considerabl</w:t>
      </w:r>
      <w:r w:rsidR="00F919B4">
        <w:t>e</w:t>
      </w:r>
      <w:r w:rsidRPr="009E6410">
        <w:t xml:space="preserve"> investment to export to other markets, </w:t>
      </w:r>
      <w:r w:rsidR="00FF5373">
        <w:t>in reality</w:t>
      </w:r>
      <w:r w:rsidRPr="009E6410">
        <w:t xml:space="preserve">, </w:t>
      </w:r>
      <w:r w:rsidR="00936ED2" w:rsidRPr="009E6410">
        <w:t xml:space="preserve">large regions that </w:t>
      </w:r>
      <w:r w:rsidR="00FF5373">
        <w:t>are</w:t>
      </w:r>
      <w:r w:rsidR="00936ED2" w:rsidRPr="009E6410">
        <w:t xml:space="preserve"> </w:t>
      </w:r>
      <w:r w:rsidR="00FF5373">
        <w:t>mostly</w:t>
      </w:r>
      <w:r w:rsidR="00FF5373" w:rsidRPr="009E6410">
        <w:t xml:space="preserve"> </w:t>
      </w:r>
      <w:r w:rsidR="00936ED2" w:rsidRPr="009E6410">
        <w:t xml:space="preserve">self-sufficient may have higher levels of investments. </w:t>
      </w:r>
      <w:r w:rsidR="0006446B" w:rsidRPr="009E6410">
        <w:t xml:space="preserve">In terms of trade, EU exports and imports </w:t>
      </w:r>
      <w:r w:rsidR="00230268" w:rsidRPr="009E6410">
        <w:t>of</w:t>
      </w:r>
      <w:r w:rsidR="0006446B" w:rsidRPr="009E6410">
        <w:t xml:space="preserve"> medicinal and pharmaceutical products grew between 2</w:t>
      </w:r>
      <w:r w:rsidR="00347855" w:rsidRPr="009E6410">
        <w:t>010</w:t>
      </w:r>
      <w:r w:rsidR="0006446B" w:rsidRPr="009E6410">
        <w:t xml:space="preserve"> and 2021, </w:t>
      </w:r>
      <w:r w:rsidR="007D46E3">
        <w:t xml:space="preserve">with </w:t>
      </w:r>
      <w:r w:rsidR="00752573">
        <w:t xml:space="preserve">the </w:t>
      </w:r>
      <w:r w:rsidR="007D46E3">
        <w:t xml:space="preserve">net </w:t>
      </w:r>
      <w:r w:rsidR="00392A59">
        <w:t xml:space="preserve">combined </w:t>
      </w:r>
      <w:r w:rsidR="00752573">
        <w:t xml:space="preserve">exports of the </w:t>
      </w:r>
      <w:r w:rsidR="00392A59">
        <w:t xml:space="preserve">EU, </w:t>
      </w:r>
      <w:r w:rsidR="00752573">
        <w:t xml:space="preserve">the </w:t>
      </w:r>
      <w:r w:rsidR="00392A59">
        <w:t xml:space="preserve">UK and </w:t>
      </w:r>
      <w:r w:rsidR="00752573">
        <w:t>Switzerland (</w:t>
      </w:r>
      <w:r w:rsidR="00392A59">
        <w:t>CH</w:t>
      </w:r>
      <w:r w:rsidR="00752573">
        <w:t>)</w:t>
      </w:r>
      <w:r w:rsidR="007D46E3">
        <w:t xml:space="preserve"> </w:t>
      </w:r>
      <w:r w:rsidR="0006446B" w:rsidRPr="009E6410">
        <w:t>reaching €2</w:t>
      </w:r>
      <w:r w:rsidR="00392A59">
        <w:t>81</w:t>
      </w:r>
      <w:r w:rsidR="0006446B" w:rsidRPr="009E6410">
        <w:t xml:space="preserve"> billion in 2021.</w:t>
      </w:r>
      <w:r w:rsidR="00B84A19" w:rsidRPr="009E6410">
        <w:t xml:space="preserve"> </w:t>
      </w:r>
      <w:r w:rsidR="00303B21" w:rsidRPr="009E6410">
        <w:t>Looking at the total value of pharmaceutical</w:t>
      </w:r>
      <w:r w:rsidR="00B84A19" w:rsidRPr="009E6410">
        <w:t xml:space="preserve"> </w:t>
      </w:r>
      <w:r w:rsidR="00EC163C" w:rsidRPr="009E6410">
        <w:t>exports from major markets (</w:t>
      </w:r>
      <w:r w:rsidR="00176E5A">
        <w:t>EU</w:t>
      </w:r>
      <w:r w:rsidR="00EC163C" w:rsidRPr="009E6410">
        <w:t xml:space="preserve">, US, China, Japan), this represents </w:t>
      </w:r>
      <w:r w:rsidR="00303B21" w:rsidRPr="009E6410">
        <w:t xml:space="preserve">a </w:t>
      </w:r>
      <w:r w:rsidR="00FA64AC">
        <w:t>78</w:t>
      </w:r>
      <w:r w:rsidR="00303B21" w:rsidRPr="009E6410">
        <w:t>% share</w:t>
      </w:r>
      <w:r w:rsidR="009E6410">
        <w:t xml:space="preserve"> (</w:t>
      </w:r>
      <w:r w:rsidR="009E6410" w:rsidRPr="000A2E03">
        <w:fldChar w:fldCharType="begin"/>
      </w:r>
      <w:r w:rsidR="009E6410">
        <w:instrText xml:space="preserve"> REF _Ref109986368 \h </w:instrText>
      </w:r>
      <w:r w:rsidR="009E6410" w:rsidRPr="000A2E03">
        <w:fldChar w:fldCharType="separate"/>
      </w:r>
      <w:r w:rsidR="009E6410">
        <w:t xml:space="preserve">Figure </w:t>
      </w:r>
      <w:r w:rsidR="009E6410">
        <w:rPr>
          <w:noProof/>
        </w:rPr>
        <w:t>9</w:t>
      </w:r>
      <w:r w:rsidR="009E6410" w:rsidRPr="000A2E03">
        <w:fldChar w:fldCharType="end"/>
      </w:r>
      <w:r w:rsidR="009E6410">
        <w:t>)</w:t>
      </w:r>
      <w:r w:rsidR="00303B21" w:rsidRPr="009E6410">
        <w:t>.</w:t>
      </w:r>
      <w:r w:rsidR="00E63A82" w:rsidRPr="009E6410">
        <w:t xml:space="preserve"> This share has remained relatively stable over time.</w:t>
      </w:r>
      <w:r w:rsidR="0006446B" w:rsidRPr="009E6410">
        <w:t xml:space="preserve"> Even the</w:t>
      </w:r>
      <w:r w:rsidR="000F266B" w:rsidRPr="009E6410">
        <w:t xml:space="preserve"> COVID-19</w:t>
      </w:r>
      <w:r w:rsidR="00B806E1">
        <w:t xml:space="preserve"> pandemic</w:t>
      </w:r>
      <w:r w:rsidR="0006446B" w:rsidRPr="009E6410">
        <w:t>, which affected trade in many other products, did not cause a fall in exports or imports</w:t>
      </w:r>
      <w:r w:rsidR="005742B7">
        <w:t xml:space="preserve"> of medicinal and pharmaceutical products</w:t>
      </w:r>
      <w:r w:rsidR="00023FCD">
        <w:t>. W</w:t>
      </w:r>
      <w:r w:rsidR="00054F26" w:rsidRPr="009E6410">
        <w:t>hen compared to other regions, t</w:t>
      </w:r>
      <w:r w:rsidR="00463432" w:rsidRPr="009E6410">
        <w:t>he EU</w:t>
      </w:r>
      <w:r w:rsidR="00F722A2" w:rsidRPr="009E6410">
        <w:t xml:space="preserve"> </w:t>
      </w:r>
      <w:r w:rsidR="001D1822" w:rsidRPr="009E6410">
        <w:t>is by far the largest</w:t>
      </w:r>
      <w:r w:rsidR="00C83A26" w:rsidRPr="009E6410">
        <w:t xml:space="preserve"> </w:t>
      </w:r>
      <w:r w:rsidR="00493509" w:rsidRPr="009E6410">
        <w:t xml:space="preserve">exporter </w:t>
      </w:r>
      <w:r w:rsidR="00C57B35">
        <w:t xml:space="preserve">of </w:t>
      </w:r>
      <w:r w:rsidR="00B423A0">
        <w:t>such products</w:t>
      </w:r>
      <w:r w:rsidR="0006446B" w:rsidRPr="009E6410">
        <w:t>.</w:t>
      </w:r>
    </w:p>
    <w:p w14:paraId="2A0138D3" w14:textId="31577A8B" w:rsidR="00C83A26" w:rsidRDefault="00C83A26" w:rsidP="00C83A26">
      <w:pPr>
        <w:pStyle w:val="Legenda"/>
      </w:pPr>
      <w:bookmarkStart w:id="91" w:name="_Ref109986368"/>
      <w:bookmarkStart w:id="92" w:name="_Toc115717802"/>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F64CC5">
        <w:rPr>
          <w:noProof/>
        </w:rPr>
        <w:t>9</w:t>
      </w:r>
      <w:r w:rsidR="00F64CC5" w:rsidRPr="000A2E03">
        <w:fldChar w:fldCharType="end"/>
      </w:r>
      <w:bookmarkEnd w:id="91"/>
      <w:r>
        <w:t xml:space="preserve">: </w:t>
      </w:r>
      <w:r w:rsidR="00D85F8D">
        <w:t>Europe has retained its position as the biggest exporter of pharmaceuticals compared to the US, China and Japan over the last decade</w:t>
      </w:r>
      <w:bookmarkEnd w:id="92"/>
    </w:p>
    <w:p w14:paraId="7D893E73" w14:textId="7B743714" w:rsidR="00633E06" w:rsidRDefault="00AF10D0" w:rsidP="00ED3D0C">
      <w:pPr>
        <w:pStyle w:val="Tekstpodstawowy"/>
        <w:rPr>
          <w:sz w:val="16"/>
          <w:szCs w:val="16"/>
        </w:rPr>
      </w:pPr>
      <w:r>
        <w:rPr>
          <w:noProof/>
        </w:rPr>
        <w:drawing>
          <wp:inline distT="0" distB="0" distL="0" distR="0" wp14:anchorId="24A6D224" wp14:editId="3374B461">
            <wp:extent cx="5097780" cy="2743200"/>
            <wp:effectExtent l="0" t="0" r="7620" b="0"/>
            <wp:docPr id="19" name="Chart 19">
              <a:extLst xmlns:a="http://schemas.openxmlformats.org/drawingml/2006/main">
                <a:ext uri="{FF2B5EF4-FFF2-40B4-BE49-F238E27FC236}">
                  <a16:creationId xmlns:a16="http://schemas.microsoft.com/office/drawing/2014/main" id="{D0677D43-3F3A-4753-ACB1-6F04CB4A7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B4D82B" w14:textId="13C324BB" w:rsidR="009E6410" w:rsidRPr="00120631" w:rsidRDefault="009E6410" w:rsidP="00ED3D0C">
      <w:pPr>
        <w:pStyle w:val="Tekstpodstawowy"/>
        <w:rPr>
          <w:sz w:val="16"/>
          <w:szCs w:val="16"/>
        </w:rPr>
      </w:pPr>
      <w:r w:rsidRPr="00120631">
        <w:rPr>
          <w:sz w:val="16"/>
          <w:szCs w:val="16"/>
        </w:rPr>
        <w:t xml:space="preserve">Source: </w:t>
      </w:r>
      <w:r w:rsidR="00FF0A34">
        <w:rPr>
          <w:sz w:val="16"/>
          <w:szCs w:val="16"/>
        </w:rPr>
        <w:t>UNCTAD</w:t>
      </w:r>
      <w:r w:rsidRPr="0075544F">
        <w:rPr>
          <w:rStyle w:val="Odwoanieprzypisudolnego"/>
          <w:szCs w:val="16"/>
          <w:lang w:val="fr-FR"/>
        </w:rPr>
        <w:footnoteReference w:id="61"/>
      </w:r>
    </w:p>
    <w:p w14:paraId="755C0877" w14:textId="6E842632" w:rsidR="00C61AC0" w:rsidRDefault="00F5714A" w:rsidP="00F5714A">
      <w:pPr>
        <w:pStyle w:val="Nagwek2"/>
      </w:pPr>
      <w:bookmarkStart w:id="93" w:name="_Toc115717783"/>
      <w:r w:rsidRPr="00F5714A">
        <w:t>Summary</w:t>
      </w:r>
      <w:bookmarkEnd w:id="93"/>
    </w:p>
    <w:p w14:paraId="3826CD03" w14:textId="2CDB9E19" w:rsidR="00F5714A" w:rsidRDefault="00C94EAF" w:rsidP="00F5714A">
      <w:pPr>
        <w:pStyle w:val="Tekstpodstawowy"/>
      </w:pPr>
      <w:r>
        <w:t>The long-term trends in location of R&amp;D, clinical trials and manufacturing should not come as a surprise. It has been</w:t>
      </w:r>
      <w:r w:rsidR="0071744F">
        <w:t xml:space="preserve"> well</w:t>
      </w:r>
      <w:r w:rsidR="003538E5">
        <w:t xml:space="preserve"> </w:t>
      </w:r>
      <w:r>
        <w:t xml:space="preserve">documented in many reports over the last </w:t>
      </w:r>
      <w:r w:rsidR="003538E5">
        <w:t xml:space="preserve">20 </w:t>
      </w:r>
      <w:r>
        <w:t xml:space="preserve">years. </w:t>
      </w:r>
      <w:r w:rsidR="00505A4F">
        <w:t xml:space="preserve">The amount of annual investment in </w:t>
      </w:r>
      <w:r>
        <w:t>Europe is growing less quickly than the US</w:t>
      </w:r>
      <w:r w:rsidR="001A641B">
        <w:t>,</w:t>
      </w:r>
      <w:r>
        <w:t xml:space="preserve"> and China has seen a dramatic increase in investment over the same period. However, </w:t>
      </w:r>
      <w:r w:rsidR="00AB2E67">
        <w:t>t</w:t>
      </w:r>
      <w:r w:rsidR="00570A01">
        <w:t>he sub-trends</w:t>
      </w:r>
      <w:r w:rsidR="00AB2E67">
        <w:t xml:space="preserve"> presented in this chapter</w:t>
      </w:r>
      <w:r>
        <w:t xml:space="preserve"> are some </w:t>
      </w:r>
      <w:r w:rsidR="00570A01">
        <w:t>of the important ones</w:t>
      </w:r>
      <w:r>
        <w:t xml:space="preserve"> that are worth noting before we attempt to explain the pattern of investment and consider the policy </w:t>
      </w:r>
      <w:r w:rsidR="00212714">
        <w:t>ramifications</w:t>
      </w:r>
      <w:r w:rsidR="0071744F">
        <w:t xml:space="preserve">. </w:t>
      </w:r>
      <w:r w:rsidR="0071744F" w:rsidRPr="0071744F">
        <w:t xml:space="preserve">Although Europe is not </w:t>
      </w:r>
      <w:r w:rsidR="00F04674">
        <w:t xml:space="preserve">yet </w:t>
      </w:r>
      <w:r w:rsidR="0071744F" w:rsidRPr="0071744F">
        <w:t>so far behind</w:t>
      </w:r>
      <w:r w:rsidR="0071744F">
        <w:t xml:space="preserve"> </w:t>
      </w:r>
      <w:r w:rsidR="0071744F" w:rsidRPr="0071744F">
        <w:t>in terms of absolute values, the downward trend already taking place relative to the US and China</w:t>
      </w:r>
      <w:r w:rsidR="00970FF9">
        <w:t xml:space="preserve"> </w:t>
      </w:r>
      <w:r w:rsidR="00970FF9">
        <w:rPr>
          <w:rFonts w:cs="Arial"/>
        </w:rPr>
        <w:t>–</w:t>
      </w:r>
      <w:r w:rsidR="00970FF9">
        <w:t xml:space="preserve"> </w:t>
      </w:r>
      <w:r w:rsidR="0071744F" w:rsidRPr="0071744F">
        <w:t xml:space="preserve">both regions </w:t>
      </w:r>
      <w:r w:rsidR="00112437">
        <w:t>that</w:t>
      </w:r>
      <w:r w:rsidR="0071744F" w:rsidRPr="0071744F">
        <w:t xml:space="preserve"> experience stronger growth in multiple areas and possess more indicators in the “strongest performance” category</w:t>
      </w:r>
      <w:r w:rsidR="00970FF9">
        <w:t xml:space="preserve"> </w:t>
      </w:r>
      <w:r w:rsidR="00970FF9">
        <w:rPr>
          <w:rFonts w:cs="Arial"/>
        </w:rPr>
        <w:t>–</w:t>
      </w:r>
      <w:r w:rsidR="00970FF9">
        <w:t xml:space="preserve"> </w:t>
      </w:r>
      <w:r w:rsidR="00112437">
        <w:t xml:space="preserve">is </w:t>
      </w:r>
      <w:r w:rsidR="00C01A5A">
        <w:t>alarming</w:t>
      </w:r>
      <w:r w:rsidR="004C54F2">
        <w:t xml:space="preserve"> (</w:t>
      </w:r>
      <w:r w:rsidR="004C54F2" w:rsidRPr="000A2E03">
        <w:fldChar w:fldCharType="begin"/>
      </w:r>
      <w:r w:rsidR="004C54F2">
        <w:instrText xml:space="preserve"> REF _Ref110009268 \h </w:instrText>
      </w:r>
      <w:r w:rsidR="004C54F2" w:rsidRPr="000A2E03">
        <w:fldChar w:fldCharType="separate"/>
      </w:r>
      <w:r w:rsidR="005667DB">
        <w:t xml:space="preserve">Figure </w:t>
      </w:r>
      <w:r w:rsidR="005667DB">
        <w:rPr>
          <w:noProof/>
        </w:rPr>
        <w:t>10</w:t>
      </w:r>
      <w:r w:rsidR="004C54F2" w:rsidRPr="000A2E03">
        <w:fldChar w:fldCharType="end"/>
      </w:r>
      <w:r w:rsidR="004C54F2">
        <w:t>)</w:t>
      </w:r>
      <w:r>
        <w:t xml:space="preserve">. </w:t>
      </w:r>
      <w:r w:rsidR="00C01A5A">
        <w:t>T</w:t>
      </w:r>
      <w:r w:rsidR="00681819">
        <w:t xml:space="preserve">he picture for Europe is a loss of market share to the US and China on most metrics, </w:t>
      </w:r>
      <w:r w:rsidR="00112FC5">
        <w:t xml:space="preserve">incongruous with </w:t>
      </w:r>
      <w:r w:rsidR="00681819">
        <w:t xml:space="preserve">some </w:t>
      </w:r>
      <w:r w:rsidR="00D6165F">
        <w:t>of its strengths</w:t>
      </w:r>
      <w:r w:rsidR="00235B8F">
        <w:t xml:space="preserve">, </w:t>
      </w:r>
      <w:r w:rsidR="00913EDD">
        <w:t xml:space="preserve">including </w:t>
      </w:r>
      <w:r w:rsidR="000B7EF7">
        <w:t>hosting</w:t>
      </w:r>
      <w:r w:rsidR="002D1770">
        <w:t xml:space="preserve"> the</w:t>
      </w:r>
      <w:r w:rsidR="00913EDD">
        <w:t xml:space="preserve"> </w:t>
      </w:r>
      <w:r w:rsidR="00CC01E6">
        <w:t>majority of</w:t>
      </w:r>
      <w:r w:rsidR="00681819">
        <w:t xml:space="preserve"> </w:t>
      </w:r>
      <w:r w:rsidR="002E5C8B">
        <w:t>academic</w:t>
      </w:r>
      <w:r w:rsidR="009176B4">
        <w:t xml:space="preserve"> research activity</w:t>
      </w:r>
      <w:r w:rsidR="00235B8F">
        <w:t xml:space="preserve"> </w:t>
      </w:r>
      <w:r w:rsidR="009176B4">
        <w:t>for ATMPs</w:t>
      </w:r>
      <w:r w:rsidR="00681819">
        <w:t xml:space="preserve"> (not </w:t>
      </w:r>
      <w:r w:rsidR="00570A01">
        <w:t xml:space="preserve">reflected </w:t>
      </w:r>
      <w:r w:rsidR="00681819">
        <w:t>in corresponding clinical trials)</w:t>
      </w:r>
      <w:r w:rsidR="00CC01E6">
        <w:t xml:space="preserve"> and</w:t>
      </w:r>
      <w:r w:rsidR="00D6165F">
        <w:t xml:space="preserve"> </w:t>
      </w:r>
      <w:r w:rsidR="001A3032">
        <w:t xml:space="preserve">possessing </w:t>
      </w:r>
      <w:r w:rsidR="00836C81">
        <w:t>the</w:t>
      </w:r>
      <w:r w:rsidR="00D6165F">
        <w:t xml:space="preserve"> </w:t>
      </w:r>
      <w:r w:rsidR="00836C81">
        <w:t>lion’s</w:t>
      </w:r>
      <w:r w:rsidR="0002411E">
        <w:t xml:space="preserve"> share</w:t>
      </w:r>
      <w:r w:rsidR="00836C81">
        <w:t xml:space="preserve"> in</w:t>
      </w:r>
      <w:r w:rsidR="00CE5683">
        <w:t xml:space="preserve"> pharmaceutical exports</w:t>
      </w:r>
      <w:r w:rsidR="00681819">
        <w:t xml:space="preserve"> (perhaps reflecting historical location decisions)</w:t>
      </w:r>
      <w:r w:rsidR="00CE5683">
        <w:t xml:space="preserve">. </w:t>
      </w:r>
      <w:r w:rsidR="002C2315">
        <w:t>In many other areas</w:t>
      </w:r>
      <w:r w:rsidR="00DA01FC">
        <w:t xml:space="preserve">, such as </w:t>
      </w:r>
      <w:r w:rsidR="00742F2E">
        <w:t xml:space="preserve">attracting pharmaceutical company R&amp;D activity, </w:t>
      </w:r>
      <w:r w:rsidR="00855705">
        <w:t xml:space="preserve">clinical trials and manufacturing, </w:t>
      </w:r>
      <w:r w:rsidR="00373204">
        <w:t xml:space="preserve">the US leads and China is growing rapidly. </w:t>
      </w:r>
      <w:r w:rsidR="006B112D">
        <w:t xml:space="preserve">Understanding what drives these trends is </w:t>
      </w:r>
      <w:r w:rsidR="00570A01">
        <w:t xml:space="preserve">paramount </w:t>
      </w:r>
      <w:r w:rsidR="00945B64">
        <w:t>and serves as</w:t>
      </w:r>
      <w:r w:rsidR="006B112D">
        <w:t xml:space="preserve"> the basis of Chapter 3 of this report.</w:t>
      </w:r>
    </w:p>
    <w:p w14:paraId="3789B83C" w14:textId="00AF3B81" w:rsidR="004055AB" w:rsidRDefault="004055AB" w:rsidP="004055AB">
      <w:pPr>
        <w:pStyle w:val="Legenda"/>
      </w:pPr>
      <w:bookmarkStart w:id="94" w:name="_Ref110009268"/>
      <w:bookmarkStart w:id="95" w:name="_Toc115717803"/>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5667DB">
        <w:rPr>
          <w:noProof/>
        </w:rPr>
        <w:t>10</w:t>
      </w:r>
      <w:r w:rsidR="00F64CC5" w:rsidRPr="000A2E03">
        <w:fldChar w:fldCharType="end"/>
      </w:r>
      <w:bookmarkEnd w:id="94"/>
      <w:r>
        <w:t xml:space="preserve">: </w:t>
      </w:r>
      <w:r w:rsidR="007D28E6">
        <w:t xml:space="preserve">The US and China are the </w:t>
      </w:r>
      <w:r w:rsidR="009E6BAD">
        <w:t>top</w:t>
      </w:r>
      <w:r w:rsidR="007D28E6">
        <w:t xml:space="preserve"> performers in </w:t>
      </w:r>
      <w:r w:rsidR="009E6BAD">
        <w:t>more</w:t>
      </w:r>
      <w:r w:rsidR="007D28E6">
        <w:t xml:space="preserve"> </w:t>
      </w:r>
      <w:r w:rsidR="009E6BAD">
        <w:t>investment performance metrics than Europe, exhibiting stronger growth trends</w:t>
      </w:r>
      <w:bookmarkEnd w:id="95"/>
    </w:p>
    <w:p w14:paraId="1EC7C424" w14:textId="004CF08A" w:rsidR="00035C40" w:rsidRDefault="00035C40" w:rsidP="004055AB">
      <w:pPr>
        <w:pStyle w:val="Tekstpodstawowy"/>
        <w:rPr>
          <w:noProof/>
        </w:rPr>
      </w:pPr>
      <w:r>
        <w:rPr>
          <w:noProof/>
        </w:rPr>
        <w:drawing>
          <wp:inline distT="0" distB="0" distL="0" distR="0" wp14:anchorId="63AA388A" wp14:editId="07C6F390">
            <wp:extent cx="4996057" cy="28194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96DAC541-7B7A-43D3-8B79-37D633B846F1}">
                          <asvg:svgBlip xmlns:asvg="http://schemas.microsoft.com/office/drawing/2016/SVG/main" r:embed="rId32"/>
                        </a:ext>
                      </a:extLst>
                    </a:blip>
                    <a:srcRect l="5660" t="8386" r="3019"/>
                    <a:stretch/>
                  </pic:blipFill>
                  <pic:spPr bwMode="auto">
                    <a:xfrm>
                      <a:off x="0" y="0"/>
                      <a:ext cx="5001281" cy="2822348"/>
                    </a:xfrm>
                    <a:prstGeom prst="rect">
                      <a:avLst/>
                    </a:prstGeom>
                    <a:ln>
                      <a:noFill/>
                    </a:ln>
                    <a:extLst>
                      <a:ext uri="{53640926-AAD7-44D8-BBD7-CCE9431645EC}">
                        <a14:shadowObscured xmlns:a14="http://schemas.microsoft.com/office/drawing/2010/main"/>
                      </a:ext>
                    </a:extLst>
                  </pic:spPr>
                </pic:pic>
              </a:graphicData>
            </a:graphic>
          </wp:inline>
        </w:drawing>
      </w:r>
    </w:p>
    <w:p w14:paraId="3FC13458" w14:textId="56C7C1B1" w:rsidR="004055AB" w:rsidRDefault="00BD4C5B" w:rsidP="004055AB">
      <w:pPr>
        <w:pStyle w:val="Tekstpodstawowy"/>
        <w:rPr>
          <w:color w:val="000000" w:themeColor="text1"/>
          <w:sz w:val="16"/>
          <w:szCs w:val="16"/>
        </w:rPr>
      </w:pPr>
      <w:r>
        <w:rPr>
          <w:color w:val="000000" w:themeColor="text1"/>
          <w:sz w:val="16"/>
          <w:szCs w:val="16"/>
        </w:rPr>
        <w:t xml:space="preserve"> </w:t>
      </w:r>
      <w:r w:rsidR="004055AB">
        <w:rPr>
          <w:color w:val="000000" w:themeColor="text1"/>
          <w:sz w:val="16"/>
          <w:szCs w:val="16"/>
        </w:rPr>
        <w:t>S</w:t>
      </w:r>
      <w:r w:rsidR="004055AB" w:rsidRPr="007F16B0">
        <w:rPr>
          <w:color w:val="000000" w:themeColor="text1"/>
          <w:sz w:val="16"/>
          <w:szCs w:val="16"/>
        </w:rPr>
        <w:t>ource</w:t>
      </w:r>
      <w:r w:rsidR="004055AB">
        <w:rPr>
          <w:color w:val="000000" w:themeColor="text1"/>
          <w:sz w:val="16"/>
          <w:szCs w:val="16"/>
        </w:rPr>
        <w:t>: CRA</w:t>
      </w:r>
      <w:r w:rsidR="00D01BE1">
        <w:rPr>
          <w:color w:val="000000" w:themeColor="text1"/>
          <w:sz w:val="16"/>
          <w:szCs w:val="16"/>
        </w:rPr>
        <w:t xml:space="preserve"> analysis of </w:t>
      </w:r>
      <w:r w:rsidR="001309EF">
        <w:rPr>
          <w:color w:val="000000" w:themeColor="text1"/>
          <w:sz w:val="16"/>
          <w:szCs w:val="16"/>
        </w:rPr>
        <w:t>data described in Chapter 2 of this report.</w:t>
      </w:r>
    </w:p>
    <w:p w14:paraId="66FAAEB4" w14:textId="7744E671" w:rsidR="002D7E04" w:rsidRDefault="002D7E04" w:rsidP="000A2E03">
      <w:pPr>
        <w:pStyle w:val="Legenda"/>
      </w:pPr>
    </w:p>
    <w:p w14:paraId="45D3E913" w14:textId="5DE49415" w:rsidR="002D7E04" w:rsidRDefault="002D7E04" w:rsidP="000A2E03">
      <w:pPr>
        <w:pStyle w:val="Legenda"/>
      </w:pPr>
      <w:r>
        <w:t xml:space="preserve">Box </w:t>
      </w:r>
      <w:r>
        <w:fldChar w:fldCharType="begin"/>
      </w:r>
      <w:r>
        <w:instrText xml:space="preserve"> SEQ Box \* ARABIC </w:instrText>
      </w:r>
      <w:r>
        <w:fldChar w:fldCharType="separate"/>
      </w:r>
      <w:r>
        <w:rPr>
          <w:noProof/>
        </w:rPr>
        <w:t>2</w:t>
      </w:r>
      <w:r>
        <w:fldChar w:fldCharType="end"/>
      </w:r>
      <w:r>
        <w:t xml:space="preserve">: </w:t>
      </w:r>
      <w:r w:rsidRPr="00490148">
        <w:t>Summary of key findings</w:t>
      </w:r>
    </w:p>
    <w:tbl>
      <w:tblPr>
        <w:tblStyle w:val="Tabela-Siatka"/>
        <w:tblW w:w="0" w:type="auto"/>
        <w:tblLook w:val="04A0" w:firstRow="1" w:lastRow="0" w:firstColumn="1" w:lastColumn="0" w:noHBand="0" w:noVBand="1"/>
      </w:tblPr>
      <w:tblGrid>
        <w:gridCol w:w="7920"/>
      </w:tblGrid>
      <w:tr w:rsidR="00997D8A" w14:paraId="5307E3FB" w14:textId="77777777" w:rsidTr="00783F62">
        <w:tc>
          <w:tcPr>
            <w:tcW w:w="7920" w:type="dxa"/>
            <w:tcBorders>
              <w:top w:val="single" w:sz="12" w:space="0" w:color="C0C0C0" w:themeColor="text2"/>
              <w:left w:val="single" w:sz="12" w:space="0" w:color="C0C0C0" w:themeColor="text2"/>
              <w:bottom w:val="single" w:sz="12" w:space="0" w:color="C0C0C0" w:themeColor="text2"/>
              <w:right w:val="single" w:sz="12" w:space="0" w:color="C0C0C0" w:themeColor="text2"/>
            </w:tcBorders>
            <w:shd w:val="clear" w:color="auto" w:fill="EBF4FB" w:themeFill="accent2" w:themeFillTint="33"/>
          </w:tcPr>
          <w:p w14:paraId="1367F2FF" w14:textId="0E50C582" w:rsidR="0038617D" w:rsidRDefault="0038617D" w:rsidP="00783F62">
            <w:pPr>
              <w:pStyle w:val="Tekstpodstawowy"/>
              <w:numPr>
                <w:ilvl w:val="0"/>
                <w:numId w:val="146"/>
              </w:numPr>
            </w:pPr>
            <w:r>
              <w:t>Recent trends in multiple indicators show a decline of Europe’s overall attractiveness as a location for pharmaceutical companies to invest, with prior areas of strength (in research, clinical trials and manufacturing) now failing to keep up with the pace of progression in other regions.</w:t>
            </w:r>
          </w:p>
          <w:p w14:paraId="68A0CB4A" w14:textId="39F13150" w:rsidR="00997D8A" w:rsidRDefault="00556026" w:rsidP="00783F62">
            <w:pPr>
              <w:pStyle w:val="Tekstpodstawowy"/>
              <w:numPr>
                <w:ilvl w:val="0"/>
                <w:numId w:val="146"/>
              </w:numPr>
            </w:pPr>
            <w:r>
              <w:t xml:space="preserve">Pharmaceutical industry </w:t>
            </w:r>
            <w:r w:rsidR="0082107A">
              <w:t xml:space="preserve">R&amp;D </w:t>
            </w:r>
            <w:r>
              <w:t xml:space="preserve">investment </w:t>
            </w:r>
            <w:r w:rsidR="00FB25B6">
              <w:t xml:space="preserve">is growing </w:t>
            </w:r>
            <w:r>
              <w:t>at a slower rate</w:t>
            </w:r>
            <w:r w:rsidR="00FB25B6">
              <w:t xml:space="preserve"> </w:t>
            </w:r>
            <w:r w:rsidR="009A0A2E">
              <w:t xml:space="preserve">in Europe </w:t>
            </w:r>
            <w:r w:rsidR="00FB25B6">
              <w:t xml:space="preserve">than </w:t>
            </w:r>
            <w:r w:rsidR="00D2628A">
              <w:t>in</w:t>
            </w:r>
            <w:r w:rsidR="00FB25B6">
              <w:t xml:space="preserve"> the US, and China has seen a dramatic increase in investment over the same period.</w:t>
            </w:r>
          </w:p>
          <w:p w14:paraId="6BD01430" w14:textId="485E8276" w:rsidR="001F7B3F" w:rsidRDefault="006E069A" w:rsidP="00D65FC8">
            <w:pPr>
              <w:pStyle w:val="Tekstpodstawowy"/>
              <w:numPr>
                <w:ilvl w:val="0"/>
                <w:numId w:val="146"/>
              </w:numPr>
            </w:pPr>
            <w:r>
              <w:t>While</w:t>
            </w:r>
            <w:r w:rsidR="002B0E35">
              <w:t xml:space="preserve"> Europe continues to be an attractive location for pharmaceutical companies to conduct clinical trials for </w:t>
            </w:r>
            <w:r w:rsidR="002B0E35" w:rsidDel="000F41B6">
              <w:t xml:space="preserve">more </w:t>
            </w:r>
            <w:r w:rsidR="001F7B3F">
              <w:t>traditional</w:t>
            </w:r>
            <w:r w:rsidR="002B0E35" w:rsidDel="00803BD3">
              <w:t xml:space="preserve"> medicinal technologies</w:t>
            </w:r>
            <w:r w:rsidR="001F7B3F">
              <w:t xml:space="preserve">, </w:t>
            </w:r>
            <w:r w:rsidR="002B0E35">
              <w:t>this is not the case for</w:t>
            </w:r>
            <w:r w:rsidR="008D7E4F">
              <w:t xml:space="preserve"> </w:t>
            </w:r>
            <w:r w:rsidR="000E4EA0" w:rsidDel="00A41F9B">
              <w:t xml:space="preserve">new </w:t>
            </w:r>
            <w:r w:rsidR="001F7B3F">
              <w:t>therapeutic solutions, including but not limited to ATMPs.</w:t>
            </w:r>
          </w:p>
          <w:p w14:paraId="708A1BAE" w14:textId="19A782E7" w:rsidR="00A145A5" w:rsidRDefault="00C10038" w:rsidP="00D65FC8">
            <w:pPr>
              <w:pStyle w:val="Tekstpodstawowy"/>
              <w:numPr>
                <w:ilvl w:val="0"/>
                <w:numId w:val="146"/>
              </w:numPr>
            </w:pPr>
            <w:r>
              <w:t xml:space="preserve">Consistent with observations that </w:t>
            </w:r>
            <w:r w:rsidR="000F3C10">
              <w:t>high</w:t>
            </w:r>
            <w:r w:rsidR="001C5CD5">
              <w:t>-</w:t>
            </w:r>
            <w:r w:rsidR="000F3C10">
              <w:t xml:space="preserve">volume </w:t>
            </w:r>
            <w:r>
              <w:t>manufacturing is increasingly offshored</w:t>
            </w:r>
            <w:r w:rsidR="000F3C10">
              <w:t xml:space="preserve"> to lower</w:t>
            </w:r>
            <w:r w:rsidR="001C5CD5">
              <w:t>-</w:t>
            </w:r>
            <w:r w:rsidR="000F3C10">
              <w:t>cost markets, t</w:t>
            </w:r>
            <w:r w:rsidR="00A145A5">
              <w:t xml:space="preserve">he growth </w:t>
            </w:r>
            <w:r w:rsidR="00546D8B">
              <w:t xml:space="preserve">rate </w:t>
            </w:r>
            <w:r w:rsidR="00A145A5">
              <w:t xml:space="preserve">of </w:t>
            </w:r>
            <w:r w:rsidR="00546D8B">
              <w:t xml:space="preserve">pharmaceutical </w:t>
            </w:r>
            <w:r w:rsidR="00A145A5">
              <w:t xml:space="preserve">manufacturing investment in China is double </w:t>
            </w:r>
            <w:r w:rsidR="001C5CD5">
              <w:t xml:space="preserve">what it is </w:t>
            </w:r>
            <w:r w:rsidR="00A145A5">
              <w:t xml:space="preserve">in Europe and </w:t>
            </w:r>
            <w:r w:rsidR="004D6989">
              <w:t xml:space="preserve">quadruple </w:t>
            </w:r>
            <w:r w:rsidR="001C5CD5">
              <w:t xml:space="preserve">the growth rate </w:t>
            </w:r>
            <w:r w:rsidR="00546D8B">
              <w:t>in the US.</w:t>
            </w:r>
          </w:p>
          <w:p w14:paraId="798088AA" w14:textId="69A6E9AF" w:rsidR="00997D8A" w:rsidRDefault="00617A6F" w:rsidP="0038617D">
            <w:pPr>
              <w:pStyle w:val="Tekstpodstawowy"/>
              <w:numPr>
                <w:ilvl w:val="0"/>
                <w:numId w:val="146"/>
              </w:numPr>
            </w:pPr>
            <w:r>
              <w:t xml:space="preserve">The US </w:t>
            </w:r>
            <w:r w:rsidR="00675CE2">
              <w:t>is the</w:t>
            </w:r>
            <w:r>
              <w:t xml:space="preserve"> leading country for attracting</w:t>
            </w:r>
            <w:r w:rsidR="00675CE2">
              <w:t xml:space="preserve"> pharmaceutical</w:t>
            </w:r>
            <w:r>
              <w:t xml:space="preserve"> FDI</w:t>
            </w:r>
            <w:r w:rsidR="00675CE2">
              <w:t>; however</w:t>
            </w:r>
            <w:r w:rsidR="00F011DE">
              <w:t>,</w:t>
            </w:r>
            <w:r w:rsidR="00675CE2">
              <w:t xml:space="preserve"> when looking specifically at </w:t>
            </w:r>
            <w:r w:rsidR="00F011DE">
              <w:t xml:space="preserve">pharmaceutical </w:t>
            </w:r>
            <w:r w:rsidR="00675CE2">
              <w:t xml:space="preserve">R&amp;D FDI projects, China is now in the lead. </w:t>
            </w:r>
          </w:p>
        </w:tc>
      </w:tr>
    </w:tbl>
    <w:p w14:paraId="5C732FA2" w14:textId="2B443312" w:rsidR="00997D8A" w:rsidRPr="00F5714A" w:rsidRDefault="00997D8A" w:rsidP="00F5714A">
      <w:pPr>
        <w:pStyle w:val="Tekstpodstawowy"/>
      </w:pPr>
    </w:p>
    <w:p w14:paraId="5D99156D" w14:textId="3AF0B826" w:rsidR="009F185E" w:rsidRDefault="009F185E" w:rsidP="006529FF">
      <w:pPr>
        <w:pStyle w:val="Nagwek1"/>
        <w:ind w:left="0"/>
      </w:pPr>
      <w:bookmarkStart w:id="96" w:name="_Toc115717784"/>
      <w:r>
        <w:lastRenderedPageBreak/>
        <w:t>Fa</w:t>
      </w:r>
      <w:r w:rsidRPr="009F185E">
        <w:t xml:space="preserve">ctors driving the location of biopharmaceutical R&amp;D and </w:t>
      </w:r>
      <w:r w:rsidR="001A641B">
        <w:t>investigational and</w:t>
      </w:r>
      <w:r w:rsidR="00C11E78">
        <w:t xml:space="preserve"> commercial </w:t>
      </w:r>
      <w:r w:rsidRPr="009F185E">
        <w:t>manufacturing</w:t>
      </w:r>
      <w:bookmarkEnd w:id="87"/>
      <w:bookmarkEnd w:id="96"/>
    </w:p>
    <w:p w14:paraId="3C183869" w14:textId="3175055F" w:rsidR="00797D95" w:rsidRDefault="00797D95" w:rsidP="00797D95">
      <w:pPr>
        <w:pStyle w:val="Tekstpodstawowy"/>
      </w:pPr>
      <w:r w:rsidRPr="00A11ED1">
        <w:t>In this chapter, we consider how we can explain the trends observed in the previous chapter</w:t>
      </w:r>
      <w:r w:rsidR="00181682">
        <w:t>,</w:t>
      </w:r>
      <w:r w:rsidRPr="00A11ED1">
        <w:t xml:space="preserve"> drawing on the </w:t>
      </w:r>
      <w:r>
        <w:t>existing</w:t>
      </w:r>
      <w:r w:rsidR="00AA2083">
        <w:t xml:space="preserve"> literature on the factors driving the location of pha</w:t>
      </w:r>
      <w:r w:rsidR="00B6081B">
        <w:t>rmaceutical industry investments</w:t>
      </w:r>
      <w:r>
        <w:t xml:space="preserve"> and the interviews undertaken with decision</w:t>
      </w:r>
      <w:r w:rsidR="00181682">
        <w:t xml:space="preserve"> </w:t>
      </w:r>
      <w:r>
        <w:t>makers</w:t>
      </w:r>
      <w:r w:rsidR="00B6081B">
        <w:t xml:space="preserve">. Here, we first </w:t>
      </w:r>
      <w:r w:rsidR="00C106F1">
        <w:t xml:space="preserve">briefly </w:t>
      </w:r>
      <w:r w:rsidR="00B6081B">
        <w:t xml:space="preserve">summarise the literature to date for pharmaceutical research, clinical trials, and manufacturing, </w:t>
      </w:r>
      <w:r w:rsidR="00181682">
        <w:t xml:space="preserve">and </w:t>
      </w:r>
      <w:r w:rsidR="00B6081B">
        <w:t>then</w:t>
      </w:r>
      <w:r w:rsidR="009C24B0">
        <w:t xml:space="preserve"> focus in more detail on </w:t>
      </w:r>
      <w:r>
        <w:t xml:space="preserve">new </w:t>
      </w:r>
      <w:r w:rsidR="009C24B0">
        <w:t xml:space="preserve">issues </w:t>
      </w:r>
      <w:r>
        <w:t>regarding the impact of recent global shocks and new technology.</w:t>
      </w:r>
      <w:r w:rsidR="00A71E60">
        <w:t xml:space="preserve"> The case studies are based only on public information.</w:t>
      </w:r>
    </w:p>
    <w:p w14:paraId="4A5BD8F7" w14:textId="1DF03BF8" w:rsidR="00797D95" w:rsidRPr="00F62321" w:rsidRDefault="00797D95" w:rsidP="00A11ED1">
      <w:pPr>
        <w:pStyle w:val="Tekstpodstawowy"/>
      </w:pPr>
      <w:bookmarkStart w:id="97" w:name="_Toc106279860"/>
      <w:bookmarkStart w:id="98" w:name="_Toc106297009"/>
      <w:bookmarkEnd w:id="97"/>
      <w:bookmarkEnd w:id="98"/>
      <w:r>
        <w:t>It is clear from the existing literature and interviews that the factors driving the location of research hubs, clinical trials</w:t>
      </w:r>
      <w:r w:rsidR="00624DDD">
        <w:t>,</w:t>
      </w:r>
      <w:r>
        <w:t xml:space="preserve"> and manufacturing differ considerably.</w:t>
      </w:r>
    </w:p>
    <w:p w14:paraId="58A7B480" w14:textId="103682C7" w:rsidR="00B478F9" w:rsidRDefault="00B478F9">
      <w:pPr>
        <w:pStyle w:val="Nagwek2"/>
      </w:pPr>
      <w:bookmarkStart w:id="99" w:name="_Toc106104531"/>
      <w:bookmarkStart w:id="100" w:name="_Toc115717785"/>
      <w:r>
        <w:t>Research hubs</w:t>
      </w:r>
      <w:bookmarkEnd w:id="99"/>
      <w:bookmarkEnd w:id="100"/>
    </w:p>
    <w:p w14:paraId="1643B8CE" w14:textId="4B1DA9AA" w:rsidR="00A71E60" w:rsidRPr="00A71E60" w:rsidRDefault="00A71E60" w:rsidP="00A71E60">
      <w:pPr>
        <w:pStyle w:val="Tekstpodstawowy"/>
      </w:pPr>
      <w:r>
        <w:t>One way to understand the patterns of spending on R&amp;D investment is to consider the location of research hubs.</w:t>
      </w:r>
    </w:p>
    <w:p w14:paraId="7AAB03E0" w14:textId="292E71BD" w:rsidR="00413194" w:rsidRDefault="00413194" w:rsidP="00A71E60">
      <w:pPr>
        <w:pStyle w:val="Nagwek4"/>
      </w:pPr>
      <w:r>
        <w:t>Characteristics of research hub investment decisions</w:t>
      </w:r>
    </w:p>
    <w:p w14:paraId="3B130771" w14:textId="333A0F6A" w:rsidR="00A22DF6" w:rsidRDefault="00A22DF6" w:rsidP="00AE1234">
      <w:pPr>
        <w:pStyle w:val="Tekstpodstawowy"/>
      </w:pPr>
      <w:r>
        <w:t>Research centres</w:t>
      </w:r>
      <w:r w:rsidR="00F2253F">
        <w:t xml:space="preserve"> or hubs are often concentrated campus</w:t>
      </w:r>
      <w:r w:rsidR="004A49AA">
        <w:t>es</w:t>
      </w:r>
      <w:r w:rsidR="00F2253F">
        <w:t xml:space="preserve"> focusing </w:t>
      </w:r>
      <w:r w:rsidR="004A49AA">
        <w:t xml:space="preserve">on </w:t>
      </w:r>
      <w:r w:rsidR="007711F0">
        <w:t xml:space="preserve">a </w:t>
      </w:r>
      <w:r w:rsidR="008873F3">
        <w:t xml:space="preserve">specific </w:t>
      </w:r>
      <w:r w:rsidR="00F2253F" w:rsidRPr="00F2253F">
        <w:t>area of scientific exploration</w:t>
      </w:r>
      <w:r w:rsidR="00F2253F">
        <w:t>. This is distinct from clinical trials activity</w:t>
      </w:r>
      <w:r w:rsidR="008873F3">
        <w:t>, which</w:t>
      </w:r>
      <w:r w:rsidR="00F2253F">
        <w:t xml:space="preserve"> is often spread across leading hospital</w:t>
      </w:r>
      <w:r w:rsidR="00D0620D">
        <w:t>s</w:t>
      </w:r>
      <w:r w:rsidR="00F2253F">
        <w:t xml:space="preserve"> and academic centres. Major companies will have a </w:t>
      </w:r>
      <w:r w:rsidR="00A71E60">
        <w:t xml:space="preserve">relatively </w:t>
      </w:r>
      <w:r w:rsidR="00F2253F">
        <w:t>small number of research hubs</w:t>
      </w:r>
      <w:r w:rsidR="007711F0">
        <w:t xml:space="preserve">; </w:t>
      </w:r>
      <w:r w:rsidR="00F2253F">
        <w:t>for example</w:t>
      </w:r>
      <w:r w:rsidR="007711F0">
        <w:t>,</w:t>
      </w:r>
      <w:r w:rsidR="00F2253F">
        <w:t xml:space="preserve"> Pfizer lists eight research centres, while GSK lists</w:t>
      </w:r>
      <w:r w:rsidR="008873F3">
        <w:t xml:space="preserve"> 10</w:t>
      </w:r>
      <w:r w:rsidR="00F2253F">
        <w:t xml:space="preserve">. </w:t>
      </w:r>
    </w:p>
    <w:p w14:paraId="50AE2B41" w14:textId="1F8CAD99" w:rsidR="006D74D3" w:rsidRDefault="00F2253F" w:rsidP="00AE1234">
      <w:pPr>
        <w:pStyle w:val="Tekstpodstawowy"/>
      </w:pPr>
      <w:r>
        <w:t xml:space="preserve">Given the relatively small number of research hubs, the decision </w:t>
      </w:r>
      <w:r w:rsidR="00A71E60">
        <w:t xml:space="preserve">regarding </w:t>
      </w:r>
      <w:r w:rsidR="008873F3">
        <w:t xml:space="preserve">a hub’s </w:t>
      </w:r>
      <w:r w:rsidR="00A71E60">
        <w:t xml:space="preserve">location </w:t>
      </w:r>
      <w:r>
        <w:t>is a significant strategic choice</w:t>
      </w:r>
      <w:r w:rsidR="00A71E60">
        <w:t>, often made at a Board level,</w:t>
      </w:r>
      <w:r>
        <w:t xml:space="preserve"> representing a long</w:t>
      </w:r>
      <w:r w:rsidR="004A49AA">
        <w:t>-</w:t>
      </w:r>
      <w:r>
        <w:t xml:space="preserve">term commitment to the market and the structure of the company. </w:t>
      </w:r>
      <w:r w:rsidR="004A49AA">
        <w:t>The l</w:t>
      </w:r>
      <w:r w:rsidR="00C21705">
        <w:t xml:space="preserve">iterature </w:t>
      </w:r>
      <w:r w:rsidR="004A49AA">
        <w:t>and interviews</w:t>
      </w:r>
      <w:r w:rsidR="00C21705">
        <w:t xml:space="preserve"> suggest that </w:t>
      </w:r>
      <w:r w:rsidR="000E62D9">
        <w:t>internal factors primarily dictate the decision on where to locate biopharmaceutical research activitie</w:t>
      </w:r>
      <w:r w:rsidR="00B91921" w:rsidRPr="00B91921">
        <w:t>s, both implicitly (</w:t>
      </w:r>
      <w:r w:rsidR="009120BF" w:rsidRPr="00B91921">
        <w:t>e.g.</w:t>
      </w:r>
      <w:r w:rsidR="00B91921" w:rsidRPr="00B91921">
        <w:t xml:space="preserve"> company culture and strategy) and explicitly (</w:t>
      </w:r>
      <w:r w:rsidR="009120BF" w:rsidRPr="00B91921">
        <w:t>e.g.</w:t>
      </w:r>
      <w:r w:rsidR="00B91921" w:rsidRPr="00B91921">
        <w:t xml:space="preserve"> </w:t>
      </w:r>
      <w:r w:rsidR="00B91921">
        <w:t xml:space="preserve">evaluation of the </w:t>
      </w:r>
      <w:r w:rsidR="00B91921" w:rsidRPr="00B91921">
        <w:t>location and performance of existing sites).</w:t>
      </w:r>
      <w:bookmarkStart w:id="101" w:name="_Ref105530773"/>
      <w:r w:rsidR="009E4AF0">
        <w:rPr>
          <w:rStyle w:val="Odwoanieprzypisudolnego"/>
        </w:rPr>
        <w:footnoteReference w:id="62"/>
      </w:r>
      <w:bookmarkEnd w:id="101"/>
      <w:r w:rsidR="000A2779" w:rsidRPr="00A71E60">
        <w:rPr>
          <w:vertAlign w:val="superscript"/>
        </w:rPr>
        <w:t>,</w:t>
      </w:r>
      <w:bookmarkStart w:id="102" w:name="_Ref105530897"/>
      <w:r w:rsidR="000A2779">
        <w:rPr>
          <w:rStyle w:val="Odwoanieprzypisudolnego"/>
        </w:rPr>
        <w:footnoteReference w:id="63"/>
      </w:r>
      <w:bookmarkEnd w:id="102"/>
      <w:r w:rsidR="0038427A" w:rsidRPr="00A71E60">
        <w:rPr>
          <w:vertAlign w:val="superscript"/>
        </w:rPr>
        <w:t>,</w:t>
      </w:r>
      <w:r w:rsidR="0038427A">
        <w:rPr>
          <w:rStyle w:val="Odwoanieprzypisudolnego"/>
        </w:rPr>
        <w:footnoteReference w:id="64"/>
      </w:r>
      <w:r w:rsidR="004145CD" w:rsidRPr="004145CD">
        <w:rPr>
          <w:rFonts w:asciiTheme="minorHAnsi" w:eastAsiaTheme="minorEastAsia" w:cstheme="minorBidi"/>
          <w:color w:val="000000" w:themeColor="text1"/>
          <w:kern w:val="24"/>
          <w:sz w:val="28"/>
          <w:szCs w:val="28"/>
        </w:rPr>
        <w:t xml:space="preserve"> </w:t>
      </w:r>
      <w:r w:rsidR="004A49AA">
        <w:t xml:space="preserve">For example, location of </w:t>
      </w:r>
      <w:r w:rsidR="004F7E9F">
        <w:t xml:space="preserve">new </w:t>
      </w:r>
      <w:r w:rsidR="004A49AA">
        <w:t xml:space="preserve">research centres is often based on how </w:t>
      </w:r>
      <w:r w:rsidR="00523F3A">
        <w:t>these fit</w:t>
      </w:r>
      <w:r w:rsidR="004A49AA">
        <w:t xml:space="preserve"> with existing commitment</w:t>
      </w:r>
      <w:r w:rsidR="00490F09">
        <w:t>s</w:t>
      </w:r>
      <w:r w:rsidR="004A49AA">
        <w:t xml:space="preserve"> to regional markets. A European hub will often replace an existing European hub.</w:t>
      </w:r>
      <w:bookmarkStart w:id="103" w:name="_Ref105531447"/>
      <w:r w:rsidR="00A71E60">
        <w:t xml:space="preserve"> </w:t>
      </w:r>
      <w:r w:rsidR="00FA451C">
        <w:t>So,</w:t>
      </w:r>
      <w:r w:rsidR="00A71E60">
        <w:t xml:space="preserve"> </w:t>
      </w:r>
      <w:r w:rsidR="001E2ABF">
        <w:t>for</w:t>
      </w:r>
      <w:r w:rsidR="00A71E60">
        <w:t xml:space="preserve"> </w:t>
      </w:r>
      <w:r w:rsidR="0051372F">
        <w:t xml:space="preserve">pharmaceutical </w:t>
      </w:r>
      <w:r w:rsidR="00A71E60">
        <w:t xml:space="preserve">companies, </w:t>
      </w:r>
      <w:r w:rsidR="0051372F">
        <w:t xml:space="preserve">their </w:t>
      </w:r>
      <w:r w:rsidR="00A71E60">
        <w:t xml:space="preserve">existing </w:t>
      </w:r>
      <w:r w:rsidR="008C738B">
        <w:t>geographic</w:t>
      </w:r>
      <w:r w:rsidR="00A71E60">
        <w:t xml:space="preserve"> footprint in terms of R&amp;D hubs is the starting point for any decision regarding the choice between Europe, the US, China and Japan.</w:t>
      </w:r>
      <w:r w:rsidR="004145CD">
        <w:rPr>
          <w:rStyle w:val="Odwoanieprzypisudolnego"/>
        </w:rPr>
        <w:footnoteReference w:id="65"/>
      </w:r>
      <w:bookmarkEnd w:id="103"/>
      <w:r w:rsidR="00AE1234" w:rsidRPr="00AE1234">
        <w:t xml:space="preserve"> </w:t>
      </w:r>
    </w:p>
    <w:p w14:paraId="39A3EA5E" w14:textId="77A2C5A2" w:rsidR="004A49AA" w:rsidRDefault="00DC6C30" w:rsidP="00AE1234">
      <w:pPr>
        <w:pStyle w:val="Tekstpodstawowy"/>
      </w:pPr>
      <w:r>
        <w:lastRenderedPageBreak/>
        <w:t xml:space="preserve">For </w:t>
      </w:r>
      <w:r w:rsidR="009629CB">
        <w:t xml:space="preserve">emerging start-up companies, </w:t>
      </w:r>
      <w:r w:rsidR="002676B5">
        <w:t>the</w:t>
      </w:r>
      <w:r w:rsidR="0029329D">
        <w:t xml:space="preserve">re is not necessarily a proactive decision on where to </w:t>
      </w:r>
      <w:r w:rsidR="003C44C2">
        <w:t>start activities</w:t>
      </w:r>
      <w:r w:rsidR="006C0646">
        <w:t>. Still,</w:t>
      </w:r>
      <w:r w:rsidR="003C44C2">
        <w:t xml:space="preserve"> </w:t>
      </w:r>
      <w:r w:rsidR="006C0646">
        <w:t xml:space="preserve">the </w:t>
      </w:r>
      <w:r w:rsidR="00FE5869">
        <w:t xml:space="preserve">location </w:t>
      </w:r>
      <w:r w:rsidR="002A28AC">
        <w:t>may often be</w:t>
      </w:r>
      <w:r w:rsidR="00FE5869">
        <w:t xml:space="preserve"> </w:t>
      </w:r>
      <w:r w:rsidR="003C44C2">
        <w:t>a passive</w:t>
      </w:r>
      <w:r w:rsidR="007E2082">
        <w:t xml:space="preserve"> result of where the innovation ecosystem is more </w:t>
      </w:r>
      <w:r w:rsidR="00FE5869">
        <w:t xml:space="preserve">conducive to the </w:t>
      </w:r>
      <w:r w:rsidR="00EA2F4B">
        <w:t>spin-out of companies from universities, for example</w:t>
      </w:r>
      <w:r w:rsidR="00F557E9">
        <w:t xml:space="preserve">, or where </w:t>
      </w:r>
      <w:r w:rsidR="003F7337">
        <w:t>a wealth of venture capital funding is available</w:t>
      </w:r>
      <w:r w:rsidR="00EA2F4B">
        <w:t>.</w:t>
      </w:r>
      <w:r w:rsidR="003F7337">
        <w:t xml:space="preserve"> Without </w:t>
      </w:r>
      <w:r w:rsidR="00851F68">
        <w:t xml:space="preserve">an established footprint, we expect </w:t>
      </w:r>
      <w:r w:rsidR="00D3300C">
        <w:t xml:space="preserve">the location of </w:t>
      </w:r>
      <w:r w:rsidR="00AB268D">
        <w:t>biotech start-ups to be driven by the external factors summarised below.</w:t>
      </w:r>
      <w:r w:rsidR="00BD4C5B">
        <w:t xml:space="preserve"> </w:t>
      </w:r>
    </w:p>
    <w:p w14:paraId="64DD5617" w14:textId="3A84C4DF" w:rsidR="009D0E39" w:rsidRDefault="008C3CEB" w:rsidP="00AE1234">
      <w:pPr>
        <w:pStyle w:val="Tekstpodstawowy"/>
      </w:pPr>
      <w:r>
        <w:t>S</w:t>
      </w:r>
      <w:r w:rsidR="00EA0FCF">
        <w:t xml:space="preserve">tudies indicate that </w:t>
      </w:r>
      <w:r w:rsidR="00AE1234" w:rsidRPr="00AE1234">
        <w:t>quality</w:t>
      </w:r>
      <w:r w:rsidR="00AE1234">
        <w:t xml:space="preserve"> </w:t>
      </w:r>
      <w:r w:rsidR="00A71E60">
        <w:t xml:space="preserve">of the scientific ecosystem </w:t>
      </w:r>
      <w:r w:rsidR="00AF0FEC" w:rsidRPr="00AE1234">
        <w:t>take</w:t>
      </w:r>
      <w:r w:rsidR="00A71E60">
        <w:t>s</w:t>
      </w:r>
      <w:r w:rsidR="00AE1234" w:rsidRPr="00AE1234">
        <w:t xml:space="preserve"> precedence over cost for </w:t>
      </w:r>
      <w:r w:rsidR="00AE1234">
        <w:t>research hub</w:t>
      </w:r>
      <w:r w:rsidR="00AE1234" w:rsidRPr="00AE1234">
        <w:t xml:space="preserve"> </w:t>
      </w:r>
      <w:r w:rsidR="00EA0FCF">
        <w:t xml:space="preserve">location </w:t>
      </w:r>
      <w:r w:rsidR="00AE1234" w:rsidRPr="00AE1234">
        <w:t>decisions</w:t>
      </w:r>
      <w:r w:rsidR="00AE1234">
        <w:t xml:space="preserve">. </w:t>
      </w:r>
      <w:r w:rsidR="00AE1234" w:rsidRPr="00AE1234">
        <w:t xml:space="preserve">Both surveys with </w:t>
      </w:r>
      <w:r w:rsidR="008873F3">
        <w:t>decision makers</w:t>
      </w:r>
      <w:r w:rsidR="00AE1234" w:rsidRPr="00AE1234">
        <w:t xml:space="preserve"> and economic analyses indicate that co-location with world-leading</w:t>
      </w:r>
      <w:r w:rsidR="0070264F">
        <w:t xml:space="preserve"> academic centres of excellence, research</w:t>
      </w:r>
      <w:r w:rsidR="00AE1234" w:rsidRPr="00AE1234">
        <w:t xml:space="preserve"> scientists and skilled research staff are key drivers </w:t>
      </w:r>
      <w:r w:rsidR="008127D8">
        <w:t xml:space="preserve">of </w:t>
      </w:r>
      <w:r w:rsidR="00AE1234" w:rsidRPr="00AE1234">
        <w:t>location</w:t>
      </w:r>
      <w:r w:rsidR="001D6566">
        <w:t>,</w:t>
      </w:r>
      <w:r>
        <w:t xml:space="preserve"> and </w:t>
      </w:r>
      <w:r w:rsidR="00A71E60">
        <w:t xml:space="preserve">in many cases, </w:t>
      </w:r>
      <w:r>
        <w:t xml:space="preserve">there are only a relatively small number of </w:t>
      </w:r>
      <w:r w:rsidR="001D6566">
        <w:t>world-</w:t>
      </w:r>
      <w:r>
        <w:t>class locations</w:t>
      </w:r>
      <w:r w:rsidR="00AE1234" w:rsidRPr="00AE1234">
        <w:t>.</w:t>
      </w:r>
      <w:r w:rsidR="009B67B8">
        <w:rPr>
          <w:rStyle w:val="Odwoanieprzypisudolnego"/>
        </w:rPr>
        <w:footnoteReference w:id="66"/>
      </w:r>
      <w:r w:rsidR="009B3561" w:rsidRPr="00A71E60">
        <w:rPr>
          <w:vertAlign w:val="superscript"/>
        </w:rPr>
        <w:t>,</w:t>
      </w:r>
      <w:r w:rsidR="00C734B7">
        <w:rPr>
          <w:rStyle w:val="Odwoanieprzypisudolnego"/>
        </w:rPr>
        <w:footnoteReference w:id="67"/>
      </w:r>
      <w:r w:rsidR="00AE1234" w:rsidRPr="00AE1234">
        <w:t xml:space="preserve"> </w:t>
      </w:r>
      <w:r w:rsidR="009D0E39">
        <w:t xml:space="preserve">Ability for these centres of academic excellence to collaborate with industry and translate academic research into successful candidates for the clinic is also key. </w:t>
      </w:r>
    </w:p>
    <w:p w14:paraId="4F4C9106" w14:textId="3B44A714" w:rsidR="00E104BD" w:rsidRDefault="0063729E" w:rsidP="00AE1234">
      <w:pPr>
        <w:pStyle w:val="Tekstpodstawowy"/>
      </w:pPr>
      <w:r w:rsidRPr="0060298D">
        <w:t xml:space="preserve">Cost is consistently ranked as </w:t>
      </w:r>
      <w:r w:rsidR="00A71E60">
        <w:t xml:space="preserve">one of </w:t>
      </w:r>
      <w:r w:rsidR="007345C2">
        <w:t xml:space="preserve">the </w:t>
      </w:r>
      <w:r w:rsidR="00A71E60">
        <w:t xml:space="preserve">least </w:t>
      </w:r>
      <w:r w:rsidRPr="0060298D">
        <w:t xml:space="preserve">important factors in </w:t>
      </w:r>
      <w:r>
        <w:t>research</w:t>
      </w:r>
      <w:r w:rsidRPr="0060298D">
        <w:t xml:space="preserve"> location decision-maker surveys</w:t>
      </w:r>
      <w:r>
        <w:t>.</w:t>
      </w:r>
      <w:r>
        <w:rPr>
          <w:rStyle w:val="Odwoanieprzypisudolnego"/>
        </w:rPr>
        <w:footnoteReference w:id="68"/>
      </w:r>
      <w:r w:rsidRPr="00B26357">
        <w:rPr>
          <w:vertAlign w:val="superscript"/>
        </w:rPr>
        <w:t>,</w:t>
      </w:r>
      <w:r>
        <w:rPr>
          <w:rStyle w:val="Odwoanieprzypisudolnego"/>
        </w:rPr>
        <w:footnoteReference w:id="69"/>
      </w:r>
      <w:r w:rsidRPr="00A71E60">
        <w:t xml:space="preserve"> </w:t>
      </w:r>
      <w:r>
        <w:t xml:space="preserve">This balance of factors is evident in </w:t>
      </w:r>
      <w:r w:rsidR="009C7EE4">
        <w:t xml:space="preserve">the </w:t>
      </w:r>
      <w:r>
        <w:t xml:space="preserve">recent </w:t>
      </w:r>
      <w:r w:rsidR="0090371D">
        <w:t>decision to</w:t>
      </w:r>
      <w:r w:rsidR="00D8144B">
        <w:t xml:space="preserve"> establish a</w:t>
      </w:r>
      <w:r w:rsidR="0090371D">
        <w:t xml:space="preserve"> major</w:t>
      </w:r>
      <w:r w:rsidR="00D8144B">
        <w:t xml:space="preserve"> research hub in London, UK, where </w:t>
      </w:r>
      <w:r w:rsidR="00DE6B42">
        <w:t xml:space="preserve">the </w:t>
      </w:r>
      <w:r w:rsidR="00D8144B">
        <w:t>cost of labour</w:t>
      </w:r>
      <w:r w:rsidR="006737B9">
        <w:t xml:space="preserve"> and </w:t>
      </w:r>
      <w:r w:rsidR="00D8144B">
        <w:t xml:space="preserve">production </w:t>
      </w:r>
      <w:r w:rsidR="006737B9">
        <w:t>are high</w:t>
      </w:r>
      <w:r w:rsidR="00A6408D">
        <w:t>,</w:t>
      </w:r>
      <w:r w:rsidR="006737B9">
        <w:t xml:space="preserve"> but access to world-leading scientists and skilled staff</w:t>
      </w:r>
      <w:r w:rsidR="00D8144B">
        <w:t xml:space="preserve"> </w:t>
      </w:r>
      <w:r w:rsidR="00804856">
        <w:t>act</w:t>
      </w:r>
      <w:r w:rsidR="002B514C">
        <w:t>ed</w:t>
      </w:r>
      <w:r w:rsidR="00804856">
        <w:t xml:space="preserve"> as sufficient</w:t>
      </w:r>
      <w:r w:rsidR="006F60C9">
        <w:t>ly attractive</w:t>
      </w:r>
      <w:r w:rsidR="00804856">
        <w:t xml:space="preserve"> incentives </w:t>
      </w:r>
      <w:r w:rsidR="006B3AE7">
        <w:t>(</w:t>
      </w:r>
      <w:r w:rsidR="006B3AE7">
        <w:fldChar w:fldCharType="begin"/>
      </w:r>
      <w:r w:rsidR="006B3AE7">
        <w:instrText xml:space="preserve"> REF _Ref106295595 \h </w:instrText>
      </w:r>
      <w:r w:rsidR="006B3AE7">
        <w:fldChar w:fldCharType="separate"/>
      </w:r>
      <w:r w:rsidR="006B3AE7">
        <w:t xml:space="preserve">Box </w:t>
      </w:r>
      <w:r w:rsidR="006B3AE7">
        <w:rPr>
          <w:noProof/>
        </w:rPr>
        <w:t>3</w:t>
      </w:r>
      <w:r w:rsidR="006B3AE7">
        <w:fldChar w:fldCharType="end"/>
      </w:r>
      <w:r w:rsidR="006B3AE7">
        <w:t>).</w:t>
      </w:r>
    </w:p>
    <w:p w14:paraId="5412FD0B" w14:textId="4EB34A5E" w:rsidR="000B57AE" w:rsidRDefault="000B57AE" w:rsidP="004356D1">
      <w:pPr>
        <w:pStyle w:val="Legenda"/>
      </w:pPr>
      <w:bookmarkStart w:id="104" w:name="_Ref106295595"/>
      <w:r>
        <w:t xml:space="preserve">Box </w:t>
      </w:r>
      <w:r>
        <w:fldChar w:fldCharType="begin"/>
      </w:r>
      <w:r>
        <w:instrText xml:space="preserve"> SEQ Box \* ARABIC </w:instrText>
      </w:r>
      <w:r>
        <w:fldChar w:fldCharType="separate"/>
      </w:r>
      <w:r w:rsidR="002D7E04">
        <w:rPr>
          <w:noProof/>
        </w:rPr>
        <w:t>3</w:t>
      </w:r>
      <w:r>
        <w:fldChar w:fldCharType="end"/>
      </w:r>
      <w:bookmarkEnd w:id="104"/>
      <w:r>
        <w:t xml:space="preserve">: </w:t>
      </w:r>
      <w:r w:rsidRPr="00374DF4">
        <w:t xml:space="preserve">Case study | </w:t>
      </w:r>
      <w:r w:rsidR="002F1397">
        <w:t>I</w:t>
      </w:r>
      <w:r w:rsidRPr="00374DF4">
        <w:t>nvestment in London</w:t>
      </w:r>
      <w:r w:rsidR="001F2F0A">
        <w:t>’</w:t>
      </w:r>
      <w:r w:rsidRPr="00374DF4">
        <w:t xml:space="preserve">s </w:t>
      </w:r>
      <w:r w:rsidR="001F2F0A">
        <w:t>“</w:t>
      </w:r>
      <w:r w:rsidRPr="00374DF4">
        <w:t>Knowledge Quarter</w:t>
      </w:r>
      <w:r w:rsidR="001F2F0A">
        <w:t>”</w:t>
      </w:r>
    </w:p>
    <w:tbl>
      <w:tblPr>
        <w:tblStyle w:val="Tabela-Siatka"/>
        <w:tblW w:w="0" w:type="auto"/>
        <w:tblBorders>
          <w:top w:val="single" w:sz="12" w:space="0" w:color="C0C0C0" w:themeColor="text2"/>
          <w:left w:val="single" w:sz="12" w:space="0" w:color="C0C0C0" w:themeColor="text2"/>
          <w:bottom w:val="single" w:sz="12" w:space="0" w:color="C0C0C0" w:themeColor="text2"/>
          <w:right w:val="single" w:sz="12" w:space="0" w:color="C0C0C0" w:themeColor="text2"/>
          <w:insideH w:val="none" w:sz="0" w:space="0" w:color="auto"/>
          <w:insideV w:val="none" w:sz="0" w:space="0" w:color="auto"/>
        </w:tblBorders>
        <w:shd w:val="clear" w:color="auto" w:fill="EBF4FB" w:themeFill="accent2" w:themeFillTint="33"/>
        <w:tblLook w:val="04A0" w:firstRow="1" w:lastRow="0" w:firstColumn="1" w:lastColumn="0" w:noHBand="0" w:noVBand="1"/>
      </w:tblPr>
      <w:tblGrid>
        <w:gridCol w:w="7920"/>
      </w:tblGrid>
      <w:tr w:rsidR="00E104BD" w14:paraId="7215D8F4" w14:textId="77777777" w:rsidTr="004356D1">
        <w:tc>
          <w:tcPr>
            <w:tcW w:w="7920" w:type="dxa"/>
            <w:shd w:val="clear" w:color="auto" w:fill="EBF4FB" w:themeFill="accent2" w:themeFillTint="33"/>
          </w:tcPr>
          <w:p w14:paraId="225F121C" w14:textId="1F0C1A2E" w:rsidR="006B3AE7" w:rsidRDefault="00C14AA5" w:rsidP="00E104BD">
            <w:pPr>
              <w:pStyle w:val="Tekstpodstawowy"/>
              <w:spacing w:before="60" w:after="60" w:line="264" w:lineRule="auto"/>
            </w:pPr>
            <w:r>
              <w:t>In 2020, MSD announced that London had been selected as the location for their new Discovery Research Centre</w:t>
            </w:r>
            <w:r w:rsidR="00245909">
              <w:t>,</w:t>
            </w:r>
            <w:r w:rsidR="00903E08">
              <w:t xml:space="preserve"> and they would be </w:t>
            </w:r>
            <w:r>
              <w:t>investing over $1.3 billion in its development.</w:t>
            </w:r>
            <w:r w:rsidR="00FB5026">
              <w:rPr>
                <w:rStyle w:val="Odwoanieprzypisudolnego"/>
              </w:rPr>
              <w:footnoteReference w:id="70"/>
            </w:r>
            <w:r w:rsidR="00D274F2">
              <w:t xml:space="preserve"> </w:t>
            </w:r>
            <w:r w:rsidR="00C832C9">
              <w:t xml:space="preserve">The new research hub will be located opposite London King’s Cross railway station, </w:t>
            </w:r>
            <w:r w:rsidR="00E25562">
              <w:t xml:space="preserve">one of the </w:t>
            </w:r>
            <w:r w:rsidR="00F53928">
              <w:t>UK’s largest transport hubs.</w:t>
            </w:r>
            <w:r w:rsidR="00305C57">
              <w:t xml:space="preserve"> This site was attractive for multiple reasons:</w:t>
            </w:r>
            <w:r w:rsidR="00A24A91">
              <w:rPr>
                <w:rStyle w:val="Odwoanieprzypisudolnego"/>
              </w:rPr>
              <w:footnoteReference w:id="71"/>
            </w:r>
          </w:p>
          <w:p w14:paraId="7ECB9B58" w14:textId="4672D5A5" w:rsidR="006B3AE7" w:rsidRDefault="006B3AE7" w:rsidP="006B3AE7">
            <w:pPr>
              <w:pStyle w:val="Tekstpodstawowy"/>
              <w:numPr>
                <w:ilvl w:val="0"/>
                <w:numId w:val="159"/>
              </w:numPr>
              <w:spacing w:before="60" w:after="60" w:line="264" w:lineRule="auto"/>
            </w:pPr>
            <w:r w:rsidRPr="006B3AE7">
              <w:t>Primarily, it allows proximity to highly qualified research staff. London has a number of world-leading universities, is densely populated, and is regarded as a desirable location to live, making recruiting and retaining the right talent easier in an increasingly competitive labour market.</w:t>
            </w:r>
          </w:p>
          <w:p w14:paraId="086E6F82" w14:textId="7EC24B31" w:rsidR="004D0148" w:rsidRDefault="004D0148" w:rsidP="000A2E03">
            <w:pPr>
              <w:pStyle w:val="Tekstpodstawowy"/>
              <w:numPr>
                <w:ilvl w:val="0"/>
                <w:numId w:val="159"/>
              </w:numPr>
              <w:spacing w:before="60" w:after="60" w:line="264" w:lineRule="auto"/>
            </w:pPr>
            <w:r>
              <w:t xml:space="preserve">It also facilitates access to potential collaborators. </w:t>
            </w:r>
            <w:r w:rsidR="00CD151F">
              <w:t xml:space="preserve">The </w:t>
            </w:r>
            <w:r w:rsidR="000A644A">
              <w:t xml:space="preserve">UK’s </w:t>
            </w:r>
            <w:r w:rsidR="00A8384D">
              <w:t xml:space="preserve">science and research </w:t>
            </w:r>
            <w:r w:rsidR="00A24A91">
              <w:t xml:space="preserve">capabilities are </w:t>
            </w:r>
            <w:r w:rsidR="00A8384D">
              <w:t>strong</w:t>
            </w:r>
            <w:r w:rsidR="00D45597">
              <w:t xml:space="preserve"> and have been for decades</w:t>
            </w:r>
            <w:r w:rsidR="00A8384D">
              <w:t xml:space="preserve">, </w:t>
            </w:r>
            <w:r w:rsidR="00A24A91">
              <w:t>being home to</w:t>
            </w:r>
            <w:r w:rsidR="00A8384D">
              <w:t xml:space="preserve"> two </w:t>
            </w:r>
            <w:r w:rsidR="00A8384D">
              <w:lastRenderedPageBreak/>
              <w:t>of the</w:t>
            </w:r>
            <w:r w:rsidR="00A24A91">
              <w:t xml:space="preserve"> world’s</w:t>
            </w:r>
            <w:r w:rsidR="00A8384D">
              <w:t xml:space="preserve"> </w:t>
            </w:r>
            <w:r w:rsidR="00A24A91">
              <w:t>top five universities for life sciences.</w:t>
            </w:r>
            <w:r w:rsidR="00A24A91">
              <w:rPr>
                <w:rStyle w:val="Odwoanieprzypisudolnego"/>
              </w:rPr>
              <w:footnoteReference w:id="72"/>
            </w:r>
            <w:r w:rsidR="00900433">
              <w:t xml:space="preserve"> </w:t>
            </w:r>
            <w:r w:rsidR="00347863">
              <w:t xml:space="preserve">Locating </w:t>
            </w:r>
            <w:r w:rsidR="0030358C">
              <w:t>b</w:t>
            </w:r>
            <w:r w:rsidR="00347863">
              <w:t xml:space="preserve">y a major </w:t>
            </w:r>
            <w:r w:rsidR="00D45597">
              <w:t>London</w:t>
            </w:r>
            <w:r w:rsidR="00347863">
              <w:t xml:space="preserve"> </w:t>
            </w:r>
            <w:r w:rsidR="00287412">
              <w:t xml:space="preserve">transport </w:t>
            </w:r>
            <w:r w:rsidR="00281B98">
              <w:t>hub</w:t>
            </w:r>
            <w:r w:rsidR="00347863">
              <w:t xml:space="preserve"> also facilitates connections to </w:t>
            </w:r>
            <w:r w:rsidR="00D45597">
              <w:t xml:space="preserve">other </w:t>
            </w:r>
            <w:r w:rsidR="00347863">
              <w:t>collaborators in Europe and the rest of the world.</w:t>
            </w:r>
          </w:p>
          <w:p w14:paraId="50C6B4E0" w14:textId="128A6DE9" w:rsidR="00E104BD" w:rsidRDefault="00723AD4" w:rsidP="000A2E03">
            <w:pPr>
              <w:pStyle w:val="Tekstpodstawowy"/>
              <w:numPr>
                <w:ilvl w:val="0"/>
                <w:numId w:val="159"/>
              </w:numPr>
              <w:spacing w:before="60" w:after="60" w:line="264" w:lineRule="auto"/>
            </w:pPr>
            <w:r>
              <w:t xml:space="preserve">London also offers practical benefits, such as </w:t>
            </w:r>
            <w:r w:rsidR="007721E9">
              <w:t>having</w:t>
            </w:r>
            <w:r w:rsidR="00306417">
              <w:t xml:space="preserve"> English </w:t>
            </w:r>
            <w:r w:rsidR="007721E9">
              <w:t>as the local</w:t>
            </w:r>
            <w:r w:rsidR="00306417">
              <w:t xml:space="preserve"> </w:t>
            </w:r>
            <w:r>
              <w:t xml:space="preserve">language </w:t>
            </w:r>
            <w:r w:rsidR="00306417">
              <w:t>(which for a US company helps with transferability of labour</w:t>
            </w:r>
            <w:r w:rsidR="007721E9">
              <w:t xml:space="preserve"> within the company</w:t>
            </w:r>
            <w:r w:rsidR="00306417">
              <w:t>)</w:t>
            </w:r>
            <w:r w:rsidR="00C20061">
              <w:t xml:space="preserve"> and accessibility </w:t>
            </w:r>
            <w:r w:rsidR="0030358C">
              <w:t xml:space="preserve">and connectivity </w:t>
            </w:r>
            <w:r w:rsidR="00C20061">
              <w:t>(</w:t>
            </w:r>
            <w:r w:rsidR="009B7B7F">
              <w:t xml:space="preserve">with </w:t>
            </w:r>
            <w:r w:rsidR="00C20061">
              <w:t>links to</w:t>
            </w:r>
            <w:r w:rsidR="00FA1414">
              <w:t xml:space="preserve"> </w:t>
            </w:r>
            <w:r w:rsidR="00C20061">
              <w:t xml:space="preserve">the </w:t>
            </w:r>
            <w:r w:rsidR="00FB3C16">
              <w:t>academic triangle of Cambridge</w:t>
            </w:r>
            <w:r w:rsidR="004F464B">
              <w:t>-</w:t>
            </w:r>
            <w:r w:rsidR="00FB3C16">
              <w:t>Oxford</w:t>
            </w:r>
            <w:r w:rsidR="004F464B">
              <w:t>-</w:t>
            </w:r>
            <w:r w:rsidR="00FB3C16">
              <w:t>London</w:t>
            </w:r>
            <w:r w:rsidR="00C20061">
              <w:t xml:space="preserve">, and </w:t>
            </w:r>
            <w:r w:rsidR="0082587F">
              <w:t xml:space="preserve">direct flights possible </w:t>
            </w:r>
            <w:r w:rsidR="003E7C3C">
              <w:t xml:space="preserve">to and </w:t>
            </w:r>
            <w:r w:rsidR="0082587F">
              <w:t>from the US).</w:t>
            </w:r>
          </w:p>
        </w:tc>
      </w:tr>
    </w:tbl>
    <w:p w14:paraId="77F4C9FA" w14:textId="1A7CCB1E" w:rsidR="002D3BFE" w:rsidRDefault="004C3396" w:rsidP="00AE1234">
      <w:pPr>
        <w:pStyle w:val="Tekstpodstawowy"/>
      </w:pPr>
      <w:r w:rsidRPr="000A2E03">
        <w:rPr>
          <w:sz w:val="16"/>
          <w:szCs w:val="16"/>
        </w:rPr>
        <w:lastRenderedPageBreak/>
        <w:t>Source: Press releases and interview programme</w:t>
      </w:r>
    </w:p>
    <w:p w14:paraId="6D41F077" w14:textId="14EB45DF" w:rsidR="00C258D7" w:rsidRDefault="004356D1" w:rsidP="00AE1234">
      <w:pPr>
        <w:pStyle w:val="Tekstpodstawowy"/>
      </w:pPr>
      <w:r>
        <w:t xml:space="preserve">Clusters also play an important role. </w:t>
      </w:r>
      <w:r w:rsidR="002834BF">
        <w:t>Research</w:t>
      </w:r>
      <w:r w:rsidR="00AE1234" w:rsidRPr="00AE1234">
        <w:t xml:space="preserve"> clusters are likely a </w:t>
      </w:r>
      <w:r w:rsidR="00297336">
        <w:t xml:space="preserve">result </w:t>
      </w:r>
      <w:r w:rsidR="00AE1234" w:rsidRPr="00AE1234">
        <w:t>of companies all gravitating towards the</w:t>
      </w:r>
      <w:r w:rsidR="00981732">
        <w:t>se centres of expertise</w:t>
      </w:r>
      <w:r w:rsidR="00AE1234" w:rsidRPr="00AE1234">
        <w:t>,</w:t>
      </w:r>
      <w:r w:rsidR="005B2703" w:rsidRPr="000541C2">
        <w:rPr>
          <w:rStyle w:val="Odwoanieprzypisudolnego"/>
        </w:rPr>
        <w:fldChar w:fldCharType="begin"/>
      </w:r>
      <w:r w:rsidR="005B2703" w:rsidRPr="000541C2">
        <w:rPr>
          <w:rStyle w:val="Odwoanieprzypisudolnego"/>
        </w:rPr>
        <w:instrText xml:space="preserve"> NOTEREF _Ref105530773 \h </w:instrText>
      </w:r>
      <w:r w:rsidR="000541C2">
        <w:rPr>
          <w:rStyle w:val="Odwoanieprzypisudolnego"/>
        </w:rPr>
        <w:instrText xml:space="preserve"> \* MERGEFORMAT </w:instrText>
      </w:r>
      <w:r w:rsidR="005B2703" w:rsidRPr="000541C2">
        <w:rPr>
          <w:rStyle w:val="Odwoanieprzypisudolnego"/>
        </w:rPr>
      </w:r>
      <w:r w:rsidR="005B2703" w:rsidRPr="000541C2">
        <w:rPr>
          <w:rStyle w:val="Odwoanieprzypisudolnego"/>
        </w:rPr>
        <w:fldChar w:fldCharType="separate"/>
      </w:r>
      <w:r w:rsidR="009A273A">
        <w:rPr>
          <w:rStyle w:val="Odwoanieprzypisudolnego"/>
        </w:rPr>
        <w:t>61</w:t>
      </w:r>
      <w:r w:rsidR="005B2703" w:rsidRPr="000541C2">
        <w:rPr>
          <w:rStyle w:val="Odwoanieprzypisudolnego"/>
        </w:rPr>
        <w:fldChar w:fldCharType="end"/>
      </w:r>
      <w:r w:rsidR="005B2703" w:rsidRPr="000541C2">
        <w:rPr>
          <w:rStyle w:val="Odwoanieprzypisudolnego"/>
        </w:rPr>
        <w:t>,</w:t>
      </w:r>
      <w:r w:rsidR="005B2703" w:rsidRPr="000541C2">
        <w:rPr>
          <w:rStyle w:val="Odwoanieprzypisudolnego"/>
        </w:rPr>
        <w:fldChar w:fldCharType="begin"/>
      </w:r>
      <w:r w:rsidR="005B2703" w:rsidRPr="000541C2">
        <w:rPr>
          <w:rStyle w:val="Odwoanieprzypisudolnego"/>
        </w:rPr>
        <w:instrText xml:space="preserve"> NOTEREF _Ref105530897 \h </w:instrText>
      </w:r>
      <w:r w:rsidR="000541C2">
        <w:rPr>
          <w:rStyle w:val="Odwoanieprzypisudolnego"/>
        </w:rPr>
        <w:instrText xml:space="preserve"> \* MERGEFORMAT </w:instrText>
      </w:r>
      <w:r w:rsidR="005B2703" w:rsidRPr="000541C2">
        <w:rPr>
          <w:rStyle w:val="Odwoanieprzypisudolnego"/>
        </w:rPr>
      </w:r>
      <w:r w:rsidR="005B2703" w:rsidRPr="000541C2">
        <w:rPr>
          <w:rStyle w:val="Odwoanieprzypisudolnego"/>
        </w:rPr>
        <w:fldChar w:fldCharType="separate"/>
      </w:r>
      <w:r w:rsidR="00581F81">
        <w:rPr>
          <w:rStyle w:val="Odwoanieprzypisudolnego"/>
        </w:rPr>
        <w:t>62</w:t>
      </w:r>
      <w:r w:rsidR="005B2703" w:rsidRPr="000541C2">
        <w:rPr>
          <w:rStyle w:val="Odwoanieprzypisudolnego"/>
        </w:rPr>
        <w:fldChar w:fldCharType="end"/>
      </w:r>
      <w:r w:rsidR="00AE1234" w:rsidRPr="00AE1234">
        <w:t xml:space="preserve"> and a driver for further inward investment due to the knowledge </w:t>
      </w:r>
      <w:proofErr w:type="spellStart"/>
      <w:r w:rsidR="00AE1234" w:rsidRPr="00AE1234">
        <w:t>spillover</w:t>
      </w:r>
      <w:proofErr w:type="spellEnd"/>
      <w:r w:rsidR="00AE1234" w:rsidRPr="00AE1234">
        <w:t xml:space="preserve"> benefits and </w:t>
      </w:r>
      <w:r w:rsidR="0098513C">
        <w:t>“</w:t>
      </w:r>
      <w:r w:rsidR="00AE1234" w:rsidRPr="00AE1234">
        <w:t>place-to-be</w:t>
      </w:r>
      <w:r w:rsidR="0071248F">
        <w:t xml:space="preserve"> </w:t>
      </w:r>
      <w:r w:rsidR="00AE1234" w:rsidRPr="00AE1234">
        <w:t>effect</w:t>
      </w:r>
      <w:r w:rsidR="0098513C">
        <w:t>”</w:t>
      </w:r>
      <w:r w:rsidR="00AE1234" w:rsidRPr="00AE1234">
        <w:t>.</w:t>
      </w:r>
      <w:r w:rsidR="000541C2">
        <w:rPr>
          <w:rStyle w:val="Odwoanieprzypisudolnego"/>
        </w:rPr>
        <w:footnoteReference w:id="73"/>
      </w:r>
      <w:r w:rsidR="00AE1234">
        <w:t xml:space="preserve"> </w:t>
      </w:r>
    </w:p>
    <w:p w14:paraId="7870AC0E" w14:textId="20E4314A" w:rsidR="00A34CB8" w:rsidRDefault="00A37FA8" w:rsidP="00AE1234">
      <w:pPr>
        <w:pStyle w:val="Tekstpodstawowy"/>
      </w:pPr>
      <w:r>
        <w:t>The literature on factors attracting R&amp;D investments suggests that there has been little change over previous decades in what drives companies to invest in a location</w:t>
      </w:r>
      <w:r w:rsidR="00CE154A">
        <w:t xml:space="preserve"> for a research hub</w:t>
      </w:r>
      <w:r>
        <w:t xml:space="preserve">. </w:t>
      </w:r>
      <w:r w:rsidR="00CB6F9A">
        <w:t xml:space="preserve">Our interview programme largely confirmed this; </w:t>
      </w:r>
      <w:r>
        <w:t>however</w:t>
      </w:r>
      <w:r w:rsidR="00CB6F9A">
        <w:t>,</w:t>
      </w:r>
      <w:r>
        <w:t xml:space="preserve"> </w:t>
      </w:r>
      <w:r w:rsidR="00CB6F9A">
        <w:t>one additional driver is</w:t>
      </w:r>
      <w:r w:rsidR="00A47B7D">
        <w:t xml:space="preserve"> emerging: the digital infrastructure.</w:t>
      </w:r>
      <w:r w:rsidR="00B07BDF">
        <w:t xml:space="preserve"> Digital transformation in the pharmaceutical industry is complex, </w:t>
      </w:r>
      <w:r w:rsidR="00140143">
        <w:t xml:space="preserve">especially in large companies with established infrastructure. To modernise processes and </w:t>
      </w:r>
      <w:r w:rsidR="00A538EA">
        <w:t xml:space="preserve">keep pace with the digital evolution of the industry, particularly post-COVID-19, </w:t>
      </w:r>
      <w:r w:rsidR="000C28D5">
        <w:t>pharmaceutical companies look towards countries w</w:t>
      </w:r>
      <w:r w:rsidR="00027871">
        <w:t>ith</w:t>
      </w:r>
      <w:r w:rsidR="000C28D5">
        <w:t xml:space="preserve"> a supportive digital ecosystem. This </w:t>
      </w:r>
      <w:r w:rsidR="00C42E77">
        <w:t>requires access to a</w:t>
      </w:r>
      <w:r w:rsidR="00640F88">
        <w:t xml:space="preserve"> rich</w:t>
      </w:r>
      <w:r w:rsidR="00C42E77">
        <w:t xml:space="preserve"> talent pool of</w:t>
      </w:r>
      <w:r w:rsidR="000C28D5">
        <w:t xml:space="preserve"> </w:t>
      </w:r>
      <w:r w:rsidR="00C42E77">
        <w:t xml:space="preserve">people and organisations who are highly trained in digital skills and </w:t>
      </w:r>
      <w:r w:rsidR="00370097">
        <w:t xml:space="preserve">data </w:t>
      </w:r>
      <w:r w:rsidR="00C42E77">
        <w:t xml:space="preserve">handling, </w:t>
      </w:r>
      <w:r w:rsidR="00D34292">
        <w:t xml:space="preserve">digital </w:t>
      </w:r>
      <w:r w:rsidR="00640F88">
        <w:t xml:space="preserve">communication </w:t>
      </w:r>
      <w:r w:rsidR="00D34292">
        <w:t xml:space="preserve">infrastructure and data sharing capabilities, and presence of companies specialised in data </w:t>
      </w:r>
      <w:r w:rsidR="007320EA">
        <w:t xml:space="preserve">who can act as support services to the </w:t>
      </w:r>
      <w:r w:rsidR="00BE5983">
        <w:t>pharmaceutical</w:t>
      </w:r>
      <w:r w:rsidR="007320EA">
        <w:t xml:space="preserve"> industry in automating parts of the research process (and subsequent value chain).</w:t>
      </w:r>
      <w:r w:rsidR="007320EA">
        <w:rPr>
          <w:rStyle w:val="Odwoanieprzypisudolnego"/>
        </w:rPr>
        <w:footnoteReference w:id="74"/>
      </w:r>
    </w:p>
    <w:p w14:paraId="607F2111" w14:textId="6D439CFA" w:rsidR="000C5852" w:rsidRDefault="000C5852" w:rsidP="004356D1">
      <w:pPr>
        <w:pStyle w:val="Nagwek4"/>
      </w:pPr>
      <w:bookmarkStart w:id="105" w:name="_Hlk106298714"/>
      <w:r>
        <w:t xml:space="preserve">Understanding global trends in </w:t>
      </w:r>
      <w:r w:rsidR="00E75ABC">
        <w:t xml:space="preserve">location of </w:t>
      </w:r>
      <w:r>
        <w:t>research hub</w:t>
      </w:r>
      <w:bookmarkEnd w:id="105"/>
      <w:r w:rsidR="00E75ABC">
        <w:t>s</w:t>
      </w:r>
      <w:r w:rsidR="00B03706">
        <w:t xml:space="preserve">: </w:t>
      </w:r>
      <w:r w:rsidR="00297336">
        <w:t>e</w:t>
      </w:r>
      <w:r w:rsidR="00F30879">
        <w:t>xplaining China</w:t>
      </w:r>
    </w:p>
    <w:p w14:paraId="57F046E5" w14:textId="345C08CE" w:rsidR="00F62321" w:rsidRDefault="004356D1" w:rsidP="00302A58">
      <w:pPr>
        <w:pStyle w:val="Tekstpodstawowy"/>
      </w:pPr>
      <w:r>
        <w:t xml:space="preserve">The explanation above would suggest </w:t>
      </w:r>
      <w:r w:rsidR="00BE5983">
        <w:t>that the</w:t>
      </w:r>
      <w:r>
        <w:t xml:space="preserve"> location of R&amp;D hubs would change only slowly over time</w:t>
      </w:r>
      <w:r w:rsidR="00B301BE">
        <w:t xml:space="preserve">; </w:t>
      </w:r>
      <w:r>
        <w:t>h</w:t>
      </w:r>
      <w:r w:rsidR="00681A7B">
        <w:t xml:space="preserve">owever, </w:t>
      </w:r>
      <w:r w:rsidR="00F62321">
        <w:t xml:space="preserve">in reality, we have observed </w:t>
      </w:r>
      <w:r>
        <w:t>a series of significant decision</w:t>
      </w:r>
      <w:r w:rsidR="003D10F5">
        <w:t>s</w:t>
      </w:r>
      <w:r>
        <w:t xml:space="preserve"> to </w:t>
      </w:r>
      <w:r w:rsidR="00F62321">
        <w:t xml:space="preserve">open research hubs in China, mostly </w:t>
      </w:r>
      <w:r w:rsidR="00A354AD">
        <w:t xml:space="preserve">in </w:t>
      </w:r>
      <w:r w:rsidR="00F62321">
        <w:t xml:space="preserve">Shanghai. </w:t>
      </w:r>
      <w:r w:rsidR="00FC0F2D">
        <w:t>Th</w:t>
      </w:r>
      <w:r w:rsidR="007B4768">
        <w:t>e first global pharmaceutical company to establish a</w:t>
      </w:r>
      <w:r w:rsidR="00A026F7">
        <w:t xml:space="preserve"> major</w:t>
      </w:r>
      <w:r w:rsidR="007B4768">
        <w:t xml:space="preserve"> </w:t>
      </w:r>
      <w:r w:rsidR="002E7A0E">
        <w:t>research facility in China was Novo Nordisk in 1997</w:t>
      </w:r>
      <w:r w:rsidR="00641526">
        <w:t>, and now</w:t>
      </w:r>
      <w:r w:rsidR="005D371C">
        <w:t xml:space="preserve"> </w:t>
      </w:r>
      <w:r w:rsidR="00A059B1">
        <w:t xml:space="preserve">11 of the top 15 global pharmaceutical companies have a </w:t>
      </w:r>
      <w:r w:rsidR="00A026F7">
        <w:t xml:space="preserve">significant </w:t>
      </w:r>
      <w:r w:rsidR="00A059B1">
        <w:t>research hub in mainland China (</w:t>
      </w:r>
      <w:r w:rsidR="00A059B1" w:rsidRPr="000A2E03">
        <w:fldChar w:fldCharType="begin"/>
      </w:r>
      <w:r w:rsidR="00A059B1">
        <w:instrText xml:space="preserve"> REF _Ref106271174 \h </w:instrText>
      </w:r>
      <w:r w:rsidR="00A059B1" w:rsidRPr="000A2E03">
        <w:fldChar w:fldCharType="separate"/>
      </w:r>
      <w:r w:rsidR="0096162B">
        <w:t xml:space="preserve">Figure </w:t>
      </w:r>
      <w:r w:rsidR="0096162B">
        <w:rPr>
          <w:noProof/>
        </w:rPr>
        <w:t>11</w:t>
      </w:r>
      <w:r w:rsidR="00A059B1" w:rsidRPr="000A2E03">
        <w:fldChar w:fldCharType="end"/>
      </w:r>
      <w:r w:rsidR="00A059B1">
        <w:t>).</w:t>
      </w:r>
    </w:p>
    <w:p w14:paraId="689CCA60" w14:textId="378DEDD4" w:rsidR="001E5F7F" w:rsidRDefault="001E5F7F" w:rsidP="001E5F7F">
      <w:pPr>
        <w:pStyle w:val="Legenda"/>
      </w:pPr>
      <w:bookmarkStart w:id="106" w:name="_Ref106271174"/>
      <w:bookmarkStart w:id="107" w:name="_Toc115717804"/>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5667DB">
        <w:rPr>
          <w:noProof/>
        </w:rPr>
        <w:t>11</w:t>
      </w:r>
      <w:r w:rsidR="00F64CC5" w:rsidRPr="000A2E03">
        <w:fldChar w:fldCharType="end"/>
      </w:r>
      <w:bookmarkEnd w:id="106"/>
      <w:r>
        <w:t xml:space="preserve">: </w:t>
      </w:r>
      <w:r w:rsidR="00ED6237">
        <w:t>The majority of large</w:t>
      </w:r>
      <w:r>
        <w:t xml:space="preserve"> </w:t>
      </w:r>
      <w:r w:rsidR="00ED6237">
        <w:t>multinational</w:t>
      </w:r>
      <w:r>
        <w:t xml:space="preserve"> pharmaceutical companies</w:t>
      </w:r>
      <w:r w:rsidR="00ED6237">
        <w:t xml:space="preserve"> now have an R&amp;D centre in China</w:t>
      </w:r>
      <w:bookmarkEnd w:id="107"/>
    </w:p>
    <w:p w14:paraId="1A02C84E" w14:textId="69F8B472" w:rsidR="001E5F7F" w:rsidRPr="00CF6AAE" w:rsidRDefault="002C1564" w:rsidP="00AE1234">
      <w:pPr>
        <w:pStyle w:val="Tekstpodstawowy"/>
        <w:rPr>
          <w:sz w:val="16"/>
          <w:szCs w:val="16"/>
        </w:rPr>
      </w:pPr>
      <w:r w:rsidRPr="000A2E03">
        <w:rPr>
          <w:noProof/>
        </w:rPr>
        <w:drawing>
          <wp:inline distT="0" distB="0" distL="0" distR="0" wp14:anchorId="2398EFF7" wp14:editId="4F66DF05">
            <wp:extent cx="5061091" cy="2846567"/>
            <wp:effectExtent l="19050" t="19050" r="2540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4279" cy="2853984"/>
                    </a:xfrm>
                    <a:prstGeom prst="rect">
                      <a:avLst/>
                    </a:prstGeom>
                    <a:noFill/>
                    <a:ln>
                      <a:solidFill>
                        <a:schemeClr val="tx2"/>
                      </a:solidFill>
                    </a:ln>
                  </pic:spPr>
                </pic:pic>
              </a:graphicData>
            </a:graphic>
          </wp:inline>
        </w:drawing>
      </w:r>
      <w:r w:rsidR="001E5F7F" w:rsidRPr="004356D1">
        <w:rPr>
          <w:sz w:val="16"/>
          <w:szCs w:val="16"/>
        </w:rPr>
        <w:t>Source</w:t>
      </w:r>
      <w:r w:rsidR="003326FE" w:rsidRPr="004356D1">
        <w:rPr>
          <w:sz w:val="16"/>
          <w:szCs w:val="16"/>
        </w:rPr>
        <w:t>s</w:t>
      </w:r>
      <w:r w:rsidR="006731D0" w:rsidRPr="004356D1">
        <w:rPr>
          <w:sz w:val="16"/>
          <w:szCs w:val="16"/>
        </w:rPr>
        <w:t>:</w:t>
      </w:r>
      <w:r w:rsidR="00302A58">
        <w:rPr>
          <w:sz w:val="16"/>
          <w:szCs w:val="16"/>
        </w:rPr>
        <w:t xml:space="preserve"> </w:t>
      </w:r>
      <w:bookmarkStart w:id="108" w:name="_Ref106271128"/>
      <w:r w:rsidR="004356D1">
        <w:rPr>
          <w:sz w:val="16"/>
          <w:szCs w:val="16"/>
        </w:rPr>
        <w:t>Company websites and press releases</w:t>
      </w:r>
      <w:r w:rsidR="006731D0" w:rsidRPr="00DE4538">
        <w:rPr>
          <w:rStyle w:val="Odwoanieprzypisudolnego"/>
          <w:szCs w:val="16"/>
        </w:rPr>
        <w:footnoteReference w:id="75"/>
      </w:r>
      <w:bookmarkEnd w:id="108"/>
    </w:p>
    <w:p w14:paraId="7899AA9B" w14:textId="4BC79500" w:rsidR="0096162B" w:rsidRDefault="001511F4" w:rsidP="0096162B">
      <w:pPr>
        <w:pStyle w:val="Tekstpodstawowy"/>
      </w:pPr>
      <w:r>
        <w:t xml:space="preserve">This would appear inconsistent with the view regarding the location of R&amp;D hubs. </w:t>
      </w:r>
      <w:r w:rsidR="00E752A9">
        <w:t>There are several reasons for this:</w:t>
      </w:r>
    </w:p>
    <w:p w14:paraId="797D2C28" w14:textId="0D10ACD5" w:rsidR="001511F4" w:rsidRDefault="00E752A9" w:rsidP="000A2E03">
      <w:pPr>
        <w:pStyle w:val="Tekstpodstawowy"/>
        <w:numPr>
          <w:ilvl w:val="0"/>
          <w:numId w:val="160"/>
        </w:numPr>
      </w:pPr>
      <w:r>
        <w:t>C</w:t>
      </w:r>
      <w:r w:rsidR="001511F4">
        <w:t xml:space="preserve">hina has </w:t>
      </w:r>
      <w:r w:rsidR="00F30879">
        <w:t xml:space="preserve">dramatically </w:t>
      </w:r>
      <w:r w:rsidR="001511F4">
        <w:t xml:space="preserve">improved its position in terms of scientific infrastructure, </w:t>
      </w:r>
      <w:r>
        <w:t xml:space="preserve">over the </w:t>
      </w:r>
      <w:r w:rsidR="001511F4">
        <w:t xml:space="preserve">last </w:t>
      </w:r>
      <w:r w:rsidR="007F60F1">
        <w:t xml:space="preserve">15 </w:t>
      </w:r>
      <w:r w:rsidR="001511F4">
        <w:t xml:space="preserve">years. </w:t>
      </w:r>
      <w:r w:rsidR="007F60F1">
        <w:t xml:space="preserve">In 2000, </w:t>
      </w:r>
      <w:r w:rsidRPr="00E752A9">
        <w:t xml:space="preserve">US universities awarded twice as many doctorates in STEM fields (18,289) as Chinese universities (9,038). But by 2007, the order had </w:t>
      </w:r>
      <w:r w:rsidR="00DC1450">
        <w:t>reversed,</w:t>
      </w:r>
      <w:r w:rsidRPr="00E752A9">
        <w:t xml:space="preserve"> and China began outpacing US universities. In 2010</w:t>
      </w:r>
      <w:r w:rsidR="009C433F">
        <w:t>,</w:t>
      </w:r>
      <w:r w:rsidRPr="00E752A9">
        <w:t xml:space="preserve"> 34,801 STEM doctorates </w:t>
      </w:r>
      <w:r w:rsidR="007F60F1">
        <w:t xml:space="preserve">were awarded by Chinese universities, </w:t>
      </w:r>
      <w:r w:rsidRPr="00E752A9">
        <w:t>compared to 26,076 by American universities.</w:t>
      </w:r>
      <w:r>
        <w:t xml:space="preserve"> </w:t>
      </w:r>
      <w:r w:rsidRPr="00E752A9">
        <w:t>In 2019, Chinese universities produced 49,498 PhDs in STEM fields, while US universities produced 33,759.</w:t>
      </w:r>
      <w:r>
        <w:rPr>
          <w:rStyle w:val="Odwoanieprzypisudolnego"/>
        </w:rPr>
        <w:footnoteReference w:id="76"/>
      </w:r>
      <w:r w:rsidR="00174546">
        <w:t xml:space="preserve"> </w:t>
      </w:r>
      <w:r w:rsidR="003D68B0">
        <w:t>In 202</w:t>
      </w:r>
      <w:r w:rsidR="009021CD">
        <w:t>1</w:t>
      </w:r>
      <w:r w:rsidR="003D68B0">
        <w:t xml:space="preserve">, </w:t>
      </w:r>
      <w:r w:rsidR="00BB7CA4">
        <w:t>according to Nature Index</w:t>
      </w:r>
      <w:r w:rsidR="004675B5">
        <w:t>,</w:t>
      </w:r>
      <w:r w:rsidR="006346D7">
        <w:t xml:space="preserve"> which ranks insti</w:t>
      </w:r>
      <w:r w:rsidR="000C5D07">
        <w:t xml:space="preserve">tutions by their </w:t>
      </w:r>
      <w:r w:rsidR="004E1FB6">
        <w:t>scientific output,</w:t>
      </w:r>
      <w:r w:rsidR="00BB7CA4">
        <w:t xml:space="preserve"> </w:t>
      </w:r>
      <w:r w:rsidR="00904BD1">
        <w:t xml:space="preserve">four out of </w:t>
      </w:r>
      <w:r w:rsidR="007F60F1">
        <w:t xml:space="preserve">10 </w:t>
      </w:r>
      <w:r w:rsidR="008D4CD8">
        <w:t xml:space="preserve">top global R&amp;D institutes </w:t>
      </w:r>
      <w:r w:rsidR="009021CD">
        <w:t>were</w:t>
      </w:r>
      <w:r w:rsidR="008D4CD8">
        <w:t xml:space="preserve"> located in China</w:t>
      </w:r>
      <w:r w:rsidR="004675B5">
        <w:t>,</w:t>
      </w:r>
      <w:r w:rsidR="00174546">
        <w:t xml:space="preserve"> </w:t>
      </w:r>
      <w:r w:rsidR="007356F7">
        <w:t xml:space="preserve">with </w:t>
      </w:r>
      <w:r w:rsidR="004675B5">
        <w:t xml:space="preserve">the </w:t>
      </w:r>
      <w:r w:rsidR="00887853">
        <w:t xml:space="preserve">Chinese Academy of Science </w:t>
      </w:r>
      <w:r w:rsidR="009517BA">
        <w:lastRenderedPageBreak/>
        <w:t xml:space="preserve">taking </w:t>
      </w:r>
      <w:r w:rsidR="00566D2B">
        <w:t xml:space="preserve">the </w:t>
      </w:r>
      <w:r w:rsidR="009517BA">
        <w:t xml:space="preserve">number </w:t>
      </w:r>
      <w:r w:rsidR="007F60F1">
        <w:t>one</w:t>
      </w:r>
      <w:r w:rsidR="009517BA">
        <w:t xml:space="preserve"> </w:t>
      </w:r>
      <w:r w:rsidR="00566D2B">
        <w:t>position on this list of top R&amp;D institutes.</w:t>
      </w:r>
      <w:r w:rsidR="00A97CD5">
        <w:rPr>
          <w:rStyle w:val="Odwoanieprzypisudolnego"/>
        </w:rPr>
        <w:footnoteReference w:id="77"/>
      </w:r>
      <w:r w:rsidR="00566D2B">
        <w:t xml:space="preserve"> </w:t>
      </w:r>
      <w:r w:rsidR="00DD4AC5">
        <w:t>This show</w:t>
      </w:r>
      <w:r w:rsidR="0077051E">
        <w:t>ed</w:t>
      </w:r>
      <w:r w:rsidR="00DD4AC5">
        <w:t xml:space="preserve"> </w:t>
      </w:r>
      <w:r w:rsidR="0077051E">
        <w:t xml:space="preserve">a </w:t>
      </w:r>
      <w:r w:rsidR="00DD4AC5">
        <w:t xml:space="preserve">significant change from </w:t>
      </w:r>
      <w:r w:rsidR="00B14D72">
        <w:t>2020</w:t>
      </w:r>
      <w:r w:rsidR="0077051E">
        <w:t>,</w:t>
      </w:r>
      <w:r w:rsidR="00B14D72">
        <w:t xml:space="preserve"> when only one </w:t>
      </w:r>
      <w:r w:rsidR="00FF3EEC">
        <w:t xml:space="preserve">Chinese </w:t>
      </w:r>
      <w:r w:rsidR="00B14D72">
        <w:t xml:space="preserve">institute reached </w:t>
      </w:r>
      <w:r w:rsidR="0077051E">
        <w:t xml:space="preserve">the </w:t>
      </w:r>
      <w:r w:rsidR="00B14D72">
        <w:t>top 10</w:t>
      </w:r>
      <w:r w:rsidR="0077051E">
        <w:t xml:space="preserve"> global</w:t>
      </w:r>
      <w:r w:rsidR="00B14D72">
        <w:t xml:space="preserve"> R&amp;D </w:t>
      </w:r>
      <w:r w:rsidR="0077051E">
        <w:t xml:space="preserve">institutes list. </w:t>
      </w:r>
      <w:r w:rsidR="00F925B4">
        <w:rPr>
          <w:rStyle w:val="Odwoanieprzypisudolnego"/>
        </w:rPr>
        <w:footnoteReference w:id="78"/>
      </w:r>
    </w:p>
    <w:p w14:paraId="5B7EF297" w14:textId="62C39ABA" w:rsidR="00E752A9" w:rsidRDefault="00E752A9" w:rsidP="000A2E03">
      <w:pPr>
        <w:pStyle w:val="Tekstpodstawowy"/>
        <w:numPr>
          <w:ilvl w:val="0"/>
          <w:numId w:val="105"/>
        </w:numPr>
      </w:pPr>
      <w:r>
        <w:t>China is now a market that is seen to warrant</w:t>
      </w:r>
      <w:r w:rsidR="000F5DCA">
        <w:t xml:space="preserve"> or </w:t>
      </w:r>
      <w:r w:rsidR="00F30879">
        <w:t>require</w:t>
      </w:r>
      <w:r>
        <w:t xml:space="preserve"> a regional research centre. The opening</w:t>
      </w:r>
      <w:r w:rsidR="000F5DCA">
        <w:t xml:space="preserve"> of such </w:t>
      </w:r>
      <w:r w:rsidR="00E92933">
        <w:t xml:space="preserve">a </w:t>
      </w:r>
      <w:r w:rsidR="000F5DCA">
        <w:t>centre</w:t>
      </w:r>
      <w:r>
        <w:t xml:space="preserve"> in China </w:t>
      </w:r>
      <w:r w:rsidR="000F5DCA">
        <w:t xml:space="preserve">does </w:t>
      </w:r>
      <w:r>
        <w:t xml:space="preserve">not represent a move </w:t>
      </w:r>
      <w:r w:rsidR="00E92933">
        <w:t xml:space="preserve">away </w:t>
      </w:r>
      <w:r>
        <w:t xml:space="preserve">from other regions, but the need for a </w:t>
      </w:r>
      <w:r w:rsidR="00E92933">
        <w:t xml:space="preserve">new </w:t>
      </w:r>
      <w:r>
        <w:t xml:space="preserve">regional centre. </w:t>
      </w:r>
      <w:r w:rsidR="00E92933">
        <w:t>Clearly, t</w:t>
      </w:r>
      <w:r>
        <w:t xml:space="preserve">his </w:t>
      </w:r>
      <w:r w:rsidR="0071248F">
        <w:t>is</w:t>
      </w:r>
      <w:r>
        <w:t xml:space="preserve"> partly due to the growth of the Chinese economy and the growing importan</w:t>
      </w:r>
      <w:r w:rsidR="00F30879">
        <w:t>ce</w:t>
      </w:r>
      <w:r>
        <w:t xml:space="preserve"> of the Chinese pharmaceutical market. </w:t>
      </w:r>
      <w:r w:rsidRPr="00E752A9">
        <w:t>China</w:t>
      </w:r>
      <w:r w:rsidR="001F2F0A">
        <w:t>’</w:t>
      </w:r>
      <w:r w:rsidRPr="00E752A9">
        <w:t>s pharmaceutical market has been constantly growing in recent years. It is estimated to reach $161.8 billion by 2023 and take a 30% share of the global market.</w:t>
      </w:r>
    </w:p>
    <w:p w14:paraId="3E0CA759" w14:textId="767492DB" w:rsidR="00636AA7" w:rsidRDefault="006519AE" w:rsidP="000A2E03">
      <w:pPr>
        <w:pStyle w:val="Tekstpodstawowy"/>
        <w:numPr>
          <w:ilvl w:val="0"/>
          <w:numId w:val="105"/>
        </w:numPr>
      </w:pPr>
      <w:r>
        <w:t>China is</w:t>
      </w:r>
      <w:r w:rsidR="00E95F57">
        <w:t xml:space="preserve"> </w:t>
      </w:r>
      <w:r w:rsidR="007E43FE">
        <w:t>strengthening</w:t>
      </w:r>
      <w:r w:rsidR="00207A7D">
        <w:t xml:space="preserve"> </w:t>
      </w:r>
      <w:r w:rsidR="00052481">
        <w:t xml:space="preserve">its </w:t>
      </w:r>
      <w:r w:rsidR="00E92933">
        <w:t>i</w:t>
      </w:r>
      <w:r w:rsidR="004E4FEE">
        <w:t xml:space="preserve">ntellectual </w:t>
      </w:r>
      <w:r w:rsidR="00E92933">
        <w:t>p</w:t>
      </w:r>
      <w:r w:rsidR="004E4FEE">
        <w:t xml:space="preserve">roperty (IP) laws </w:t>
      </w:r>
      <w:r w:rsidR="00B72A43">
        <w:t xml:space="preserve">in order to strengthen </w:t>
      </w:r>
      <w:r w:rsidR="00CD15FB">
        <w:t>and support the pharmaceutical industry</w:t>
      </w:r>
      <w:r w:rsidR="007A3331">
        <w:t>. Many</w:t>
      </w:r>
      <w:r w:rsidR="00A7027A">
        <w:t xml:space="preserve"> of China’s laws </w:t>
      </w:r>
      <w:r w:rsidR="006A434A">
        <w:t>governing patents</w:t>
      </w:r>
      <w:r w:rsidR="00BF511C">
        <w:t>, trademarks, copyrights</w:t>
      </w:r>
      <w:r w:rsidR="00657702">
        <w:t xml:space="preserve"> and other</w:t>
      </w:r>
      <w:r w:rsidR="00E92933">
        <w:t xml:space="preserve"> areas</w:t>
      </w:r>
      <w:r w:rsidR="00657702">
        <w:t xml:space="preserve"> </w:t>
      </w:r>
      <w:r w:rsidR="00B70F7C">
        <w:t xml:space="preserve">have recently been amended </w:t>
      </w:r>
      <w:r w:rsidR="007336D4">
        <w:t xml:space="preserve">or are in </w:t>
      </w:r>
      <w:r w:rsidR="00E92933">
        <w:t>the process</w:t>
      </w:r>
      <w:r w:rsidR="00CE645D">
        <w:t xml:space="preserve"> of being amended</w:t>
      </w:r>
      <w:r w:rsidR="0000740A">
        <w:t xml:space="preserve">, and it is </w:t>
      </w:r>
      <w:r w:rsidR="00DB6F10">
        <w:t>acknowledged that the pharmaceutical in</w:t>
      </w:r>
      <w:r w:rsidR="006B37D6">
        <w:t xml:space="preserve">dustry will be </w:t>
      </w:r>
      <w:r w:rsidR="004A1D34">
        <w:t>a beneficiary of these changes.</w:t>
      </w:r>
      <w:r w:rsidR="0095636F">
        <w:rPr>
          <w:rStyle w:val="Odwoanieprzypisudolnego"/>
        </w:rPr>
        <w:footnoteReference w:id="79"/>
      </w:r>
    </w:p>
    <w:p w14:paraId="49E67B80" w14:textId="7132DB4F" w:rsidR="0038317C" w:rsidRDefault="00D472D7" w:rsidP="00AE1234">
      <w:pPr>
        <w:pStyle w:val="Tekstpodstawowy"/>
      </w:pPr>
      <w:r>
        <w:t>This would suggest that invest</w:t>
      </w:r>
      <w:r w:rsidR="008F2254">
        <w:t>ment</w:t>
      </w:r>
      <w:r>
        <w:t>s in China are not at the expense of investment in European research hubs</w:t>
      </w:r>
      <w:r w:rsidR="00785BDB">
        <w:t>,</w:t>
      </w:r>
      <w:r>
        <w:t xml:space="preserve"> but rather </w:t>
      </w:r>
      <w:r w:rsidR="00785BDB">
        <w:t xml:space="preserve">indicate </w:t>
      </w:r>
      <w:r>
        <w:t>the development of a regional R&amp;D hub in an increasingly important global market</w:t>
      </w:r>
      <w:r w:rsidR="005C11EA">
        <w:t xml:space="preserve">. </w:t>
      </w:r>
      <w:r>
        <w:t xml:space="preserve">However, the issue for </w:t>
      </w:r>
      <w:r w:rsidR="00752573">
        <w:t xml:space="preserve">the EU </w:t>
      </w:r>
      <w:r>
        <w:t xml:space="preserve">is that when choices regarding </w:t>
      </w:r>
      <w:r w:rsidR="00FF3EEC">
        <w:t xml:space="preserve">the location of new </w:t>
      </w:r>
      <w:r>
        <w:t>research hub</w:t>
      </w:r>
      <w:r w:rsidR="00AC0711">
        <w:t>s</w:t>
      </w:r>
      <w:r>
        <w:t xml:space="preserve"> in Europe come along, the choice is focused on markets such as Switzerland and the UK, unless there are existing R&amp;D hub</w:t>
      </w:r>
      <w:r w:rsidR="00CC23BC">
        <w:t>s</w:t>
      </w:r>
      <w:r>
        <w:t xml:space="preserve"> in EU markets.</w:t>
      </w:r>
      <w:r w:rsidR="00776680">
        <w:rPr>
          <w:rStyle w:val="Odwoanieprzypisudolnego"/>
        </w:rPr>
        <w:footnoteReference w:id="80"/>
      </w:r>
      <w:r w:rsidR="005C11EA">
        <w:t xml:space="preserve"> </w:t>
      </w:r>
    </w:p>
    <w:p w14:paraId="6DE7EC28" w14:textId="47145A5D" w:rsidR="00AD38DA" w:rsidRDefault="00AD38DA" w:rsidP="00CF6AAE">
      <w:pPr>
        <w:pStyle w:val="Nagwek4"/>
      </w:pPr>
      <w:r>
        <w:t xml:space="preserve">The impact of </w:t>
      </w:r>
      <w:r w:rsidR="007F3668">
        <w:t xml:space="preserve">new technology: </w:t>
      </w:r>
      <w:r w:rsidR="00752573">
        <w:t>l</w:t>
      </w:r>
      <w:r w:rsidR="00C4355D">
        <w:t xml:space="preserve">earnings from </w:t>
      </w:r>
      <w:r w:rsidR="006E3000">
        <w:t>ATMP research</w:t>
      </w:r>
    </w:p>
    <w:p w14:paraId="095EABF8" w14:textId="7D221D92" w:rsidR="007A453E" w:rsidRDefault="00FE4C3F" w:rsidP="007A453E">
      <w:pPr>
        <w:pStyle w:val="Tekstpodstawowy"/>
      </w:pPr>
      <w:r>
        <w:t xml:space="preserve">In the last chapter, we set out how some new </w:t>
      </w:r>
      <w:r w:rsidR="005F6950">
        <w:t>therapeutic solutions</w:t>
      </w:r>
      <w:r>
        <w:t xml:space="preserve">, particularly </w:t>
      </w:r>
      <w:r w:rsidR="004F3B8E">
        <w:t>ATMP</w:t>
      </w:r>
      <w:r w:rsidR="007247E3">
        <w:t>s</w:t>
      </w:r>
      <w:r w:rsidR="00FD07D6">
        <w:t xml:space="preserve">, </w:t>
      </w:r>
      <w:r>
        <w:t>appear to differ from overall trends.</w:t>
      </w:r>
      <w:r w:rsidR="007A453E">
        <w:t xml:space="preserve"> There is significant literature on the difference in the R&amp;D process between ATMP</w:t>
      </w:r>
      <w:r w:rsidR="003D10F5">
        <w:t>s</w:t>
      </w:r>
      <w:r w:rsidR="007A453E">
        <w:t xml:space="preserve"> and other therapeutic areas – with d</w:t>
      </w:r>
      <w:r w:rsidR="007A453E" w:rsidRPr="00EE159E">
        <w:t xml:space="preserve">istinct challenges in pre-clinical development, the clinical development programme, vector development and manufacturing, </w:t>
      </w:r>
      <w:r w:rsidR="007A453E">
        <w:t xml:space="preserve">and </w:t>
      </w:r>
      <w:r w:rsidR="007A453E" w:rsidRPr="00EE159E">
        <w:t>patient-specific drug product manufacturing.</w:t>
      </w:r>
      <w:r w:rsidR="007A453E">
        <w:t xml:space="preserve"> </w:t>
      </w:r>
      <w:r w:rsidR="007A453E" w:rsidRPr="00EE159E">
        <w:t xml:space="preserve">Some of the complexities and differences are related to the nature of </w:t>
      </w:r>
      <w:r w:rsidR="007A453E">
        <w:t xml:space="preserve">ATMPs </w:t>
      </w:r>
      <w:r w:rsidR="007A453E" w:rsidRPr="00EE159E">
        <w:t xml:space="preserve">relative to conventional medicines, whereas others arise from </w:t>
      </w:r>
      <w:r w:rsidR="00CB336B">
        <w:t xml:space="preserve">the </w:t>
      </w:r>
      <w:r w:rsidR="007A453E" w:rsidRPr="00EE159E">
        <w:t>rarity of the target patient population</w:t>
      </w:r>
      <w:r w:rsidR="007A453E">
        <w:t>.</w:t>
      </w:r>
      <w:r w:rsidR="003B1C49">
        <w:t xml:space="preserve"> This results in a </w:t>
      </w:r>
      <w:r w:rsidR="00AF2191">
        <w:t xml:space="preserve">subtle </w:t>
      </w:r>
      <w:r w:rsidR="003B1C49">
        <w:t>change in the factors driving a company’s decision on where to locate research activities:</w:t>
      </w:r>
      <w:r w:rsidR="00AF2191">
        <w:rPr>
          <w:rStyle w:val="Odwoanieprzypisudolnego"/>
        </w:rPr>
        <w:footnoteReference w:id="81"/>
      </w:r>
    </w:p>
    <w:p w14:paraId="0F3C6A7A" w14:textId="729016AA" w:rsidR="003B1C49" w:rsidRDefault="00AF2191" w:rsidP="000A2E03">
      <w:pPr>
        <w:pStyle w:val="Tekstpodstawowy"/>
        <w:numPr>
          <w:ilvl w:val="0"/>
          <w:numId w:val="108"/>
        </w:numPr>
      </w:pPr>
      <w:r>
        <w:t>The strength of the overall innovation ecosystem</w:t>
      </w:r>
      <w:r w:rsidR="00280BB9">
        <w:t xml:space="preserve">, </w:t>
      </w:r>
      <w:r w:rsidR="006E069A">
        <w:t>while</w:t>
      </w:r>
      <w:r w:rsidR="00280BB9">
        <w:t xml:space="preserve"> important for all research activities, becomes more important for new</w:t>
      </w:r>
      <w:r w:rsidR="00C32375">
        <w:t xml:space="preserve"> emerging</w:t>
      </w:r>
      <w:r w:rsidR="00280BB9">
        <w:t xml:space="preserve"> </w:t>
      </w:r>
      <w:r w:rsidR="00C32375">
        <w:t>therapeutic solutions</w:t>
      </w:r>
      <w:r w:rsidR="00280BB9">
        <w:t xml:space="preserve">, such </w:t>
      </w:r>
      <w:r w:rsidR="00280BB9">
        <w:lastRenderedPageBreak/>
        <w:t xml:space="preserve">as ATMPs. </w:t>
      </w:r>
      <w:r w:rsidR="004C1B03">
        <w:t>I</w:t>
      </w:r>
      <w:r w:rsidR="004C1B03" w:rsidRPr="004C1B03">
        <w:t xml:space="preserve">ncubators and accelerators and access to funding are increasingly relevant </w:t>
      </w:r>
      <w:r w:rsidR="00C965AD">
        <w:t xml:space="preserve">for </w:t>
      </w:r>
      <w:r w:rsidR="00490429">
        <w:t>taking innovative (and potentially high-risk) scientific concepts forward.</w:t>
      </w:r>
    </w:p>
    <w:p w14:paraId="5D88D493" w14:textId="23B3DE6A" w:rsidR="0050260A" w:rsidRDefault="00D8191B">
      <w:pPr>
        <w:pStyle w:val="Tekstpodstawowy"/>
        <w:numPr>
          <w:ilvl w:val="0"/>
          <w:numId w:val="108"/>
        </w:numPr>
      </w:pPr>
      <w:r>
        <w:t>A c</w:t>
      </w:r>
      <w:r w:rsidR="0050260A">
        <w:t>ompa</w:t>
      </w:r>
      <w:r w:rsidR="00554BAE">
        <w:t>n</w:t>
      </w:r>
      <w:r>
        <w:t>y’s</w:t>
      </w:r>
      <w:r w:rsidR="00554BAE">
        <w:t xml:space="preserve"> existing R&amp;D footprint plays less of a role</w:t>
      </w:r>
      <w:r w:rsidR="0040300F">
        <w:t xml:space="preserve"> in driving the decision</w:t>
      </w:r>
      <w:r w:rsidR="009C0E79">
        <w:t xml:space="preserve">, as </w:t>
      </w:r>
      <w:r w:rsidR="00D223FB">
        <w:t>ATMP facilit</w:t>
      </w:r>
      <w:r w:rsidR="00E0496A">
        <w:t>ies tend to be distinct</w:t>
      </w:r>
      <w:r w:rsidR="00906860">
        <w:t xml:space="preserve"> from small molecules and biologics</w:t>
      </w:r>
      <w:r w:rsidR="00E0496A">
        <w:t xml:space="preserve">. </w:t>
      </w:r>
      <w:r w:rsidR="004C1B03" w:rsidRPr="004C1B03">
        <w:t>The location of existing research staff is still somewhat relevant</w:t>
      </w:r>
      <w:r w:rsidR="004C1B03">
        <w:t xml:space="preserve"> </w:t>
      </w:r>
      <w:r w:rsidR="006D177F">
        <w:t>if there is considered the potential of retraining</w:t>
      </w:r>
      <w:r w:rsidR="00365DB9">
        <w:t xml:space="preserve"> and redeploying staff</w:t>
      </w:r>
      <w:r w:rsidR="00F662E7">
        <w:t xml:space="preserve">, but the source of talent to drive the research programmes is largely considered to depend on the extent to which </w:t>
      </w:r>
      <w:r w:rsidR="00C21110">
        <w:t xml:space="preserve">local universities are producing </w:t>
      </w:r>
      <w:r w:rsidR="00EA1063">
        <w:t>expert researchers.</w:t>
      </w:r>
    </w:p>
    <w:p w14:paraId="313A6D53" w14:textId="1DD89AF9" w:rsidR="00EE159E" w:rsidRDefault="00B618CD" w:rsidP="00F30879">
      <w:pPr>
        <w:pStyle w:val="Tekstpodstawowy"/>
      </w:pPr>
      <w:r>
        <w:t xml:space="preserve">It is clear that the US market is leading the development of </w:t>
      </w:r>
      <w:r w:rsidR="00D417FB">
        <w:t>ATMPs</w:t>
      </w:r>
      <w:r>
        <w:t xml:space="preserve">, but </w:t>
      </w:r>
      <w:r w:rsidR="00FE4C3F">
        <w:t>China appears to have a significantly higher share of R&amp;D investments in this area</w:t>
      </w:r>
      <w:r>
        <w:t xml:space="preserve">, </w:t>
      </w:r>
      <w:r w:rsidR="00B030AB">
        <w:t xml:space="preserve">while </w:t>
      </w:r>
      <w:r>
        <w:t>Europe lag</w:t>
      </w:r>
      <w:r w:rsidR="00B030AB">
        <w:t>s</w:t>
      </w:r>
      <w:r>
        <w:t xml:space="preserve"> further behind</w:t>
      </w:r>
      <w:r w:rsidR="00FE4C3F">
        <w:t xml:space="preserve">. </w:t>
      </w:r>
      <w:r w:rsidR="00EE159E">
        <w:t>There are two potential reasons for this</w:t>
      </w:r>
      <w:r w:rsidR="00B030AB">
        <w:t xml:space="preserve">: the higher investments </w:t>
      </w:r>
      <w:r w:rsidR="00EE159E">
        <w:t xml:space="preserve">could represent the new area where strategic hubs are being decided (i.e. it is </w:t>
      </w:r>
      <w:r w:rsidR="002C33DF">
        <w:t xml:space="preserve">a </w:t>
      </w:r>
      <w:r w:rsidR="00EE159E">
        <w:t xml:space="preserve">timing issue rather than specific to </w:t>
      </w:r>
      <w:r w:rsidR="00FD07D6">
        <w:t>the technology</w:t>
      </w:r>
      <w:r w:rsidR="00EE159E">
        <w:t>)</w:t>
      </w:r>
      <w:r w:rsidR="00EC73BE">
        <w:t>,</w:t>
      </w:r>
      <w:r w:rsidR="00EE159E">
        <w:t xml:space="preserve"> or China has an advantage over Europe in these technologies. </w:t>
      </w:r>
    </w:p>
    <w:p w14:paraId="342D8B62" w14:textId="24FC6079" w:rsidR="00EE159E" w:rsidRDefault="00B030AB" w:rsidP="00F30879">
      <w:pPr>
        <w:pStyle w:val="Tekstpodstawowy"/>
      </w:pPr>
      <w:r>
        <w:t>In the literature</w:t>
      </w:r>
      <w:r w:rsidR="00854B8A">
        <w:t>,</w:t>
      </w:r>
      <w:r w:rsidR="00EE159E">
        <w:t xml:space="preserve"> a number of reasons</w:t>
      </w:r>
      <w:r w:rsidR="005A38D6">
        <w:t xml:space="preserve"> </w:t>
      </w:r>
      <w:r w:rsidR="00EE159E">
        <w:t>are used to explain the performance of China:</w:t>
      </w:r>
      <w:r w:rsidR="00EE159E">
        <w:rPr>
          <w:rStyle w:val="Odwoanieprzypisudolnego"/>
        </w:rPr>
        <w:footnoteReference w:id="82"/>
      </w:r>
    </w:p>
    <w:p w14:paraId="51B7BE47" w14:textId="0A5D024E" w:rsidR="00EE159E" w:rsidRDefault="00EE159E" w:rsidP="00425798">
      <w:pPr>
        <w:pStyle w:val="Tekstpodstawowy"/>
        <w:numPr>
          <w:ilvl w:val="0"/>
          <w:numId w:val="109"/>
        </w:numPr>
      </w:pPr>
      <w:r>
        <w:t xml:space="preserve">The result of STEM investment targeted in this area. </w:t>
      </w:r>
      <w:r w:rsidRPr="00EE159E">
        <w:t xml:space="preserve">According to the </w:t>
      </w:r>
      <w:r w:rsidR="00315B5C">
        <w:t>Chinese Academy of Sciences analysis, China generated 24,199 publications and 4,850 patent applications related to ATMPs between 1988 and 2017, ranking</w:t>
      </w:r>
      <w:r w:rsidRPr="00EE159E">
        <w:t xml:space="preserve"> second after </w:t>
      </w:r>
      <w:r w:rsidR="00712355">
        <w:t xml:space="preserve">the </w:t>
      </w:r>
      <w:r w:rsidR="00854B8A">
        <w:t xml:space="preserve">US, which generated </w:t>
      </w:r>
      <w:r w:rsidRPr="00EE159E">
        <w:t>36,901 publications and 14,573 patent applications.</w:t>
      </w:r>
    </w:p>
    <w:p w14:paraId="4356C4D2" w14:textId="4259AD0B" w:rsidR="00EE159E" w:rsidRDefault="00EE159E" w:rsidP="00425798">
      <w:pPr>
        <w:pStyle w:val="Tekstpodstawowy"/>
        <w:numPr>
          <w:ilvl w:val="0"/>
          <w:numId w:val="109"/>
        </w:numPr>
      </w:pPr>
      <w:r>
        <w:t xml:space="preserve">The regulatory environment is seen as supportive. </w:t>
      </w:r>
      <w:r w:rsidR="007B6C88">
        <w:t xml:space="preserve">In 2003, </w:t>
      </w:r>
      <w:r w:rsidRPr="00EE159E">
        <w:t>China</w:t>
      </w:r>
      <w:r w:rsidR="00425798">
        <w:t xml:space="preserve"> </w:t>
      </w:r>
      <w:r w:rsidR="007B6C88">
        <w:t>became</w:t>
      </w:r>
      <w:r w:rsidR="00425798" w:rsidRPr="00EE159E">
        <w:t xml:space="preserve"> </w:t>
      </w:r>
      <w:r w:rsidRPr="00EE159E">
        <w:t>the first country worldwide to approve gene therapy</w:t>
      </w:r>
      <w:r w:rsidR="007B6C88">
        <w:t xml:space="preserve">. </w:t>
      </w:r>
      <w:r w:rsidR="007C7D68">
        <w:t>A</w:t>
      </w:r>
      <w:r>
        <w:t xml:space="preserve">lthough there are concerns about the </w:t>
      </w:r>
      <w:r w:rsidRPr="00EE159E">
        <w:t>lack of clear and strict regulatory frameworks</w:t>
      </w:r>
      <w:r>
        <w:t xml:space="preserve">, </w:t>
      </w:r>
      <w:r w:rsidR="00BE6C14">
        <w:t xml:space="preserve">the series of regulatory reforms implemented </w:t>
      </w:r>
      <w:r w:rsidR="007C7D68">
        <w:t>by the government over the last 20 years</w:t>
      </w:r>
      <w:r w:rsidR="00BE6C14">
        <w:t xml:space="preserve"> </w:t>
      </w:r>
      <w:r>
        <w:t xml:space="preserve">is seen as encouraging </w:t>
      </w:r>
      <w:r w:rsidR="007C7D68">
        <w:t>progress</w:t>
      </w:r>
      <w:r w:rsidRPr="00EE159E">
        <w:t>.</w:t>
      </w:r>
      <w:r>
        <w:rPr>
          <w:rStyle w:val="Odwoanieprzypisudolnego"/>
        </w:rPr>
        <w:footnoteReference w:id="83"/>
      </w:r>
      <w:r>
        <w:t xml:space="preserve"> </w:t>
      </w:r>
      <w:r w:rsidRPr="00EE159E">
        <w:t>In 2017, the National Development and Reform Commission (NDRC) issued the “13</w:t>
      </w:r>
      <w:r w:rsidRPr="00DC16A4">
        <w:rPr>
          <w:vertAlign w:val="superscript"/>
        </w:rPr>
        <w:t>th</w:t>
      </w:r>
      <w:r w:rsidRPr="00EE159E">
        <w:t xml:space="preserve"> Five-Year Biological Industry Development Plan</w:t>
      </w:r>
      <w:r w:rsidR="0098513C">
        <w:t>”</w:t>
      </w:r>
      <w:r w:rsidRPr="00EE159E">
        <w:t xml:space="preserve">, which stressed that the development of stem cell and CAR-T industry should be one of </w:t>
      </w:r>
      <w:r w:rsidR="00E86A50">
        <w:t xml:space="preserve">the </w:t>
      </w:r>
      <w:r w:rsidRPr="00EE159E">
        <w:t xml:space="preserve">main focuses in the next </w:t>
      </w:r>
      <w:r w:rsidR="00E86A50">
        <w:t>five</w:t>
      </w:r>
      <w:r w:rsidR="00E86A50" w:rsidRPr="00EE159E">
        <w:t xml:space="preserve"> </w:t>
      </w:r>
      <w:r w:rsidRPr="00EE159E">
        <w:t>years.</w:t>
      </w:r>
    </w:p>
    <w:p w14:paraId="62335025" w14:textId="5400FA43" w:rsidR="00F30879" w:rsidRPr="00EE159E" w:rsidRDefault="00EE159E" w:rsidP="00425798">
      <w:pPr>
        <w:pStyle w:val="Tekstpodstawowy"/>
        <w:numPr>
          <w:ilvl w:val="0"/>
          <w:numId w:val="109"/>
        </w:numPr>
      </w:pPr>
      <w:r>
        <w:t xml:space="preserve">There has been a push to encourage </w:t>
      </w:r>
      <w:r w:rsidRPr="00EE159E">
        <w:t xml:space="preserve">collaborations between multinational companies and their Chinese counterparts. </w:t>
      </w:r>
    </w:p>
    <w:p w14:paraId="17792651" w14:textId="18669A6E" w:rsidR="00B478F9" w:rsidRDefault="00B478F9">
      <w:pPr>
        <w:pStyle w:val="Nagwek2"/>
      </w:pPr>
      <w:bookmarkStart w:id="109" w:name="_Toc106104532"/>
      <w:bookmarkStart w:id="110" w:name="_Toc115717786"/>
      <w:r>
        <w:t>Clinical trials</w:t>
      </w:r>
      <w:bookmarkEnd w:id="109"/>
      <w:bookmarkEnd w:id="110"/>
    </w:p>
    <w:p w14:paraId="4F26E505" w14:textId="5C2CB227" w:rsidR="00E55CD1" w:rsidRDefault="00CF6AAE" w:rsidP="00C258D7">
      <w:pPr>
        <w:pStyle w:val="Tekstpodstawowy"/>
      </w:pPr>
      <w:r>
        <w:t xml:space="preserve">There is common agreement that the factors affecting investment in research hubs and clinical trials are distinct. </w:t>
      </w:r>
      <w:r w:rsidR="00E55CD1">
        <w:t>It is also important to differentiate between the different stages of clinical trials. The early stage</w:t>
      </w:r>
      <w:r w:rsidR="00855B66">
        <w:t>s</w:t>
      </w:r>
      <w:r w:rsidR="00E55CD1">
        <w:t xml:space="preserve"> have relatively few </w:t>
      </w:r>
      <w:r w:rsidR="00855B66">
        <w:t>patients and</w:t>
      </w:r>
      <w:r w:rsidR="00E55CD1">
        <w:t xml:space="preserve"> are often more likely to be </w:t>
      </w:r>
      <w:r w:rsidR="00304800">
        <w:t xml:space="preserve">held </w:t>
      </w:r>
      <w:r w:rsidR="00E55CD1">
        <w:t>in a relatively small number of locations. For phase III clinical trials, much larger patient populations</w:t>
      </w:r>
      <w:r w:rsidR="00C913A0">
        <w:t xml:space="preserve"> </w:t>
      </w:r>
      <w:r w:rsidR="00A34B84">
        <w:t>are needed</w:t>
      </w:r>
      <w:r w:rsidR="00E55CD1">
        <w:t>,</w:t>
      </w:r>
      <w:r w:rsidR="008A26AA">
        <w:t xml:space="preserve"> and</w:t>
      </w:r>
      <w:r w:rsidR="00E55CD1">
        <w:t xml:space="preserve"> this is likely to mean more clinical centres in more countries. Indeed, for rare conditions</w:t>
      </w:r>
      <w:r w:rsidR="00F17BF9">
        <w:t>,</w:t>
      </w:r>
      <w:r w:rsidR="00E55CD1">
        <w:t xml:space="preserve"> it may be necessary to conduct clinical trials across regions in order to find the </w:t>
      </w:r>
      <w:r w:rsidR="0071248F">
        <w:t>required</w:t>
      </w:r>
      <w:r w:rsidR="00E55CD1">
        <w:t xml:space="preserve"> number of patients.</w:t>
      </w:r>
      <w:r w:rsidR="00B36AAF">
        <w:t xml:space="preserve"> It should also be noted that clinical trials </w:t>
      </w:r>
      <w:r w:rsidR="0071248F">
        <w:t>are</w:t>
      </w:r>
      <w:r w:rsidR="00B36AAF">
        <w:t xml:space="preserve"> </w:t>
      </w:r>
      <w:r w:rsidR="00B36AAF">
        <w:lastRenderedPageBreak/>
        <w:t xml:space="preserve">often undertaken by </w:t>
      </w:r>
      <w:r w:rsidR="00304800">
        <w:t>contract r</w:t>
      </w:r>
      <w:r w:rsidR="00B36AAF" w:rsidRPr="00B36AAF">
        <w:t xml:space="preserve">esearch </w:t>
      </w:r>
      <w:r w:rsidR="00304800">
        <w:t>o</w:t>
      </w:r>
      <w:r w:rsidR="00B36AAF" w:rsidRPr="00B36AAF">
        <w:t>rganisations (CROs)</w:t>
      </w:r>
      <w:r w:rsidR="007D29A6">
        <w:t>,</w:t>
      </w:r>
      <w:r w:rsidR="00B36AAF">
        <w:t xml:space="preserve"> which have a significant role in the decision-making process.</w:t>
      </w:r>
    </w:p>
    <w:p w14:paraId="0CBD340D" w14:textId="39BB5B69" w:rsidR="000C5852" w:rsidRDefault="000C5852" w:rsidP="0064253B">
      <w:pPr>
        <w:pStyle w:val="Nagwek4"/>
      </w:pPr>
      <w:r>
        <w:t xml:space="preserve">External factors </w:t>
      </w:r>
      <w:r w:rsidR="00A60EF2">
        <w:t xml:space="preserve">affecting </w:t>
      </w:r>
      <w:r>
        <w:t xml:space="preserve">the location of </w:t>
      </w:r>
      <w:r w:rsidR="00E75ABC">
        <w:t>clinical trial sites</w:t>
      </w:r>
    </w:p>
    <w:p w14:paraId="34B42E1B" w14:textId="63AE8B6E" w:rsidR="0024553E" w:rsidRDefault="0024553E" w:rsidP="0024553E">
      <w:pPr>
        <w:pStyle w:val="Tekstpodstawowy"/>
      </w:pPr>
      <w:r>
        <w:t>In terms of the main factors driving clinical trial location there appears a consensus that f</w:t>
      </w:r>
      <w:r w:rsidRPr="001115F6">
        <w:t>or</w:t>
      </w:r>
      <w:r w:rsidR="00964755" w:rsidRPr="001115F6">
        <w:t xml:space="preserve"> the long</w:t>
      </w:r>
      <w:r w:rsidR="00304800">
        <w:t>,</w:t>
      </w:r>
      <w:r w:rsidR="00964755" w:rsidRPr="001115F6">
        <w:t xml:space="preserve"> expensive development phases, it is essential to </w:t>
      </w:r>
      <w:r w:rsidR="0064253B">
        <w:t xml:space="preserve">work with </w:t>
      </w:r>
      <w:r w:rsidR="00964755" w:rsidRPr="001115F6">
        <w:t xml:space="preserve">leading hospitals with </w:t>
      </w:r>
      <w:r w:rsidR="00BD4C5B">
        <w:t>world-class</w:t>
      </w:r>
      <w:r w:rsidR="00964755" w:rsidRPr="001115F6">
        <w:t xml:space="preserve"> specialists in key disease areas, who conduct trials based upon the</w:t>
      </w:r>
      <w:r w:rsidR="0049316B">
        <w:t xml:space="preserve"> appropriate</w:t>
      </w:r>
      <w:r w:rsidR="00964755" w:rsidRPr="001115F6">
        <w:t xml:space="preserve"> diagnostics methods</w:t>
      </w:r>
      <w:r w:rsidR="0049316B">
        <w:t xml:space="preserve"> and standard of care</w:t>
      </w:r>
      <w:r w:rsidR="00964755" w:rsidRPr="001115F6">
        <w:t>.</w:t>
      </w:r>
      <w:bookmarkStart w:id="111" w:name="_Ref105576574"/>
      <w:r w:rsidR="005464A9">
        <w:rPr>
          <w:rStyle w:val="Odwoanieprzypisudolnego"/>
        </w:rPr>
        <w:footnoteReference w:id="84"/>
      </w:r>
      <w:bookmarkEnd w:id="111"/>
      <w:r w:rsidR="00964755" w:rsidRPr="001115F6">
        <w:t xml:space="preserve"> </w:t>
      </w:r>
    </w:p>
    <w:p w14:paraId="0DE71781" w14:textId="1644A335" w:rsidR="0024553E" w:rsidRDefault="00D8377A" w:rsidP="0024553E">
      <w:pPr>
        <w:pStyle w:val="Tekstpodstawowy"/>
      </w:pPr>
      <w:r>
        <w:t xml:space="preserve">Additional regulatory and practical considerations also apply, such as </w:t>
      </w:r>
      <w:r w:rsidR="00FE3F2E">
        <w:t xml:space="preserve">ease of trial approval, </w:t>
      </w:r>
      <w:r w:rsidR="0051571E">
        <w:t xml:space="preserve">ease of patient recruitment, </w:t>
      </w:r>
      <w:r w:rsidR="00FE3F2E">
        <w:t>good clinical practice regulations</w:t>
      </w:r>
      <w:r w:rsidR="00CF7C32">
        <w:t xml:space="preserve"> </w:t>
      </w:r>
      <w:r w:rsidR="00A34B84">
        <w:t>with related inspections</w:t>
      </w:r>
      <w:r w:rsidR="004E15E4">
        <w:t>,</w:t>
      </w:r>
      <w:r w:rsidR="00CF7C32">
        <w:t xml:space="preserve"> and potential medicine regulators’ preference for locally generated data.</w:t>
      </w:r>
      <w:r w:rsidR="008A5216" w:rsidRPr="008A5216">
        <w:rPr>
          <w:rStyle w:val="Odwoanieprzypisudolnego"/>
        </w:rPr>
        <w:fldChar w:fldCharType="begin"/>
      </w:r>
      <w:r w:rsidR="008A5216" w:rsidRPr="008A5216">
        <w:rPr>
          <w:rStyle w:val="Odwoanieprzypisudolnego"/>
        </w:rPr>
        <w:instrText xml:space="preserve"> NOTEREF _Ref105530773 \h </w:instrText>
      </w:r>
      <w:r w:rsidR="008A5216">
        <w:rPr>
          <w:rStyle w:val="Odwoanieprzypisudolnego"/>
        </w:rPr>
        <w:instrText xml:space="preserve"> \* MERGEFORMAT </w:instrText>
      </w:r>
      <w:r w:rsidR="008A5216" w:rsidRPr="008A5216">
        <w:rPr>
          <w:rStyle w:val="Odwoanieprzypisudolnego"/>
        </w:rPr>
      </w:r>
      <w:r w:rsidR="008A5216" w:rsidRPr="008A5216">
        <w:rPr>
          <w:rStyle w:val="Odwoanieprzypisudolnego"/>
        </w:rPr>
        <w:fldChar w:fldCharType="separate"/>
      </w:r>
      <w:r w:rsidR="006648BF">
        <w:rPr>
          <w:rStyle w:val="Odwoanieprzypisudolnego"/>
        </w:rPr>
        <w:t>61</w:t>
      </w:r>
      <w:r w:rsidR="008A5216" w:rsidRPr="008A5216">
        <w:rPr>
          <w:rStyle w:val="Odwoanieprzypisudolnego"/>
        </w:rPr>
        <w:fldChar w:fldCharType="end"/>
      </w:r>
      <w:r w:rsidR="008A5216" w:rsidRPr="008A5216">
        <w:rPr>
          <w:rStyle w:val="Odwoanieprzypisudolnego"/>
        </w:rPr>
        <w:t>,</w:t>
      </w:r>
      <w:r w:rsidR="0051571E" w:rsidRPr="00D223FB">
        <w:fldChar w:fldCharType="begin"/>
      </w:r>
      <w:r w:rsidR="0051571E">
        <w:rPr>
          <w:rStyle w:val="Odwoanieprzypisudolnego"/>
        </w:rPr>
        <w:instrText xml:space="preserve"> NOTEREF _Ref105530897 \h </w:instrText>
      </w:r>
      <w:r w:rsidR="0051571E" w:rsidRPr="00D223FB">
        <w:fldChar w:fldCharType="separate"/>
      </w:r>
      <w:r w:rsidR="006648BF">
        <w:rPr>
          <w:rStyle w:val="Odwoanieprzypisudolnego"/>
        </w:rPr>
        <w:t>62</w:t>
      </w:r>
      <w:r w:rsidR="0051571E" w:rsidRPr="00D223FB">
        <w:fldChar w:fldCharType="end"/>
      </w:r>
      <w:r w:rsidR="0051571E" w:rsidRPr="00BE6189">
        <w:rPr>
          <w:vertAlign w:val="superscript"/>
        </w:rPr>
        <w:t>,</w:t>
      </w:r>
      <w:r w:rsidR="00A1636B" w:rsidRPr="008A5216">
        <w:rPr>
          <w:rStyle w:val="Odwoanieprzypisudolnego"/>
        </w:rPr>
        <w:fldChar w:fldCharType="begin"/>
      </w:r>
      <w:r w:rsidR="00A1636B" w:rsidRPr="008A5216">
        <w:rPr>
          <w:rStyle w:val="Odwoanieprzypisudolnego"/>
        </w:rPr>
        <w:instrText xml:space="preserve"> NOTEREF _Ref105576574 \h </w:instrText>
      </w:r>
      <w:r w:rsidR="008A5216">
        <w:rPr>
          <w:rStyle w:val="Odwoanieprzypisudolnego"/>
        </w:rPr>
        <w:instrText xml:space="preserve"> \* MERGEFORMAT </w:instrText>
      </w:r>
      <w:r w:rsidR="00A1636B" w:rsidRPr="008A5216">
        <w:rPr>
          <w:rStyle w:val="Odwoanieprzypisudolnego"/>
        </w:rPr>
      </w:r>
      <w:r w:rsidR="00A1636B" w:rsidRPr="008A5216">
        <w:rPr>
          <w:rStyle w:val="Odwoanieprzypisudolnego"/>
        </w:rPr>
        <w:fldChar w:fldCharType="separate"/>
      </w:r>
      <w:r w:rsidR="006648BF">
        <w:rPr>
          <w:rStyle w:val="Odwoanieprzypisudolnego"/>
        </w:rPr>
        <w:t>83</w:t>
      </w:r>
      <w:r w:rsidR="00A1636B" w:rsidRPr="008A5216">
        <w:rPr>
          <w:rStyle w:val="Odwoanieprzypisudolnego"/>
        </w:rPr>
        <w:fldChar w:fldCharType="end"/>
      </w:r>
      <w:r w:rsidR="0024553E">
        <w:t xml:space="preserve"> </w:t>
      </w:r>
      <w:r w:rsidR="006E069A">
        <w:t>While</w:t>
      </w:r>
      <w:r w:rsidR="009962CF">
        <w:t xml:space="preserve"> </w:t>
      </w:r>
      <w:r w:rsidR="00F422A8">
        <w:t xml:space="preserve">most regulators do not impose formal requirements for a </w:t>
      </w:r>
      <w:r w:rsidR="00F43185">
        <w:t>specific</w:t>
      </w:r>
      <w:r w:rsidR="00F422A8">
        <w:t xml:space="preserve"> proportion of clinical trial evidence to come from local populations, in practice </w:t>
      </w:r>
      <w:r w:rsidR="007323D5">
        <w:t>regulators exhibit a preference</w:t>
      </w:r>
      <w:r w:rsidR="00EC5EA6">
        <w:t xml:space="preserve"> for this</w:t>
      </w:r>
      <w:r w:rsidR="004E15E4">
        <w:t>,</w:t>
      </w:r>
      <w:r w:rsidR="00EC5EA6">
        <w:t xml:space="preserve"> and </w:t>
      </w:r>
      <w:r w:rsidR="00954130">
        <w:t xml:space="preserve">applications </w:t>
      </w:r>
      <w:r w:rsidR="00106DFA">
        <w:t xml:space="preserve">for new drugs </w:t>
      </w:r>
      <w:r w:rsidR="00B83404">
        <w:t>rely</w:t>
      </w:r>
      <w:r w:rsidR="00D72F6F">
        <w:t>ing</w:t>
      </w:r>
      <w:r w:rsidR="00B83404">
        <w:t xml:space="preserve"> solely on </w:t>
      </w:r>
      <w:r w:rsidR="00BE6189">
        <w:t xml:space="preserve">data from a narrow range of countries </w:t>
      </w:r>
      <w:r w:rsidR="00D72F6F">
        <w:t xml:space="preserve">require </w:t>
      </w:r>
      <w:r w:rsidR="00EC5EA6">
        <w:t xml:space="preserve">a </w:t>
      </w:r>
      <w:r w:rsidR="00855B66">
        <w:t>defensible</w:t>
      </w:r>
      <w:r w:rsidR="007323D5">
        <w:t xml:space="preserve"> explanation </w:t>
      </w:r>
      <w:r w:rsidR="00EC5EA6">
        <w:t>from</w:t>
      </w:r>
      <w:r w:rsidR="007323D5">
        <w:t xml:space="preserve"> the submitting company (</w:t>
      </w:r>
      <w:r w:rsidR="007323D5" w:rsidRPr="000A2E03">
        <w:fldChar w:fldCharType="begin"/>
      </w:r>
      <w:r w:rsidR="007323D5">
        <w:instrText xml:space="preserve"> REF _Ref106273246 \h </w:instrText>
      </w:r>
      <w:r w:rsidR="007323D5" w:rsidRPr="000A2E03">
        <w:fldChar w:fldCharType="separate"/>
      </w:r>
      <w:r w:rsidR="00814D51">
        <w:t xml:space="preserve">Table </w:t>
      </w:r>
      <w:r w:rsidR="00814D51">
        <w:rPr>
          <w:noProof/>
        </w:rPr>
        <w:t>1</w:t>
      </w:r>
      <w:r w:rsidR="007323D5" w:rsidRPr="000A2E03">
        <w:fldChar w:fldCharType="end"/>
      </w:r>
      <w:r w:rsidR="007323D5">
        <w:t xml:space="preserve">). </w:t>
      </w:r>
      <w:r w:rsidR="008E28D9">
        <w:t>However</w:t>
      </w:r>
      <w:r w:rsidR="004E15E4">
        <w:t>,</w:t>
      </w:r>
      <w:r w:rsidR="008E28D9">
        <w:t xml:space="preserve"> t</w:t>
      </w:r>
      <w:r w:rsidR="007D4D93">
        <w:t xml:space="preserve">here is evidence that flexibility is </w:t>
      </w:r>
      <w:r w:rsidR="00EA46E6">
        <w:t xml:space="preserve">increasing </w:t>
      </w:r>
      <w:r w:rsidR="00CE6C2D">
        <w:t xml:space="preserve">for new technologies </w:t>
      </w:r>
      <w:r w:rsidR="003C6142">
        <w:t>in rare diseases</w:t>
      </w:r>
      <w:r w:rsidR="008A5642">
        <w:t xml:space="preserve">; for example, the </w:t>
      </w:r>
      <w:r w:rsidR="00814D51">
        <w:t>European Medicine</w:t>
      </w:r>
      <w:r w:rsidR="004E15E4">
        <w:t>s</w:t>
      </w:r>
      <w:r w:rsidR="00814D51">
        <w:t xml:space="preserve"> Agency (</w:t>
      </w:r>
      <w:r w:rsidR="008A5642">
        <w:t>EMA</w:t>
      </w:r>
      <w:r w:rsidR="00814D51">
        <w:t>)</w:t>
      </w:r>
      <w:r w:rsidR="002776D9">
        <w:t xml:space="preserve">’s </w:t>
      </w:r>
      <w:r w:rsidR="00D73379">
        <w:t>Committee for Medicinal Products for Human Use (</w:t>
      </w:r>
      <w:r w:rsidR="002776D9">
        <w:t>CHMP</w:t>
      </w:r>
      <w:r w:rsidR="00D73379">
        <w:t>)</w:t>
      </w:r>
      <w:r w:rsidR="002776D9">
        <w:t xml:space="preserve"> advisory committee recently </w:t>
      </w:r>
      <w:r w:rsidR="002A1906">
        <w:t xml:space="preserve">recommended approval of </w:t>
      </w:r>
      <w:r w:rsidR="00AA69FC">
        <w:t xml:space="preserve">gene therapy </w:t>
      </w:r>
      <w:proofErr w:type="spellStart"/>
      <w:r w:rsidR="00282DC8">
        <w:t>Upstaza</w:t>
      </w:r>
      <w:proofErr w:type="spellEnd"/>
      <w:r w:rsidR="00282DC8">
        <w:t xml:space="preserve"> for the treatment of </w:t>
      </w:r>
      <w:r w:rsidR="004E15E4">
        <w:t>a</w:t>
      </w:r>
      <w:r w:rsidR="000D25D8" w:rsidRPr="000D25D8">
        <w:t>romatic L-</w:t>
      </w:r>
      <w:r w:rsidR="004E15E4">
        <w:t>a</w:t>
      </w:r>
      <w:r w:rsidR="000D25D8" w:rsidRPr="000D25D8">
        <w:t xml:space="preserve">mino </w:t>
      </w:r>
      <w:r w:rsidR="004E15E4">
        <w:t>a</w:t>
      </w:r>
      <w:r w:rsidR="000D25D8" w:rsidRPr="000D25D8">
        <w:t xml:space="preserve">cid </w:t>
      </w:r>
      <w:r w:rsidR="004E15E4">
        <w:t>d</w:t>
      </w:r>
      <w:r w:rsidR="005649BF" w:rsidRPr="000D25D8">
        <w:t>ecarboxylase</w:t>
      </w:r>
      <w:r w:rsidR="000D25D8">
        <w:t xml:space="preserve"> (</w:t>
      </w:r>
      <w:r w:rsidR="00595EE3">
        <w:t>AADC</w:t>
      </w:r>
      <w:r w:rsidR="000D25D8">
        <w:t>)</w:t>
      </w:r>
      <w:r w:rsidR="00595EE3">
        <w:t xml:space="preserve"> deficiency</w:t>
      </w:r>
      <w:r w:rsidR="004E15E4">
        <w:t>,</w:t>
      </w:r>
      <w:r w:rsidR="00595EE3">
        <w:t xml:space="preserve"> </w:t>
      </w:r>
      <w:r w:rsidR="00DD26D7">
        <w:t>largely based on the results of three clinical trials conducted in Taiwan</w:t>
      </w:r>
      <w:r w:rsidR="00D15E5A">
        <w:t xml:space="preserve">, where the </w:t>
      </w:r>
      <w:r w:rsidR="00D25A44">
        <w:t>gene therapy was first developed</w:t>
      </w:r>
      <w:r w:rsidR="00DD26D7">
        <w:t>.</w:t>
      </w:r>
      <w:r w:rsidR="00A55E0C">
        <w:rPr>
          <w:rStyle w:val="Odwoanieprzypisudolnego"/>
        </w:rPr>
        <w:footnoteReference w:id="85"/>
      </w:r>
      <w:r w:rsidR="003656B1">
        <w:t xml:space="preserve"> This contrasts with </w:t>
      </w:r>
      <w:r w:rsidR="00947974">
        <w:t xml:space="preserve">the US </w:t>
      </w:r>
      <w:r w:rsidR="004E15E4">
        <w:t>Food and Drug Administration (</w:t>
      </w:r>
      <w:r w:rsidR="00947974">
        <w:t>FDA</w:t>
      </w:r>
      <w:r w:rsidR="004E15E4">
        <w:t>)</w:t>
      </w:r>
      <w:r w:rsidR="00947974">
        <w:t xml:space="preserve">’s recent rejection of Eli Lilly’s PD-1 inhibitor </w:t>
      </w:r>
      <w:proofErr w:type="spellStart"/>
      <w:r w:rsidR="00947974">
        <w:t>Tyvyt</w:t>
      </w:r>
      <w:proofErr w:type="spellEnd"/>
      <w:r w:rsidR="006B711D">
        <w:t xml:space="preserve"> based on clinical trial data generated solely in China</w:t>
      </w:r>
      <w:r w:rsidR="00C0629C">
        <w:t xml:space="preserve">, requesting that an additional multiregional trial </w:t>
      </w:r>
      <w:r w:rsidR="006B2D27">
        <w:t xml:space="preserve">be </w:t>
      </w:r>
      <w:r w:rsidR="00C0629C">
        <w:t>conducted</w:t>
      </w:r>
      <w:r w:rsidR="006B711D">
        <w:t>.</w:t>
      </w:r>
      <w:r w:rsidR="00C5077F">
        <w:rPr>
          <w:rStyle w:val="Odwoanieprzypisudolnego"/>
        </w:rPr>
        <w:footnoteReference w:id="86"/>
      </w:r>
    </w:p>
    <w:p w14:paraId="698CF929" w14:textId="1DC73412" w:rsidR="00A34789" w:rsidRDefault="00A34789" w:rsidP="00BE6189">
      <w:pPr>
        <w:pStyle w:val="Legenda"/>
      </w:pPr>
      <w:bookmarkStart w:id="112" w:name="_Ref106273246"/>
      <w:bookmarkStart w:id="113" w:name="_Toc115717814"/>
      <w:r w:rsidRPr="00DC16A4">
        <w:t xml:space="preserve">Table </w:t>
      </w:r>
      <w:r w:rsidRPr="000A2E03">
        <w:fldChar w:fldCharType="begin"/>
      </w:r>
      <w:r w:rsidRPr="00DC16A4">
        <w:instrText xml:space="preserve"> SEQ Table \* ARABIC </w:instrText>
      </w:r>
      <w:r w:rsidRPr="000A2E03">
        <w:fldChar w:fldCharType="separate"/>
      </w:r>
      <w:r w:rsidR="00B22F6C" w:rsidRPr="00DC16A4">
        <w:t>1</w:t>
      </w:r>
      <w:r w:rsidRPr="000A2E03">
        <w:fldChar w:fldCharType="end"/>
      </w:r>
      <w:bookmarkEnd w:id="112"/>
      <w:r w:rsidRPr="00DC16A4">
        <w:t xml:space="preserve">: </w:t>
      </w:r>
      <w:r w:rsidR="0035394B" w:rsidRPr="00DC16A4">
        <w:t>Guidance regarding r</w:t>
      </w:r>
      <w:r w:rsidRPr="00DC16A4">
        <w:t>egulatory requirements for local clinical trial evidence</w:t>
      </w:r>
      <w:r w:rsidR="0035394B" w:rsidRPr="00DC16A4">
        <w:rPr>
          <w:noProof/>
        </w:rPr>
        <w:t xml:space="preserve"> appears to be relatively uniform</w:t>
      </w:r>
      <w:bookmarkEnd w:id="113"/>
      <w:r w:rsidR="0035394B">
        <w:rPr>
          <w:noProof/>
        </w:rPr>
        <w:t xml:space="preserve"> </w:t>
      </w:r>
    </w:p>
    <w:tbl>
      <w:tblPr>
        <w:tblStyle w:val="Tabela-Siatka"/>
        <w:tblW w:w="0" w:type="auto"/>
        <w:tblLook w:val="04A0" w:firstRow="1" w:lastRow="0" w:firstColumn="1" w:lastColumn="0" w:noHBand="0" w:noVBand="1"/>
      </w:tblPr>
      <w:tblGrid>
        <w:gridCol w:w="1139"/>
        <w:gridCol w:w="2112"/>
        <w:gridCol w:w="4682"/>
      </w:tblGrid>
      <w:tr w:rsidR="000839AB" w14:paraId="238F6EBA" w14:textId="77777777" w:rsidTr="00447551">
        <w:tc>
          <w:tcPr>
            <w:tcW w:w="1139" w:type="dxa"/>
            <w:shd w:val="clear" w:color="auto" w:fill="0073AE" w:themeFill="accent1"/>
            <w:vAlign w:val="center"/>
          </w:tcPr>
          <w:p w14:paraId="4E725CB2" w14:textId="56A27148" w:rsidR="000839AB" w:rsidRPr="00DE4538" w:rsidRDefault="000839AB" w:rsidP="003A2842">
            <w:pPr>
              <w:pStyle w:val="Tekstpodstawowy"/>
              <w:spacing w:before="40" w:after="40" w:line="240" w:lineRule="auto"/>
              <w:jc w:val="left"/>
              <w:rPr>
                <w:b/>
                <w:color w:val="FFFFFF" w:themeColor="background1"/>
              </w:rPr>
            </w:pPr>
            <w:r>
              <w:rPr>
                <w:b/>
                <w:bCs/>
                <w:color w:val="FFFFFF" w:themeColor="background1"/>
              </w:rPr>
              <w:t>Location</w:t>
            </w:r>
          </w:p>
        </w:tc>
        <w:tc>
          <w:tcPr>
            <w:tcW w:w="2112" w:type="dxa"/>
            <w:shd w:val="clear" w:color="auto" w:fill="0073AE" w:themeFill="accent1"/>
            <w:vAlign w:val="center"/>
          </w:tcPr>
          <w:p w14:paraId="5EE9D27B" w14:textId="2425852A" w:rsidR="000839AB" w:rsidRPr="00BE6189" w:rsidRDefault="000839AB" w:rsidP="00BE6189">
            <w:pPr>
              <w:pStyle w:val="Tekstpodstawowy"/>
              <w:spacing w:before="40" w:after="40" w:line="240" w:lineRule="auto"/>
              <w:jc w:val="left"/>
              <w:rPr>
                <w:b/>
                <w:color w:val="FFFFFF" w:themeColor="background1"/>
              </w:rPr>
            </w:pPr>
            <w:r w:rsidRPr="00BE6189">
              <w:rPr>
                <w:b/>
                <w:color w:val="FFFFFF" w:themeColor="background1"/>
              </w:rPr>
              <w:t>Regulatory authority</w:t>
            </w:r>
          </w:p>
        </w:tc>
        <w:tc>
          <w:tcPr>
            <w:tcW w:w="4682" w:type="dxa"/>
            <w:shd w:val="clear" w:color="auto" w:fill="0073AE" w:themeFill="accent1"/>
            <w:vAlign w:val="center"/>
          </w:tcPr>
          <w:p w14:paraId="71D8C1CB" w14:textId="115B858B" w:rsidR="000839AB" w:rsidRPr="00BE6189" w:rsidRDefault="000839AB" w:rsidP="00BE6189">
            <w:pPr>
              <w:pStyle w:val="Tekstpodstawowy"/>
              <w:spacing w:before="40" w:after="40" w:line="240" w:lineRule="auto"/>
              <w:jc w:val="left"/>
              <w:rPr>
                <w:b/>
                <w:color w:val="FFFFFF" w:themeColor="background1"/>
              </w:rPr>
            </w:pPr>
            <w:r>
              <w:rPr>
                <w:b/>
                <w:bCs/>
                <w:color w:val="FFFFFF" w:themeColor="background1"/>
              </w:rPr>
              <w:t>Requirements</w:t>
            </w:r>
          </w:p>
        </w:tc>
      </w:tr>
      <w:tr w:rsidR="000839AB" w14:paraId="3BE2BF24" w14:textId="77777777" w:rsidTr="00447551">
        <w:tc>
          <w:tcPr>
            <w:tcW w:w="1139" w:type="dxa"/>
            <w:shd w:val="clear" w:color="auto" w:fill="F2F2F2" w:themeFill="text2" w:themeFillTint="33"/>
            <w:vAlign w:val="center"/>
          </w:tcPr>
          <w:p w14:paraId="55CDBE0F" w14:textId="678544E7" w:rsidR="000839AB" w:rsidRPr="00BE6189" w:rsidRDefault="000839AB" w:rsidP="003A2842">
            <w:pPr>
              <w:pStyle w:val="Tekstpodstawowy"/>
              <w:spacing w:before="40" w:after="40" w:line="240" w:lineRule="auto"/>
              <w:jc w:val="center"/>
              <w:rPr>
                <w:b/>
              </w:rPr>
            </w:pPr>
            <w:r w:rsidRPr="00BE6189">
              <w:rPr>
                <w:b/>
                <w:bCs/>
              </w:rPr>
              <w:t>Europe</w:t>
            </w:r>
            <w:r>
              <w:rPr>
                <w:b/>
                <w:bCs/>
              </w:rPr>
              <w:t>an Union</w:t>
            </w:r>
          </w:p>
        </w:tc>
        <w:tc>
          <w:tcPr>
            <w:tcW w:w="2112" w:type="dxa"/>
            <w:vAlign w:val="center"/>
          </w:tcPr>
          <w:p w14:paraId="5097914A" w14:textId="2B8612E8" w:rsidR="000839AB" w:rsidRDefault="000839AB" w:rsidP="00BE6189">
            <w:pPr>
              <w:pStyle w:val="Tekstpodstawowy"/>
              <w:spacing w:before="40" w:after="40" w:line="240" w:lineRule="auto"/>
              <w:jc w:val="left"/>
            </w:pPr>
            <w:r>
              <w:t>European Medicine</w:t>
            </w:r>
            <w:r w:rsidR="00E0188E">
              <w:t>s</w:t>
            </w:r>
            <w:r>
              <w:t xml:space="preserve"> Agency (EMA)</w:t>
            </w:r>
          </w:p>
        </w:tc>
        <w:tc>
          <w:tcPr>
            <w:tcW w:w="4682" w:type="dxa"/>
            <w:vAlign w:val="center"/>
          </w:tcPr>
          <w:p w14:paraId="5B328344" w14:textId="7A971A4F" w:rsidR="000839AB" w:rsidRDefault="000839AB" w:rsidP="00BE6189">
            <w:pPr>
              <w:pStyle w:val="Tekstpodstawowy"/>
              <w:spacing w:before="40" w:after="40" w:line="240" w:lineRule="auto"/>
              <w:jc w:val="left"/>
            </w:pPr>
            <w:r>
              <w:t>Guidelines indicate that a substantial proportion of the evidence in marketing authorisation dossiers is to be gathered in European populations.</w:t>
            </w:r>
            <w:r w:rsidR="008E3520">
              <w:t xml:space="preserve"> </w:t>
            </w:r>
            <w:r w:rsidR="00662050">
              <w:t>Guidance defines characteristics of a medicine’s likely sensitivity to ethnic factors.</w:t>
            </w:r>
            <w:r>
              <w:rPr>
                <w:rStyle w:val="Odwoanieprzypisudolnego"/>
              </w:rPr>
              <w:footnoteReference w:id="87"/>
            </w:r>
          </w:p>
        </w:tc>
      </w:tr>
      <w:tr w:rsidR="000839AB" w14:paraId="6C656CEE" w14:textId="77777777" w:rsidTr="00447551">
        <w:tc>
          <w:tcPr>
            <w:tcW w:w="1139" w:type="dxa"/>
            <w:shd w:val="clear" w:color="auto" w:fill="F2F2F2" w:themeFill="text2" w:themeFillTint="33"/>
            <w:vAlign w:val="center"/>
          </w:tcPr>
          <w:p w14:paraId="5C29F501" w14:textId="11304AAB" w:rsidR="000839AB" w:rsidRPr="00BE6189" w:rsidRDefault="000839AB" w:rsidP="003A2842">
            <w:pPr>
              <w:pStyle w:val="Tekstpodstawowy"/>
              <w:spacing w:before="40" w:after="40" w:line="240" w:lineRule="auto"/>
              <w:jc w:val="center"/>
              <w:rPr>
                <w:b/>
              </w:rPr>
            </w:pPr>
            <w:r w:rsidRPr="00BE6189">
              <w:rPr>
                <w:b/>
              </w:rPr>
              <w:t>United States</w:t>
            </w:r>
          </w:p>
        </w:tc>
        <w:tc>
          <w:tcPr>
            <w:tcW w:w="2112" w:type="dxa"/>
            <w:vAlign w:val="center"/>
          </w:tcPr>
          <w:p w14:paraId="176D05D2" w14:textId="77777777" w:rsidR="000839AB" w:rsidRDefault="000839AB" w:rsidP="00BE6189">
            <w:pPr>
              <w:pStyle w:val="Tekstpodstawowy"/>
              <w:spacing w:before="40" w:after="40" w:line="240" w:lineRule="auto"/>
              <w:jc w:val="left"/>
            </w:pPr>
            <w:r>
              <w:t>Food and Drug Administration (FDA)</w:t>
            </w:r>
          </w:p>
          <w:p w14:paraId="04CB9017" w14:textId="6609C677" w:rsidR="000839AB" w:rsidRDefault="00106DFA" w:rsidP="00BE6189">
            <w:pPr>
              <w:pStyle w:val="Tekstpodstawowy"/>
              <w:spacing w:before="40" w:after="40" w:line="240" w:lineRule="auto"/>
              <w:jc w:val="left"/>
            </w:pPr>
            <w:r>
              <w:t>CDER/CBER/CDRA</w:t>
            </w:r>
          </w:p>
        </w:tc>
        <w:tc>
          <w:tcPr>
            <w:tcW w:w="4682" w:type="dxa"/>
            <w:vAlign w:val="center"/>
          </w:tcPr>
          <w:p w14:paraId="501FBB68" w14:textId="513F13DA" w:rsidR="000839AB" w:rsidRDefault="000839AB" w:rsidP="00BE6189">
            <w:pPr>
              <w:pStyle w:val="Tekstpodstawowy"/>
              <w:spacing w:before="40" w:after="40" w:line="240" w:lineRule="auto"/>
              <w:jc w:val="left"/>
            </w:pPr>
            <w:r w:rsidRPr="006D1E49">
              <w:t>Under 21 CFR 312.120</w:t>
            </w:r>
            <w:r>
              <w:t xml:space="preserve"> regulations, marketing approval of a new drug based solely on foreign </w:t>
            </w:r>
            <w:r>
              <w:lastRenderedPageBreak/>
              <w:t>clinical data is possible.</w:t>
            </w:r>
            <w:r>
              <w:rPr>
                <w:rStyle w:val="Odwoanieprzypisudolnego"/>
              </w:rPr>
              <w:footnoteReference w:id="88"/>
            </w:r>
            <w:r>
              <w:t xml:space="preserve"> However, a common assumption applied in practice is that at least 20% of the clinical data should be gathered in US patients.</w:t>
            </w:r>
            <w:r>
              <w:rPr>
                <w:rStyle w:val="Odwoanieprzypisudolnego"/>
              </w:rPr>
              <w:footnoteReference w:id="89"/>
            </w:r>
          </w:p>
        </w:tc>
      </w:tr>
      <w:tr w:rsidR="000839AB" w14:paraId="53CFA0E0" w14:textId="77777777" w:rsidTr="00447551">
        <w:tc>
          <w:tcPr>
            <w:tcW w:w="1139" w:type="dxa"/>
            <w:shd w:val="clear" w:color="auto" w:fill="F2F2F2" w:themeFill="text2" w:themeFillTint="33"/>
            <w:vAlign w:val="center"/>
          </w:tcPr>
          <w:p w14:paraId="70C472C7" w14:textId="3022DEC0" w:rsidR="000839AB" w:rsidRPr="00BE6189" w:rsidRDefault="000839AB" w:rsidP="003A2842">
            <w:pPr>
              <w:pStyle w:val="Tekstpodstawowy"/>
              <w:spacing w:before="40" w:after="40" w:line="240" w:lineRule="auto"/>
              <w:jc w:val="center"/>
              <w:rPr>
                <w:b/>
              </w:rPr>
            </w:pPr>
            <w:r w:rsidRPr="00BE6189">
              <w:rPr>
                <w:b/>
              </w:rPr>
              <w:lastRenderedPageBreak/>
              <w:t>Japan</w:t>
            </w:r>
          </w:p>
        </w:tc>
        <w:tc>
          <w:tcPr>
            <w:tcW w:w="2112" w:type="dxa"/>
            <w:vAlign w:val="center"/>
          </w:tcPr>
          <w:p w14:paraId="0A10D2BC" w14:textId="0B805FDE" w:rsidR="000839AB" w:rsidRDefault="000839AB" w:rsidP="00BE6189">
            <w:pPr>
              <w:pStyle w:val="Tekstpodstawowy"/>
              <w:spacing w:before="40" w:after="40" w:line="240" w:lineRule="auto"/>
              <w:jc w:val="left"/>
            </w:pPr>
            <w:r>
              <w:t>Pharmaceuticals and Medical Devices Agency (PMDA)</w:t>
            </w:r>
          </w:p>
        </w:tc>
        <w:tc>
          <w:tcPr>
            <w:tcW w:w="4682" w:type="dxa"/>
            <w:vAlign w:val="center"/>
          </w:tcPr>
          <w:p w14:paraId="0D14034F" w14:textId="58B055E0" w:rsidR="000839AB" w:rsidRDefault="000839AB" w:rsidP="00BE6189">
            <w:pPr>
              <w:pStyle w:val="Tekstpodstawowy"/>
              <w:spacing w:before="40" w:after="40" w:line="240" w:lineRule="auto"/>
              <w:jc w:val="left"/>
            </w:pPr>
            <w:r>
              <w:t>If a product is likely to be affected by ethnicity, data generated in Japanese populations is required. If it is unlikely to be affected by ethnicity, this does not apply.</w:t>
            </w:r>
            <w:r>
              <w:rPr>
                <w:rStyle w:val="Odwoanieprzypisudolnego"/>
              </w:rPr>
              <w:footnoteReference w:id="90"/>
            </w:r>
          </w:p>
        </w:tc>
      </w:tr>
      <w:tr w:rsidR="000839AB" w14:paraId="5AA1D3CB" w14:textId="77777777" w:rsidTr="00447551">
        <w:tc>
          <w:tcPr>
            <w:tcW w:w="1139" w:type="dxa"/>
            <w:shd w:val="clear" w:color="auto" w:fill="F2F2F2" w:themeFill="text2" w:themeFillTint="33"/>
            <w:vAlign w:val="center"/>
          </w:tcPr>
          <w:p w14:paraId="6F0FFBA6" w14:textId="5022E9DE" w:rsidR="000839AB" w:rsidRPr="00BE6189" w:rsidRDefault="000839AB" w:rsidP="003A2842">
            <w:pPr>
              <w:pStyle w:val="Tekstpodstawowy"/>
              <w:spacing w:before="40" w:after="40" w:line="240" w:lineRule="auto"/>
              <w:jc w:val="center"/>
              <w:rPr>
                <w:b/>
              </w:rPr>
            </w:pPr>
            <w:r w:rsidRPr="00BE6189">
              <w:rPr>
                <w:b/>
              </w:rPr>
              <w:t>China</w:t>
            </w:r>
          </w:p>
        </w:tc>
        <w:tc>
          <w:tcPr>
            <w:tcW w:w="2112" w:type="dxa"/>
            <w:vAlign w:val="center"/>
          </w:tcPr>
          <w:p w14:paraId="53360C22" w14:textId="1567140A" w:rsidR="000839AB" w:rsidRDefault="000839AB" w:rsidP="003A2842">
            <w:pPr>
              <w:pStyle w:val="Tekstpodstawowy"/>
              <w:spacing w:before="40" w:after="40" w:line="240" w:lineRule="auto"/>
              <w:jc w:val="left"/>
            </w:pPr>
            <w:r>
              <w:t>State Administration for Market Regulation (SAMR)</w:t>
            </w:r>
          </w:p>
        </w:tc>
        <w:tc>
          <w:tcPr>
            <w:tcW w:w="4682" w:type="dxa"/>
            <w:vAlign w:val="center"/>
          </w:tcPr>
          <w:p w14:paraId="4E5CD69B" w14:textId="4A98E0BD" w:rsidR="000839AB" w:rsidRDefault="000839AB" w:rsidP="003A2842">
            <w:pPr>
              <w:pStyle w:val="Tekstpodstawowy"/>
              <w:spacing w:before="40" w:after="40" w:line="240" w:lineRule="auto"/>
              <w:jc w:val="left"/>
            </w:pPr>
            <w:r>
              <w:t>If a product is likely to be affected by ethnicity, data generated in Chinese populations is required. If it is unlikely to be affected by ethnicity, this does not apply.</w:t>
            </w:r>
            <w:r>
              <w:rPr>
                <w:rStyle w:val="Odwoanieprzypisudolnego"/>
              </w:rPr>
              <w:footnoteReference w:id="91"/>
            </w:r>
          </w:p>
        </w:tc>
      </w:tr>
    </w:tbl>
    <w:p w14:paraId="64C85591" w14:textId="40464C0C" w:rsidR="0035394B" w:rsidRPr="002823BC" w:rsidRDefault="0035394B" w:rsidP="00EA4892">
      <w:pPr>
        <w:pStyle w:val="Tekstpodstawowy"/>
        <w:rPr>
          <w:sz w:val="16"/>
          <w:szCs w:val="16"/>
        </w:rPr>
      </w:pPr>
      <w:r w:rsidRPr="002823BC">
        <w:rPr>
          <w:sz w:val="16"/>
          <w:szCs w:val="16"/>
        </w:rPr>
        <w:t>Sources: Regulatory guidance</w:t>
      </w:r>
    </w:p>
    <w:p w14:paraId="6D466C74" w14:textId="6235F02F" w:rsidR="00EA4892" w:rsidRPr="00A264FA" w:rsidRDefault="0064253B" w:rsidP="00EA4892">
      <w:pPr>
        <w:pStyle w:val="Tekstpodstawowy"/>
        <w:rPr>
          <w:color w:val="FF0000"/>
        </w:rPr>
      </w:pPr>
      <w:r>
        <w:t xml:space="preserve">However, much of the literature recognised that there </w:t>
      </w:r>
      <w:r w:rsidR="004F06F7">
        <w:t>is</w:t>
      </w:r>
      <w:r>
        <w:t xml:space="preserve"> </w:t>
      </w:r>
      <w:r w:rsidR="004F06F7">
        <w:t xml:space="preserve">also </w:t>
      </w:r>
      <w:r w:rsidRPr="0064253B">
        <w:t xml:space="preserve">strategic commercial </w:t>
      </w:r>
      <w:r>
        <w:t xml:space="preserve">consideration in determining the location of </w:t>
      </w:r>
      <w:r w:rsidRPr="0064253B">
        <w:t>clinical trial programmes</w:t>
      </w:r>
      <w:r>
        <w:t xml:space="preserve">. They are often </w:t>
      </w:r>
      <w:r w:rsidRPr="0064253B">
        <w:t>spread across many OECD (Organisation for Economic Co-operation and Development) countries to provide a platform for international uptake</w:t>
      </w:r>
      <w:r>
        <w:t>. Hav</w:t>
      </w:r>
      <w:r w:rsidR="00D73DA2">
        <w:t>ing</w:t>
      </w:r>
      <w:r>
        <w:t xml:space="preserve"> </w:t>
      </w:r>
      <w:r w:rsidRPr="0064253B">
        <w:t xml:space="preserve">strong links to top clinical research centres locally </w:t>
      </w:r>
      <w:r>
        <w:t>w</w:t>
      </w:r>
      <w:r w:rsidR="00D73DA2">
        <w:t>hich</w:t>
      </w:r>
      <w:r>
        <w:t xml:space="preserve"> understand the new medicine </w:t>
      </w:r>
      <w:r w:rsidRPr="0064253B">
        <w:t xml:space="preserve">is </w:t>
      </w:r>
      <w:r>
        <w:t xml:space="preserve">seen as </w:t>
      </w:r>
      <w:r w:rsidRPr="0064253B">
        <w:t>a considerable asset.</w:t>
      </w:r>
      <w:r w:rsidR="00F1578F">
        <w:t xml:space="preserve"> </w:t>
      </w:r>
      <w:r w:rsidR="00EA4892">
        <w:rPr>
          <w:color w:val="000000" w:themeColor="text1"/>
        </w:rPr>
        <w:t xml:space="preserve">Logically, a major commercial market may be an attractive location for a clinical trial </w:t>
      </w:r>
      <w:r w:rsidR="00492D2E">
        <w:rPr>
          <w:color w:val="000000" w:themeColor="text1"/>
        </w:rPr>
        <w:t xml:space="preserve">because of </w:t>
      </w:r>
      <w:r w:rsidR="00EA4892">
        <w:rPr>
          <w:color w:val="000000" w:themeColor="text1"/>
        </w:rPr>
        <w:t xml:space="preserve">the advantages associated with </w:t>
      </w:r>
      <w:r w:rsidR="00EA4892" w:rsidRPr="00611E6F">
        <w:t xml:space="preserve">familiarising </w:t>
      </w:r>
      <w:r w:rsidR="00EA4892">
        <w:t xml:space="preserve">clinical key opinion leaders </w:t>
      </w:r>
      <w:r w:rsidR="00EA4892" w:rsidRPr="00611E6F">
        <w:t xml:space="preserve">with </w:t>
      </w:r>
      <w:r w:rsidR="00EA4892">
        <w:t>a new</w:t>
      </w:r>
      <w:r w:rsidR="00EA4892" w:rsidRPr="00611E6F">
        <w:t xml:space="preserve"> product</w:t>
      </w:r>
      <w:r w:rsidR="00EA4892">
        <w:t xml:space="preserve"> pre-launch to support its rapid uptake post-marketing authorisation.</w:t>
      </w:r>
      <w:r w:rsidR="00F1785D">
        <w:rPr>
          <w:rStyle w:val="Odwoanieprzypisudolnego"/>
        </w:rPr>
        <w:footnoteReference w:id="92"/>
      </w:r>
      <w:r w:rsidR="00EA4892">
        <w:t xml:space="preserve"> </w:t>
      </w:r>
      <w:r w:rsidR="003B64C2">
        <w:t xml:space="preserve">Furthermore, the Helsinki </w:t>
      </w:r>
      <w:r w:rsidR="003C5687">
        <w:t>Declaration revision of 2013</w:t>
      </w:r>
      <w:r w:rsidR="00AE6090">
        <w:t xml:space="preserve"> stipulates patients participating in a clinical trial must retain</w:t>
      </w:r>
      <w:r w:rsidR="000F4090">
        <w:t xml:space="preserve"> post-trial access</w:t>
      </w:r>
      <w:r w:rsidR="00384723">
        <w:t>, which is now factored into decisions on where to initiate clinical trials</w:t>
      </w:r>
      <w:r w:rsidR="001401A9">
        <w:t>.</w:t>
      </w:r>
      <w:r w:rsidR="000F4090">
        <w:rPr>
          <w:rStyle w:val="Odwoanieprzypisudolnego"/>
        </w:rPr>
        <w:footnoteReference w:id="93"/>
      </w:r>
      <w:r w:rsidR="006469BA">
        <w:t xml:space="preserve"> </w:t>
      </w:r>
    </w:p>
    <w:p w14:paraId="41BB80D2" w14:textId="482E6638" w:rsidR="00EA4892" w:rsidRPr="00EC0C7E" w:rsidRDefault="00EA4892" w:rsidP="00EA4892">
      <w:pPr>
        <w:pStyle w:val="Tekstpodstawowy"/>
        <w:rPr>
          <w:color w:val="FF0000"/>
        </w:rPr>
      </w:pPr>
      <w:r>
        <w:t xml:space="preserve">Commercial conditions may also indirectly influence the ability for a high-quality trial to be conducted. </w:t>
      </w:r>
      <w:r w:rsidRPr="004A78CD">
        <w:rPr>
          <w:color w:val="000000" w:themeColor="text1"/>
        </w:rPr>
        <w:t xml:space="preserve">A restrictive pricing and access environment for innovative therapies can stagnate the standard of care in a market, as physicians </w:t>
      </w:r>
      <w:r>
        <w:rPr>
          <w:color w:val="000000" w:themeColor="text1"/>
        </w:rPr>
        <w:t>may</w:t>
      </w:r>
      <w:r w:rsidRPr="004A78CD">
        <w:rPr>
          <w:color w:val="000000" w:themeColor="text1"/>
        </w:rPr>
        <w:t xml:space="preserve"> be </w:t>
      </w:r>
      <w:r>
        <w:rPr>
          <w:color w:val="000000" w:themeColor="text1"/>
        </w:rPr>
        <w:t>treating patients with older, low-cost therapies rather than newer</w:t>
      </w:r>
      <w:r w:rsidR="00492D2E">
        <w:rPr>
          <w:color w:val="000000" w:themeColor="text1"/>
        </w:rPr>
        <w:t>,</w:t>
      </w:r>
      <w:r>
        <w:rPr>
          <w:color w:val="000000" w:themeColor="text1"/>
        </w:rPr>
        <w:t xml:space="preserve"> high-cost therapies</w:t>
      </w:r>
      <w:r w:rsidR="003B7DD5">
        <w:rPr>
          <w:color w:val="000000" w:themeColor="text1"/>
        </w:rPr>
        <w:t xml:space="preserve">. </w:t>
      </w:r>
      <w:r w:rsidR="00D21A3A">
        <w:rPr>
          <w:color w:val="000000" w:themeColor="text1"/>
        </w:rPr>
        <w:t>From a clinical standpoint, this may</w:t>
      </w:r>
      <w:r>
        <w:rPr>
          <w:color w:val="000000" w:themeColor="text1"/>
        </w:rPr>
        <w:t xml:space="preserve"> be considered the most appropriate comparator for a clinical trial in the same therapy area. This could </w:t>
      </w:r>
      <w:r w:rsidRPr="00D93AFB">
        <w:rPr>
          <w:color w:val="000000" w:themeColor="text1"/>
        </w:rPr>
        <w:t>prevent a company from c</w:t>
      </w:r>
      <w:r w:rsidR="009E7471">
        <w:rPr>
          <w:color w:val="000000" w:themeColor="text1"/>
        </w:rPr>
        <w:t xml:space="preserve">onducting a clinical trial in such a market in the </w:t>
      </w:r>
      <w:r w:rsidR="009E7471">
        <w:rPr>
          <w:color w:val="000000" w:themeColor="text1"/>
        </w:rPr>
        <w:lastRenderedPageBreak/>
        <w:t>future because the outdated clinical guidelines used may not reflect</w:t>
      </w:r>
      <w:r w:rsidRPr="00D93AFB">
        <w:rPr>
          <w:color w:val="000000" w:themeColor="text1"/>
        </w:rPr>
        <w:t xml:space="preserve"> what a comparator arm needs to be in </w:t>
      </w:r>
      <w:r>
        <w:rPr>
          <w:color w:val="000000" w:themeColor="text1"/>
        </w:rPr>
        <w:t>an innovative</w:t>
      </w:r>
      <w:r w:rsidRPr="00D93AFB">
        <w:rPr>
          <w:color w:val="000000" w:themeColor="text1"/>
        </w:rPr>
        <w:t xml:space="preserve"> clinical trial.</w:t>
      </w:r>
      <w:r w:rsidR="00843223">
        <w:rPr>
          <w:rStyle w:val="Odwoanieprzypisudolnego"/>
          <w:color w:val="000000" w:themeColor="text1"/>
        </w:rPr>
        <w:footnoteReference w:id="94"/>
      </w:r>
    </w:p>
    <w:p w14:paraId="73F06056" w14:textId="72E557AC" w:rsidR="00D64C82" w:rsidRPr="00F02DD7" w:rsidRDefault="00EA4892">
      <w:pPr>
        <w:pStyle w:val="Tekstpodstawowy"/>
        <w:rPr>
          <w:color w:val="FF0000"/>
        </w:rPr>
      </w:pPr>
      <w:r w:rsidRPr="00C32AC7">
        <w:rPr>
          <w:color w:val="000000" w:themeColor="text1"/>
        </w:rPr>
        <w:t xml:space="preserve">Potentially this </w:t>
      </w:r>
      <w:r w:rsidR="0035394B">
        <w:rPr>
          <w:color w:val="000000" w:themeColor="text1"/>
        </w:rPr>
        <w:t>provides an explanation that</w:t>
      </w:r>
      <w:r w:rsidRPr="00C32AC7">
        <w:rPr>
          <w:color w:val="000000" w:themeColor="text1"/>
        </w:rPr>
        <w:t xml:space="preserve"> reconcile</w:t>
      </w:r>
      <w:r w:rsidR="00843223">
        <w:rPr>
          <w:color w:val="000000" w:themeColor="text1"/>
        </w:rPr>
        <w:t>s</w:t>
      </w:r>
      <w:r w:rsidRPr="00C32AC7">
        <w:rPr>
          <w:color w:val="000000" w:themeColor="text1"/>
        </w:rPr>
        <w:t xml:space="preserve"> the conflict in the literature, where statistical analyses show correlation between pric</w:t>
      </w:r>
      <w:r w:rsidRPr="00843223">
        <w:rPr>
          <w:color w:val="000000" w:themeColor="text1"/>
        </w:rPr>
        <w:t xml:space="preserve">e regulations and location of </w:t>
      </w:r>
      <w:r w:rsidR="00162397" w:rsidRPr="00DC16A4">
        <w:rPr>
          <w:color w:val="000000" w:themeColor="text1"/>
        </w:rPr>
        <w:t>clinical trials</w:t>
      </w:r>
      <w:r w:rsidRPr="00843223">
        <w:rPr>
          <w:color w:val="000000" w:themeColor="text1"/>
        </w:rPr>
        <w:t>,</w:t>
      </w:r>
      <w:r w:rsidR="00AB7B18" w:rsidRPr="00843223">
        <w:rPr>
          <w:rStyle w:val="Odwoanieprzypisudolnego"/>
          <w:color w:val="000000" w:themeColor="text1"/>
        </w:rPr>
        <w:footnoteReference w:id="95"/>
      </w:r>
      <w:r w:rsidR="00C32AC7" w:rsidRPr="00843223">
        <w:rPr>
          <w:color w:val="000000" w:themeColor="text1"/>
          <w:vertAlign w:val="superscript"/>
        </w:rPr>
        <w:t>,</w:t>
      </w:r>
      <w:r w:rsidR="004D28E9" w:rsidRPr="00843223">
        <w:rPr>
          <w:rStyle w:val="Odwoanieprzypisudolnego"/>
          <w:color w:val="000000" w:themeColor="text1"/>
        </w:rPr>
        <w:footnoteReference w:id="96"/>
      </w:r>
      <w:r w:rsidRPr="00843223">
        <w:rPr>
          <w:color w:val="000000" w:themeColor="text1"/>
        </w:rPr>
        <w:t xml:space="preserve"> whereas many qualitative decision-maker interviews</w:t>
      </w:r>
      <w:r w:rsidRPr="00C32AC7">
        <w:rPr>
          <w:color w:val="000000" w:themeColor="text1"/>
        </w:rPr>
        <w:t xml:space="preserve"> suggest that</w:t>
      </w:r>
      <w:r w:rsidR="00492D2E">
        <w:rPr>
          <w:color w:val="000000" w:themeColor="text1"/>
        </w:rPr>
        <w:t xml:space="preserve"> </w:t>
      </w:r>
      <w:r w:rsidR="00492D2E">
        <w:rPr>
          <w:rFonts w:cs="Arial"/>
          <w:color w:val="000000" w:themeColor="text1"/>
        </w:rPr>
        <w:t>–</w:t>
      </w:r>
      <w:r w:rsidRPr="00C32AC7">
        <w:rPr>
          <w:color w:val="000000" w:themeColor="text1"/>
        </w:rPr>
        <w:t xml:space="preserve"> </w:t>
      </w:r>
      <w:r w:rsidR="007510E2">
        <w:rPr>
          <w:color w:val="000000" w:themeColor="text1"/>
        </w:rPr>
        <w:t>although important</w:t>
      </w:r>
      <w:r w:rsidR="00492D2E">
        <w:rPr>
          <w:color w:val="000000" w:themeColor="text1"/>
        </w:rPr>
        <w:t xml:space="preserve"> </w:t>
      </w:r>
      <w:r w:rsidR="00492D2E">
        <w:rPr>
          <w:rFonts w:cs="Arial"/>
          <w:color w:val="000000" w:themeColor="text1"/>
        </w:rPr>
        <w:t>–</w:t>
      </w:r>
      <w:r w:rsidR="007510E2">
        <w:rPr>
          <w:color w:val="000000" w:themeColor="text1"/>
        </w:rPr>
        <w:t xml:space="preserve"> </w:t>
      </w:r>
      <w:r w:rsidR="001D3B9D">
        <w:rPr>
          <w:color w:val="000000" w:themeColor="text1"/>
        </w:rPr>
        <w:t xml:space="preserve">price regulation </w:t>
      </w:r>
      <w:r w:rsidR="0026116C">
        <w:rPr>
          <w:color w:val="000000" w:themeColor="text1"/>
        </w:rPr>
        <w:t>is not a key driver when deciding on location of clinical trials</w:t>
      </w:r>
      <w:r w:rsidRPr="00C32AC7">
        <w:rPr>
          <w:color w:val="000000" w:themeColor="text1"/>
        </w:rPr>
        <w:t>.</w:t>
      </w:r>
      <w:r w:rsidR="00B44F22" w:rsidRPr="00D53D69">
        <w:rPr>
          <w:rStyle w:val="Odwoanieprzypisudolnego"/>
          <w:color w:val="000000" w:themeColor="text1"/>
        </w:rPr>
        <w:footnoteReference w:id="97"/>
      </w:r>
      <w:r w:rsidR="00142D0B" w:rsidRPr="00EB0C2E">
        <w:rPr>
          <w:color w:val="000000" w:themeColor="text1"/>
          <w:vertAlign w:val="superscript"/>
        </w:rPr>
        <w:t>,</w:t>
      </w:r>
      <w:r w:rsidR="00B44F22" w:rsidRPr="00D53D69">
        <w:rPr>
          <w:rStyle w:val="Odwoanieprzypisudolnego"/>
          <w:color w:val="000000" w:themeColor="text1"/>
        </w:rPr>
        <w:footnoteReference w:id="98"/>
      </w:r>
      <w:r w:rsidR="002D693B">
        <w:rPr>
          <w:color w:val="000000" w:themeColor="text1"/>
          <w:vertAlign w:val="superscript"/>
        </w:rPr>
        <w:t>,</w:t>
      </w:r>
      <w:r w:rsidR="000E6B3B" w:rsidRPr="00EB0C2E">
        <w:rPr>
          <w:rStyle w:val="Odwoanieprzypisudolnego"/>
          <w:color w:val="000000" w:themeColor="text1"/>
        </w:rPr>
        <w:footnoteReference w:id="99"/>
      </w:r>
      <w:r w:rsidRPr="00C32AC7">
        <w:rPr>
          <w:color w:val="000000" w:themeColor="text1"/>
        </w:rPr>
        <w:t xml:space="preserve"> For example, it </w:t>
      </w:r>
      <w:r w:rsidR="00162397">
        <w:rPr>
          <w:color w:val="000000" w:themeColor="text1"/>
        </w:rPr>
        <w:t>may be true</w:t>
      </w:r>
      <w:r w:rsidRPr="00C32AC7">
        <w:rPr>
          <w:color w:val="000000" w:themeColor="text1"/>
        </w:rPr>
        <w:t xml:space="preserve"> that changes to price regulations in a country would not impact a company’s </w:t>
      </w:r>
      <w:r w:rsidR="00DF12BF" w:rsidRPr="00C32AC7">
        <w:rPr>
          <w:color w:val="000000" w:themeColor="text1"/>
        </w:rPr>
        <w:t>near-term</w:t>
      </w:r>
      <w:r w:rsidRPr="00C32AC7">
        <w:rPr>
          <w:color w:val="000000" w:themeColor="text1"/>
        </w:rPr>
        <w:t xml:space="preserve"> clinical trial </w:t>
      </w:r>
      <w:r w:rsidR="00447E6D">
        <w:rPr>
          <w:color w:val="000000" w:themeColor="text1"/>
        </w:rPr>
        <w:t>location decision</w:t>
      </w:r>
      <w:r w:rsidR="007F197D">
        <w:rPr>
          <w:color w:val="000000" w:themeColor="text1"/>
        </w:rPr>
        <w:t>. H</w:t>
      </w:r>
      <w:r w:rsidRPr="00C32AC7">
        <w:rPr>
          <w:color w:val="000000" w:themeColor="text1"/>
        </w:rPr>
        <w:t xml:space="preserve">owever, </w:t>
      </w:r>
      <w:r w:rsidR="007F197D">
        <w:rPr>
          <w:color w:val="000000" w:themeColor="text1"/>
        </w:rPr>
        <w:t>over the long</w:t>
      </w:r>
      <w:r w:rsidR="005D0199">
        <w:rPr>
          <w:color w:val="000000" w:themeColor="text1"/>
        </w:rPr>
        <w:t xml:space="preserve"> </w:t>
      </w:r>
      <w:r w:rsidR="007F197D">
        <w:rPr>
          <w:color w:val="000000" w:themeColor="text1"/>
        </w:rPr>
        <w:t>term, poor market conditions could</w:t>
      </w:r>
      <w:r w:rsidRPr="00C32AC7">
        <w:rPr>
          <w:color w:val="000000" w:themeColor="text1"/>
        </w:rPr>
        <w:t xml:space="preserve"> impact the clinical standard of care and in five to </w:t>
      </w:r>
      <w:r w:rsidR="00492D2E">
        <w:rPr>
          <w:color w:val="000000" w:themeColor="text1"/>
        </w:rPr>
        <w:t xml:space="preserve">10 </w:t>
      </w:r>
      <w:r w:rsidRPr="00C32AC7">
        <w:rPr>
          <w:color w:val="000000" w:themeColor="text1"/>
        </w:rPr>
        <w:t xml:space="preserve">years could become a reason </w:t>
      </w:r>
      <w:r w:rsidR="005D0199">
        <w:rPr>
          <w:color w:val="000000" w:themeColor="text1"/>
        </w:rPr>
        <w:t xml:space="preserve">why </w:t>
      </w:r>
      <w:r w:rsidRPr="00C32AC7">
        <w:rPr>
          <w:color w:val="000000" w:themeColor="text1"/>
        </w:rPr>
        <w:t xml:space="preserve">that country is not a suitable </w:t>
      </w:r>
      <w:r w:rsidR="005D0199">
        <w:rPr>
          <w:color w:val="000000" w:themeColor="text1"/>
        </w:rPr>
        <w:t xml:space="preserve">location </w:t>
      </w:r>
      <w:r w:rsidRPr="00C32AC7">
        <w:rPr>
          <w:color w:val="000000" w:themeColor="text1"/>
        </w:rPr>
        <w:t>for clinical trials.</w:t>
      </w:r>
      <w:r>
        <w:rPr>
          <w:color w:val="000000" w:themeColor="text1"/>
        </w:rPr>
        <w:t xml:space="preserve"> </w:t>
      </w:r>
    </w:p>
    <w:p w14:paraId="1BA17626" w14:textId="3A91C725" w:rsidR="00E75ABC" w:rsidRDefault="00E75ABC" w:rsidP="00BE6189">
      <w:pPr>
        <w:pStyle w:val="Nagwek4"/>
      </w:pPr>
      <w:r>
        <w:t>Understanding global trends in clinical trial activity</w:t>
      </w:r>
    </w:p>
    <w:p w14:paraId="0A36B900" w14:textId="636150C0" w:rsidR="00E55CD1" w:rsidRDefault="0024553E" w:rsidP="00C258D7">
      <w:pPr>
        <w:pStyle w:val="Tekstpodstawowy"/>
      </w:pPr>
      <w:r>
        <w:t xml:space="preserve">It is clear that Europe has been losing market share in terms of the location of clinical trials. </w:t>
      </w:r>
      <w:r w:rsidR="002955CB">
        <w:t xml:space="preserve">According to </w:t>
      </w:r>
      <w:proofErr w:type="spellStart"/>
      <w:r w:rsidR="002955CB">
        <w:t>GlobalData</w:t>
      </w:r>
      <w:proofErr w:type="spellEnd"/>
      <w:r w:rsidR="002955CB">
        <w:t xml:space="preserve">, </w:t>
      </w:r>
      <w:r w:rsidR="00101BC1" w:rsidRPr="00101BC1">
        <w:t xml:space="preserve">Europe accounted for a 19.3% share of global clinical trial activity in 2020, a decrease of 6.3% compared with a 25.6% average over the last </w:t>
      </w:r>
      <w:r w:rsidR="00A43DB3">
        <w:t xml:space="preserve">10 </w:t>
      </w:r>
      <w:r w:rsidR="00101BC1" w:rsidRPr="00101BC1">
        <w:t>years.</w:t>
      </w:r>
      <w:r w:rsidR="00101BC1">
        <w:rPr>
          <w:rStyle w:val="Odwoanieprzypisudolnego"/>
        </w:rPr>
        <w:footnoteReference w:id="100"/>
      </w:r>
      <w:r w:rsidR="00101BC1">
        <w:t xml:space="preserve"> </w:t>
      </w:r>
      <w:r w:rsidR="00BE6189">
        <w:t>A</w:t>
      </w:r>
      <w:r>
        <w:t xml:space="preserve"> number of reasons for this</w:t>
      </w:r>
      <w:r w:rsidR="00BE6189">
        <w:t xml:space="preserve"> are stated in the existing literature</w:t>
      </w:r>
      <w:r>
        <w:t>:</w:t>
      </w:r>
      <w:r w:rsidR="00101BC1">
        <w:rPr>
          <w:rStyle w:val="Odwoanieprzypisudolnego"/>
        </w:rPr>
        <w:footnoteReference w:id="101"/>
      </w:r>
    </w:p>
    <w:p w14:paraId="5334C9D7" w14:textId="2763CBEA" w:rsidR="00542F36" w:rsidRDefault="00542F36" w:rsidP="000A2E03">
      <w:pPr>
        <w:pStyle w:val="Tekstpodstawowy"/>
        <w:numPr>
          <w:ilvl w:val="0"/>
          <w:numId w:val="161"/>
        </w:numPr>
      </w:pPr>
      <w:r>
        <w:t>The</w:t>
      </w:r>
      <w:r w:rsidRPr="00542F36">
        <w:t xml:space="preserve"> pool of eligible patients </w:t>
      </w:r>
    </w:p>
    <w:p w14:paraId="1642C916" w14:textId="3CA6FE8B" w:rsidR="00542F36" w:rsidRDefault="00542F36" w:rsidP="000A2E03">
      <w:pPr>
        <w:pStyle w:val="Tekstpodstawowy"/>
        <w:numPr>
          <w:ilvl w:val="0"/>
          <w:numId w:val="161"/>
        </w:numPr>
      </w:pPr>
      <w:r>
        <w:t xml:space="preserve">The </w:t>
      </w:r>
      <w:r w:rsidRPr="00542F36">
        <w:t xml:space="preserve">speed of approvals </w:t>
      </w:r>
    </w:p>
    <w:p w14:paraId="0D85D36A" w14:textId="32737FC7" w:rsidR="0024553E" w:rsidRDefault="00542F36" w:rsidP="000A2E03">
      <w:pPr>
        <w:pStyle w:val="Tekstpodstawowy"/>
        <w:numPr>
          <w:ilvl w:val="0"/>
          <w:numId w:val="161"/>
        </w:numPr>
      </w:pPr>
      <w:r>
        <w:t>P</w:t>
      </w:r>
      <w:r w:rsidRPr="00542F36">
        <w:t>resence of disease-management networks</w:t>
      </w:r>
    </w:p>
    <w:p w14:paraId="524CF585" w14:textId="6D7FF9CD" w:rsidR="00830733" w:rsidRDefault="00830733" w:rsidP="000A2E03">
      <w:pPr>
        <w:pStyle w:val="Tekstpodstawowy"/>
        <w:numPr>
          <w:ilvl w:val="0"/>
          <w:numId w:val="161"/>
        </w:numPr>
      </w:pPr>
      <w:r>
        <w:t>Development of other geographical areas</w:t>
      </w:r>
    </w:p>
    <w:p w14:paraId="58EAF94D" w14:textId="3A9294A5" w:rsidR="00542F36" w:rsidRDefault="00542F36" w:rsidP="000A2E03">
      <w:pPr>
        <w:pStyle w:val="Tekstpodstawowy"/>
        <w:numPr>
          <w:ilvl w:val="0"/>
          <w:numId w:val="161"/>
        </w:numPr>
      </w:pPr>
      <w:r>
        <w:t>C</w:t>
      </w:r>
      <w:r w:rsidRPr="00542F36">
        <w:t xml:space="preserve">osts </w:t>
      </w:r>
      <w:r>
        <w:t>and</w:t>
      </w:r>
      <w:r w:rsidRPr="00542F36">
        <w:t xml:space="preserve"> government financial incentives</w:t>
      </w:r>
      <w:r w:rsidR="00A43DB3">
        <w:t>, although these</w:t>
      </w:r>
      <w:r>
        <w:t xml:space="preserve"> were seen as relatively less important</w:t>
      </w:r>
    </w:p>
    <w:p w14:paraId="04CD4D49" w14:textId="143A6B75" w:rsidR="00964755" w:rsidRDefault="00BA18C7" w:rsidP="00BA18C7">
      <w:pPr>
        <w:pStyle w:val="Tekstpodstawowy"/>
      </w:pPr>
      <w:r>
        <w:lastRenderedPageBreak/>
        <w:t xml:space="preserve">Clinical trials have historically been concentrated around the clinical site, typically an academic or general hospital, employing experienced investigators and site staff. </w:t>
      </w:r>
      <w:r w:rsidR="00F511D2">
        <w:t>However, this could be changing with innovation.</w:t>
      </w:r>
      <w:r>
        <w:t xml:space="preserve"> </w:t>
      </w:r>
      <w:r w:rsidR="00101BC1" w:rsidRPr="00101BC1">
        <w:t xml:space="preserve">The </w:t>
      </w:r>
      <w:r w:rsidR="00A43DB3">
        <w:t xml:space="preserve">increasing </w:t>
      </w:r>
      <w:r w:rsidR="00101BC1" w:rsidRPr="00101BC1">
        <w:t>adoption of new technologies like artificial intelligence, big data analytics, blockchain, clinical trial payments, and patient engagement solutions</w:t>
      </w:r>
      <w:r w:rsidR="00A43DB3">
        <w:t>,</w:t>
      </w:r>
      <w:r w:rsidR="00101BC1" w:rsidRPr="00101BC1">
        <w:t xml:space="preserve"> among others</w:t>
      </w:r>
      <w:r w:rsidR="0005798B">
        <w:t>,</w:t>
      </w:r>
      <w:r w:rsidR="00101BC1" w:rsidRPr="00101BC1">
        <w:t xml:space="preserve"> have significantly contributed to the market growth</w:t>
      </w:r>
      <w:r w:rsidR="00105849">
        <w:t xml:space="preserve"> (</w:t>
      </w:r>
      <w:r w:rsidR="00105849" w:rsidRPr="000A2E03">
        <w:fldChar w:fldCharType="begin"/>
      </w:r>
      <w:r w:rsidR="00105849">
        <w:instrText xml:space="preserve"> REF _Ref110014243 \h </w:instrText>
      </w:r>
      <w:r w:rsidR="00105849" w:rsidRPr="000A2E03">
        <w:fldChar w:fldCharType="separate"/>
      </w:r>
      <w:r w:rsidR="005667DB">
        <w:t xml:space="preserve">Figure </w:t>
      </w:r>
      <w:r w:rsidR="005667DB">
        <w:rPr>
          <w:noProof/>
        </w:rPr>
        <w:t>12</w:t>
      </w:r>
      <w:r w:rsidR="00105849" w:rsidRPr="000A2E03">
        <w:fldChar w:fldCharType="end"/>
      </w:r>
      <w:r w:rsidR="00105849">
        <w:t>)</w:t>
      </w:r>
      <w:r w:rsidR="00101BC1" w:rsidRPr="00101BC1">
        <w:t>. The COVID-19 pandemic ha</w:t>
      </w:r>
      <w:r w:rsidR="00EB4F58">
        <w:t>s also</w:t>
      </w:r>
      <w:r w:rsidR="00101BC1" w:rsidRPr="00101BC1">
        <w:t xml:space="preserve"> improved the adoption of virtual clinical trials. </w:t>
      </w:r>
      <w:r w:rsidR="00083C5B">
        <w:t>T</w:t>
      </w:r>
      <w:r w:rsidR="00E23C19">
        <w:t xml:space="preserve">here have been </w:t>
      </w:r>
      <w:r w:rsidR="00A67D24">
        <w:t>a number of interesting initiatives relating to the use of these technologies in clinical trials in Europe</w:t>
      </w:r>
      <w:r w:rsidR="00A43DB3">
        <w:t>;</w:t>
      </w:r>
      <w:r w:rsidR="00083C5B">
        <w:t xml:space="preserve"> </w:t>
      </w:r>
      <w:r w:rsidR="00A67D24">
        <w:t>for example</w:t>
      </w:r>
      <w:r w:rsidR="00E00BC1">
        <w:t>,</w:t>
      </w:r>
      <w:r w:rsidR="00A67D24">
        <w:t xml:space="preserve"> </w:t>
      </w:r>
      <w:r w:rsidR="00083C5B">
        <w:t xml:space="preserve">the Innovative Medicines Initiative (IMI)’s </w:t>
      </w:r>
      <w:r w:rsidR="0049197B">
        <w:t>‘</w:t>
      </w:r>
      <w:proofErr w:type="spellStart"/>
      <w:r w:rsidR="0049197B">
        <w:t>Trials@</w:t>
      </w:r>
      <w:r w:rsidR="00BF6445">
        <w:t>Home</w:t>
      </w:r>
      <w:proofErr w:type="spellEnd"/>
      <w:r w:rsidR="00BF6445">
        <w:t xml:space="preserve">’ </w:t>
      </w:r>
      <w:r w:rsidR="001F03C4">
        <w:t>project</w:t>
      </w:r>
      <w:r w:rsidR="00CA2466">
        <w:t xml:space="preserve">, </w:t>
      </w:r>
      <w:r w:rsidR="002634CC">
        <w:t xml:space="preserve">which aims to </w:t>
      </w:r>
      <w:r w:rsidR="00937ADC">
        <w:t>conduct a pan-EU pilot on innovative, technology-led</w:t>
      </w:r>
      <w:r w:rsidR="00A43DB3">
        <w:t>,</w:t>
      </w:r>
      <w:r w:rsidR="00937ADC">
        <w:t xml:space="preserve"> decentralised clinical trial designs</w:t>
      </w:r>
      <w:r w:rsidR="00591DBC">
        <w:t>.</w:t>
      </w:r>
      <w:r w:rsidR="00591DBC">
        <w:rPr>
          <w:rStyle w:val="Odwoanieprzypisudolnego"/>
        </w:rPr>
        <w:footnoteReference w:id="102"/>
      </w:r>
      <w:r w:rsidR="009B38BA">
        <w:t xml:space="preserve"> However, </w:t>
      </w:r>
      <w:r w:rsidR="00A43DB3">
        <w:t xml:space="preserve">in </w:t>
      </w:r>
      <w:r w:rsidR="003F2D77">
        <w:t>overall</w:t>
      </w:r>
      <w:r w:rsidR="002A112E">
        <w:t xml:space="preserve"> adoption of </w:t>
      </w:r>
      <w:r w:rsidR="00AA1CF9">
        <w:t>digital health technologies</w:t>
      </w:r>
      <w:r w:rsidR="00A43DB3">
        <w:t>,</w:t>
      </w:r>
      <w:r w:rsidR="00AA1CF9">
        <w:t xml:space="preserve"> Europe has lagged behind other regions, </w:t>
      </w:r>
      <w:r w:rsidR="00D762DF">
        <w:t>such as the US, which is perceived to be at the forefront of the digital healthcare revolution,</w:t>
      </w:r>
      <w:r w:rsidR="00D762DF">
        <w:rPr>
          <w:rStyle w:val="Odwoanieprzypisudolnego"/>
        </w:rPr>
        <w:footnoteReference w:id="103"/>
      </w:r>
      <w:r w:rsidR="00D762DF">
        <w:t xml:space="preserve"> </w:t>
      </w:r>
      <w:r w:rsidR="006602D5">
        <w:t xml:space="preserve">putting </w:t>
      </w:r>
      <w:r w:rsidR="00D762DF">
        <w:t>Europe</w:t>
      </w:r>
      <w:r w:rsidR="006602D5">
        <w:t xml:space="preserve"> a step behind </w:t>
      </w:r>
      <w:r w:rsidR="00C465FE">
        <w:t>in attracting modern clinical trials</w:t>
      </w:r>
      <w:r w:rsidR="00DF7C68">
        <w:t>.</w:t>
      </w:r>
    </w:p>
    <w:p w14:paraId="0A0FA3AE" w14:textId="07E12EC4" w:rsidR="00090C14" w:rsidRDefault="00090C14" w:rsidP="00090C14">
      <w:pPr>
        <w:pStyle w:val="Legenda"/>
      </w:pPr>
      <w:bookmarkStart w:id="114" w:name="_Ref110014243"/>
      <w:bookmarkStart w:id="115" w:name="_Toc115717805"/>
      <w:r>
        <w:t xml:space="preserve">Figure </w:t>
      </w:r>
      <w:r w:rsidR="00F64CC5" w:rsidRPr="000A2E03">
        <w:fldChar w:fldCharType="begin"/>
      </w:r>
      <w:r w:rsidR="00F64CC5">
        <w:instrText xml:space="preserve"> SEQ Figure \* ARABIC </w:instrText>
      </w:r>
      <w:r w:rsidR="00F64CC5" w:rsidRPr="000A2E03">
        <w:fldChar w:fldCharType="separate"/>
      </w:r>
      <w:r w:rsidR="005667DB">
        <w:rPr>
          <w:noProof/>
        </w:rPr>
        <w:t>12</w:t>
      </w:r>
      <w:r w:rsidR="00F64CC5" w:rsidRPr="000A2E03">
        <w:fldChar w:fldCharType="end"/>
      </w:r>
      <w:bookmarkEnd w:id="114"/>
      <w:r>
        <w:t xml:space="preserve">: </w:t>
      </w:r>
      <w:r w:rsidR="0048361C">
        <w:t>There has been strong growth in the number of</w:t>
      </w:r>
      <w:r w:rsidR="0048361C" w:rsidRPr="00090C14">
        <w:t xml:space="preserve"> </w:t>
      </w:r>
      <w:r w:rsidRPr="00090C14">
        <w:t>clinical trials employing digital technologies or virtual interactions</w:t>
      </w:r>
      <w:bookmarkEnd w:id="115"/>
    </w:p>
    <w:p w14:paraId="150704E2" w14:textId="4B012FE6" w:rsidR="00090C14" w:rsidRDefault="00090C14" w:rsidP="00090C14">
      <w:pPr>
        <w:pStyle w:val="Tekstpodstawowy"/>
      </w:pPr>
      <w:r w:rsidRPr="000A2E03">
        <w:rPr>
          <w:noProof/>
        </w:rPr>
        <w:drawing>
          <wp:inline distT="0" distB="0" distL="0" distR="0" wp14:anchorId="0797679F" wp14:editId="7268FC91">
            <wp:extent cx="5048250" cy="2404745"/>
            <wp:effectExtent l="19050" t="1905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8250" cy="2404745"/>
                    </a:xfrm>
                    <a:prstGeom prst="rect">
                      <a:avLst/>
                    </a:prstGeom>
                    <a:ln>
                      <a:solidFill>
                        <a:schemeClr val="tx2"/>
                      </a:solidFill>
                    </a:ln>
                  </pic:spPr>
                </pic:pic>
              </a:graphicData>
            </a:graphic>
          </wp:inline>
        </w:drawing>
      </w:r>
    </w:p>
    <w:p w14:paraId="49530E32" w14:textId="4509270E" w:rsidR="00090C14" w:rsidRPr="00CF6AAE" w:rsidRDefault="00090C14" w:rsidP="00090C14">
      <w:pPr>
        <w:pStyle w:val="Tekstpodstawowy"/>
        <w:rPr>
          <w:sz w:val="16"/>
          <w:szCs w:val="16"/>
        </w:rPr>
      </w:pPr>
      <w:r w:rsidRPr="004356D1">
        <w:rPr>
          <w:sz w:val="16"/>
          <w:szCs w:val="16"/>
        </w:rPr>
        <w:t>Sources:</w:t>
      </w:r>
      <w:r>
        <w:rPr>
          <w:sz w:val="16"/>
          <w:szCs w:val="16"/>
        </w:rPr>
        <w:t xml:space="preserve"> </w:t>
      </w:r>
      <w:proofErr w:type="spellStart"/>
      <w:r w:rsidRPr="00090C14">
        <w:rPr>
          <w:sz w:val="16"/>
          <w:szCs w:val="16"/>
        </w:rPr>
        <w:t>Trialtrove</w:t>
      </w:r>
      <w:proofErr w:type="spellEnd"/>
      <w:r w:rsidRPr="00090C14">
        <w:rPr>
          <w:sz w:val="16"/>
          <w:szCs w:val="16"/>
        </w:rPr>
        <w:t>®</w:t>
      </w:r>
      <w:r w:rsidR="00F10E88">
        <w:rPr>
          <w:sz w:val="16"/>
          <w:szCs w:val="16"/>
        </w:rPr>
        <w:t xml:space="preserve"> (Pharma</w:t>
      </w:r>
      <w:r w:rsidR="008B67E2">
        <w:rPr>
          <w:sz w:val="16"/>
          <w:szCs w:val="16"/>
        </w:rPr>
        <w:t xml:space="preserve"> Intelligence)</w:t>
      </w:r>
      <w:r w:rsidRPr="00090C14">
        <w:rPr>
          <w:sz w:val="16"/>
          <w:szCs w:val="16"/>
        </w:rPr>
        <w:t>, March 2022</w:t>
      </w:r>
      <w:r w:rsidR="00A175EE">
        <w:rPr>
          <w:sz w:val="16"/>
          <w:szCs w:val="16"/>
        </w:rPr>
        <w:t xml:space="preserve">. </w:t>
      </w:r>
      <w:proofErr w:type="spellStart"/>
      <w:r w:rsidR="00A175EE">
        <w:rPr>
          <w:sz w:val="16"/>
          <w:szCs w:val="16"/>
        </w:rPr>
        <w:t>Trialtrove</w:t>
      </w:r>
      <w:proofErr w:type="spellEnd"/>
      <w:r w:rsidR="00A175EE">
        <w:rPr>
          <w:sz w:val="16"/>
          <w:szCs w:val="16"/>
        </w:rPr>
        <w:t xml:space="preserve"> consolidates data from over 58,000 distinct trial intelligence sources.</w:t>
      </w:r>
    </w:p>
    <w:p w14:paraId="5CD48CB6" w14:textId="1D8DE9F9" w:rsidR="00101BC1" w:rsidRPr="001115F6" w:rsidRDefault="00101BC1" w:rsidP="00C258D7">
      <w:pPr>
        <w:pStyle w:val="Tekstpodstawowy"/>
      </w:pPr>
      <w:r>
        <w:t>More generally, the COVID</w:t>
      </w:r>
      <w:r w:rsidR="00B869DC">
        <w:t>-19</w:t>
      </w:r>
      <w:r>
        <w:t xml:space="preserve"> pandemic had an impact on the location of clinical trials. </w:t>
      </w:r>
      <w:r w:rsidR="00B869DC">
        <w:t xml:space="preserve">While </w:t>
      </w:r>
      <w:r w:rsidR="00BE6189">
        <w:t xml:space="preserve">Europe initially </w:t>
      </w:r>
      <w:r w:rsidR="008D576F">
        <w:t>observ</w:t>
      </w:r>
      <w:r w:rsidR="00B869DC">
        <w:t>ed</w:t>
      </w:r>
      <w:r w:rsidR="005A0A69">
        <w:t xml:space="preserve"> </w:t>
      </w:r>
      <w:r w:rsidR="00BE6189">
        <w:t>a small</w:t>
      </w:r>
      <w:r w:rsidR="00D73DA2">
        <w:t>er</w:t>
      </w:r>
      <w:r w:rsidR="00BE6189">
        <w:t xml:space="preserve"> </w:t>
      </w:r>
      <w:r w:rsidR="005A0A69">
        <w:t>negative</w:t>
      </w:r>
      <w:r w:rsidR="008D576F">
        <w:t xml:space="preserve"> </w:t>
      </w:r>
      <w:r w:rsidR="00BE6189">
        <w:t>impact tha</w:t>
      </w:r>
      <w:r w:rsidR="00D73DA2">
        <w:t>n</w:t>
      </w:r>
      <w:r w:rsidR="00BE6189">
        <w:t xml:space="preserve"> the US, there is evidence that the US has rebounded more quickly.</w:t>
      </w:r>
      <w:r>
        <w:rPr>
          <w:rStyle w:val="Odwoanieprzypisudolnego"/>
        </w:rPr>
        <w:footnoteReference w:id="104"/>
      </w:r>
    </w:p>
    <w:p w14:paraId="29C87565" w14:textId="6855A51C" w:rsidR="00DA5FFD" w:rsidRDefault="00DA5FFD" w:rsidP="00BE6189">
      <w:pPr>
        <w:pStyle w:val="Nagwek4"/>
      </w:pPr>
      <w:r>
        <w:t xml:space="preserve">The impact of new technology: </w:t>
      </w:r>
      <w:r w:rsidR="00B375B1">
        <w:t>l</w:t>
      </w:r>
      <w:r w:rsidR="001C50F6">
        <w:t xml:space="preserve">earnings from </w:t>
      </w:r>
      <w:r w:rsidR="003547B5">
        <w:t>ATMP</w:t>
      </w:r>
      <w:r>
        <w:t xml:space="preserve"> clinical trials</w:t>
      </w:r>
    </w:p>
    <w:p w14:paraId="78D1CDC6" w14:textId="3C188B1A" w:rsidR="004D1D12" w:rsidRDefault="008D576F" w:rsidP="004D1D12">
      <w:pPr>
        <w:pStyle w:val="Tekstpodstawowy"/>
        <w:rPr>
          <w:color w:val="000000" w:themeColor="text1"/>
        </w:rPr>
      </w:pPr>
      <w:r w:rsidRPr="00DC16A4">
        <w:rPr>
          <w:color w:val="000000" w:themeColor="text1"/>
        </w:rPr>
        <w:t xml:space="preserve">As observed in </w:t>
      </w:r>
      <w:r w:rsidR="00E057C8">
        <w:rPr>
          <w:color w:val="000000" w:themeColor="text1"/>
        </w:rPr>
        <w:t xml:space="preserve">the </w:t>
      </w:r>
      <w:r w:rsidRPr="00DC16A4">
        <w:rPr>
          <w:color w:val="000000" w:themeColor="text1"/>
        </w:rPr>
        <w:t>last chapter, t</w:t>
      </w:r>
      <w:r w:rsidR="00C848CF" w:rsidRPr="002645F2">
        <w:rPr>
          <w:color w:val="000000" w:themeColor="text1"/>
        </w:rPr>
        <w:t>he location</w:t>
      </w:r>
      <w:r w:rsidR="00C848CF">
        <w:rPr>
          <w:color w:val="000000" w:themeColor="text1"/>
        </w:rPr>
        <w:t xml:space="preserve"> of clinical trials for ATMPs </w:t>
      </w:r>
      <w:r w:rsidR="00747DE8">
        <w:rPr>
          <w:color w:val="000000" w:themeColor="text1"/>
        </w:rPr>
        <w:t xml:space="preserve">diverges from the general pattern of global clinical trial investments, with </w:t>
      </w:r>
      <w:r w:rsidR="009A403F">
        <w:rPr>
          <w:color w:val="000000" w:themeColor="text1"/>
        </w:rPr>
        <w:t xml:space="preserve">the highest proportion of trials occurring in Asia, followed by the US, </w:t>
      </w:r>
      <w:r w:rsidR="00B375B1">
        <w:rPr>
          <w:color w:val="000000" w:themeColor="text1"/>
        </w:rPr>
        <w:t xml:space="preserve">and </w:t>
      </w:r>
      <w:r w:rsidR="009A403F">
        <w:rPr>
          <w:color w:val="000000" w:themeColor="text1"/>
        </w:rPr>
        <w:t>then Europe</w:t>
      </w:r>
      <w:r w:rsidR="006F6FAC">
        <w:rPr>
          <w:color w:val="000000" w:themeColor="text1"/>
        </w:rPr>
        <w:t>,</w:t>
      </w:r>
      <w:r w:rsidR="008568C6">
        <w:rPr>
          <w:color w:val="000000" w:themeColor="text1"/>
        </w:rPr>
        <w:t xml:space="preserve"> </w:t>
      </w:r>
      <w:r w:rsidR="00B375B1">
        <w:rPr>
          <w:color w:val="000000" w:themeColor="text1"/>
        </w:rPr>
        <w:t xml:space="preserve">which has </w:t>
      </w:r>
      <w:r w:rsidR="008568C6">
        <w:rPr>
          <w:color w:val="000000" w:themeColor="text1"/>
        </w:rPr>
        <w:t xml:space="preserve">substantially fewer </w:t>
      </w:r>
      <w:r w:rsidR="003C1F81">
        <w:rPr>
          <w:color w:val="000000" w:themeColor="text1"/>
        </w:rPr>
        <w:lastRenderedPageBreak/>
        <w:t>(</w:t>
      </w:r>
      <w:r w:rsidR="003C1F81" w:rsidRPr="000A2E03">
        <w:rPr>
          <w:color w:val="000000" w:themeColor="text1"/>
        </w:rPr>
        <w:fldChar w:fldCharType="begin"/>
      </w:r>
      <w:r w:rsidR="003C1F81">
        <w:rPr>
          <w:color w:val="000000" w:themeColor="text1"/>
        </w:rPr>
        <w:instrText xml:space="preserve"> REF _Ref109302197 \h </w:instrText>
      </w:r>
      <w:r w:rsidR="003C1F81" w:rsidRPr="000A2E03">
        <w:rPr>
          <w:color w:val="000000" w:themeColor="text1"/>
        </w:rPr>
      </w:r>
      <w:r w:rsidR="003C1F81" w:rsidRPr="000A2E03">
        <w:rPr>
          <w:color w:val="000000" w:themeColor="text1"/>
        </w:rPr>
        <w:fldChar w:fldCharType="separate"/>
      </w:r>
      <w:r w:rsidR="00735966">
        <w:t xml:space="preserve">Figure </w:t>
      </w:r>
      <w:r w:rsidR="00735966">
        <w:rPr>
          <w:noProof/>
        </w:rPr>
        <w:t>5</w:t>
      </w:r>
      <w:r w:rsidR="003C1F81" w:rsidRPr="000A2E03">
        <w:rPr>
          <w:color w:val="000000" w:themeColor="text1"/>
        </w:rPr>
        <w:fldChar w:fldCharType="end"/>
      </w:r>
      <w:r w:rsidR="003C1F81">
        <w:rPr>
          <w:color w:val="000000" w:themeColor="text1"/>
        </w:rPr>
        <w:t xml:space="preserve">). </w:t>
      </w:r>
      <w:r w:rsidR="00CF5C02">
        <w:rPr>
          <w:color w:val="000000" w:themeColor="text1"/>
        </w:rPr>
        <w:t xml:space="preserve">To understand this trend, </w:t>
      </w:r>
      <w:r w:rsidR="0010621F">
        <w:rPr>
          <w:color w:val="000000" w:themeColor="text1"/>
        </w:rPr>
        <w:t xml:space="preserve">a number of </w:t>
      </w:r>
      <w:r w:rsidR="00563654">
        <w:rPr>
          <w:color w:val="000000" w:themeColor="text1"/>
        </w:rPr>
        <w:t>reasons have been suggested in the literature:</w:t>
      </w:r>
    </w:p>
    <w:p w14:paraId="1D31727E" w14:textId="70907AFF" w:rsidR="00052B06" w:rsidRDefault="00BA7325" w:rsidP="00D53D69">
      <w:pPr>
        <w:pStyle w:val="Tekstpodstawowy"/>
        <w:numPr>
          <w:ilvl w:val="0"/>
          <w:numId w:val="61"/>
        </w:numPr>
        <w:rPr>
          <w:color w:val="000000" w:themeColor="text1"/>
        </w:rPr>
      </w:pPr>
      <w:r w:rsidRPr="00D53D69">
        <w:rPr>
          <w:i/>
          <w:iCs/>
          <w:color w:val="000000" w:themeColor="text1"/>
        </w:rPr>
        <w:t>The importance of R&amp;D support</w:t>
      </w:r>
      <w:r>
        <w:rPr>
          <w:color w:val="000000" w:themeColor="text1"/>
        </w:rPr>
        <w:t xml:space="preserve">: </w:t>
      </w:r>
      <w:r w:rsidR="00865C09">
        <w:rPr>
          <w:color w:val="000000" w:themeColor="text1"/>
        </w:rPr>
        <w:t>China’s leadership in</w:t>
      </w:r>
      <w:r w:rsidR="00376807">
        <w:rPr>
          <w:color w:val="000000" w:themeColor="text1"/>
        </w:rPr>
        <w:t xml:space="preserve"> ATMP</w:t>
      </w:r>
      <w:r w:rsidR="00865C09">
        <w:rPr>
          <w:color w:val="000000" w:themeColor="text1"/>
        </w:rPr>
        <w:t xml:space="preserve"> clinical trial research has been largely government-driven (three</w:t>
      </w:r>
      <w:r w:rsidR="00B375B1">
        <w:rPr>
          <w:color w:val="000000" w:themeColor="text1"/>
        </w:rPr>
        <w:t xml:space="preserve"> </w:t>
      </w:r>
      <w:r w:rsidR="00865C09">
        <w:rPr>
          <w:color w:val="000000" w:themeColor="text1"/>
        </w:rPr>
        <w:t>quar</w:t>
      </w:r>
      <w:r w:rsidR="006A5234">
        <w:rPr>
          <w:color w:val="000000" w:themeColor="text1"/>
        </w:rPr>
        <w:t>t</w:t>
      </w:r>
      <w:r w:rsidR="00865C09">
        <w:rPr>
          <w:color w:val="000000" w:themeColor="text1"/>
        </w:rPr>
        <w:t>ers of</w:t>
      </w:r>
      <w:r w:rsidR="00A10B26">
        <w:rPr>
          <w:color w:val="000000" w:themeColor="text1"/>
        </w:rPr>
        <w:t xml:space="preserve"> Chinese</w:t>
      </w:r>
      <w:r w:rsidR="00865C09">
        <w:rPr>
          <w:color w:val="000000" w:themeColor="text1"/>
        </w:rPr>
        <w:t xml:space="preserve"> </w:t>
      </w:r>
      <w:r w:rsidR="004C484A">
        <w:rPr>
          <w:color w:val="000000" w:themeColor="text1"/>
        </w:rPr>
        <w:t xml:space="preserve">gene therapy </w:t>
      </w:r>
      <w:r w:rsidR="00865C09">
        <w:rPr>
          <w:color w:val="000000" w:themeColor="text1"/>
        </w:rPr>
        <w:t>trials are non-industry sponsored).</w:t>
      </w:r>
      <w:r w:rsidR="00865C09">
        <w:rPr>
          <w:rStyle w:val="Odwoanieprzypisudolnego"/>
          <w:color w:val="000000" w:themeColor="text1"/>
        </w:rPr>
        <w:footnoteReference w:id="105"/>
      </w:r>
      <w:r w:rsidR="000379C6">
        <w:rPr>
          <w:color w:val="000000" w:themeColor="text1"/>
        </w:rPr>
        <w:t xml:space="preserve"> </w:t>
      </w:r>
      <w:r w:rsidR="005E7246">
        <w:rPr>
          <w:color w:val="000000" w:themeColor="text1"/>
        </w:rPr>
        <w:t xml:space="preserve">Biotech was </w:t>
      </w:r>
      <w:r w:rsidR="00274D3B">
        <w:rPr>
          <w:color w:val="000000" w:themeColor="text1"/>
        </w:rPr>
        <w:t>prioriti</w:t>
      </w:r>
      <w:r w:rsidR="00FD23A8">
        <w:rPr>
          <w:color w:val="000000" w:themeColor="text1"/>
        </w:rPr>
        <w:t>sed</w:t>
      </w:r>
      <w:r w:rsidR="00274D3B">
        <w:rPr>
          <w:color w:val="000000" w:themeColor="text1"/>
        </w:rPr>
        <w:t xml:space="preserve"> in the </w:t>
      </w:r>
      <w:r w:rsidR="009E04DB">
        <w:rPr>
          <w:color w:val="000000" w:themeColor="text1"/>
        </w:rPr>
        <w:t>Chinese government’s Five-Year Plans</w:t>
      </w:r>
      <w:r w:rsidR="00D2150E">
        <w:rPr>
          <w:color w:val="000000" w:themeColor="text1"/>
        </w:rPr>
        <w:t xml:space="preserve"> and subsequently built upon</w:t>
      </w:r>
      <w:r w:rsidR="00E334C0">
        <w:rPr>
          <w:color w:val="000000" w:themeColor="text1"/>
        </w:rPr>
        <w:t xml:space="preserve"> </w:t>
      </w:r>
      <w:r w:rsidR="00F77F12">
        <w:rPr>
          <w:color w:val="000000" w:themeColor="text1"/>
        </w:rPr>
        <w:t>by a series of policies and funding</w:t>
      </w:r>
      <w:r w:rsidR="005F7EE9">
        <w:rPr>
          <w:color w:val="000000" w:themeColor="text1"/>
        </w:rPr>
        <w:t xml:space="preserve"> to create an ATMP </w:t>
      </w:r>
      <w:r w:rsidR="007B2263">
        <w:rPr>
          <w:color w:val="000000" w:themeColor="text1"/>
        </w:rPr>
        <w:t>research ecosystem that brings together govern</w:t>
      </w:r>
      <w:r w:rsidR="00386EC6">
        <w:rPr>
          <w:color w:val="000000" w:themeColor="text1"/>
        </w:rPr>
        <w:t>ment, industry</w:t>
      </w:r>
      <w:r w:rsidR="008E6522">
        <w:rPr>
          <w:color w:val="000000" w:themeColor="text1"/>
        </w:rPr>
        <w:t>, academics, hospitals and investors.</w:t>
      </w:r>
      <w:r w:rsidR="00905F91">
        <w:rPr>
          <w:color w:val="000000" w:themeColor="text1"/>
        </w:rPr>
        <w:t xml:space="preserve"> In the US</w:t>
      </w:r>
      <w:r w:rsidR="00C871CC">
        <w:rPr>
          <w:color w:val="000000" w:themeColor="text1"/>
        </w:rPr>
        <w:t xml:space="preserve">, access to more venture capital </w:t>
      </w:r>
      <w:r w:rsidR="00961720">
        <w:rPr>
          <w:color w:val="000000" w:themeColor="text1"/>
        </w:rPr>
        <w:t xml:space="preserve">also supports greater translation of </w:t>
      </w:r>
      <w:r w:rsidR="00EB4E16">
        <w:rPr>
          <w:color w:val="000000" w:themeColor="text1"/>
        </w:rPr>
        <w:t xml:space="preserve">ATMP </w:t>
      </w:r>
      <w:r w:rsidR="00961720">
        <w:rPr>
          <w:color w:val="000000" w:themeColor="text1"/>
        </w:rPr>
        <w:t>research into commercial development</w:t>
      </w:r>
      <w:r w:rsidR="00666CF2">
        <w:rPr>
          <w:color w:val="000000" w:themeColor="text1"/>
        </w:rPr>
        <w:t>, as 85% of ATMP assets</w:t>
      </w:r>
      <w:r w:rsidR="00DE15FA">
        <w:rPr>
          <w:color w:val="000000" w:themeColor="text1"/>
        </w:rPr>
        <w:t xml:space="preserve"> launched to date</w:t>
      </w:r>
      <w:r w:rsidR="00666CF2">
        <w:rPr>
          <w:color w:val="000000" w:themeColor="text1"/>
        </w:rPr>
        <w:t xml:space="preserve"> have not originated </w:t>
      </w:r>
      <w:r w:rsidR="006861D2">
        <w:rPr>
          <w:color w:val="000000" w:themeColor="text1"/>
        </w:rPr>
        <w:t>in a large pharmaceutical company</w:t>
      </w:r>
      <w:r w:rsidR="00961720">
        <w:rPr>
          <w:color w:val="000000" w:themeColor="text1"/>
        </w:rPr>
        <w:t>.</w:t>
      </w:r>
      <w:bookmarkStart w:id="116" w:name="_Ref109303696"/>
      <w:r w:rsidR="00961720">
        <w:rPr>
          <w:rStyle w:val="Odwoanieprzypisudolnego"/>
          <w:color w:val="000000" w:themeColor="text1"/>
        </w:rPr>
        <w:footnoteReference w:id="106"/>
      </w:r>
      <w:bookmarkEnd w:id="116"/>
    </w:p>
    <w:p w14:paraId="3B97DE3E" w14:textId="758DB738" w:rsidR="006F4764" w:rsidRDefault="006F4764" w:rsidP="00563654">
      <w:pPr>
        <w:pStyle w:val="Tekstpodstawowy"/>
        <w:numPr>
          <w:ilvl w:val="0"/>
          <w:numId w:val="57"/>
        </w:numPr>
        <w:rPr>
          <w:color w:val="000000" w:themeColor="text1"/>
        </w:rPr>
      </w:pPr>
      <w:r w:rsidRPr="00D53D69">
        <w:rPr>
          <w:i/>
          <w:iCs/>
          <w:color w:val="000000" w:themeColor="text1"/>
        </w:rPr>
        <w:t>Regulator acceptance of clinical trial design</w:t>
      </w:r>
      <w:r w:rsidRPr="00D53D69">
        <w:rPr>
          <w:color w:val="000000" w:themeColor="text1"/>
        </w:rPr>
        <w:t xml:space="preserve">: </w:t>
      </w:r>
      <w:r w:rsidR="00451E36" w:rsidRPr="00D53D69">
        <w:rPr>
          <w:color w:val="000000" w:themeColor="text1"/>
        </w:rPr>
        <w:t>Due to the novelty of the technology and the number of rare disease</w:t>
      </w:r>
      <w:r w:rsidR="005906FA">
        <w:rPr>
          <w:color w:val="000000" w:themeColor="text1"/>
        </w:rPr>
        <w:t>s</w:t>
      </w:r>
      <w:r w:rsidR="00451E36" w:rsidRPr="00D53D69">
        <w:rPr>
          <w:color w:val="000000" w:themeColor="text1"/>
        </w:rPr>
        <w:t xml:space="preserve"> that </w:t>
      </w:r>
      <w:r w:rsidR="008E1AEC" w:rsidRPr="00D53D69">
        <w:rPr>
          <w:color w:val="000000" w:themeColor="text1"/>
        </w:rPr>
        <w:t xml:space="preserve">lack therapeutic alternatives, there are not always established pathways for </w:t>
      </w:r>
      <w:r w:rsidR="006B0581">
        <w:rPr>
          <w:color w:val="000000" w:themeColor="text1"/>
        </w:rPr>
        <w:t xml:space="preserve">ATMP clinical </w:t>
      </w:r>
      <w:r w:rsidR="008E1AEC" w:rsidRPr="00D53D69">
        <w:rPr>
          <w:color w:val="000000" w:themeColor="text1"/>
        </w:rPr>
        <w:t>development.</w:t>
      </w:r>
      <w:r w:rsidR="008E1AEC" w:rsidRPr="00D53D69">
        <w:rPr>
          <w:rStyle w:val="Odwoanieprzypisudolnego"/>
          <w:color w:val="000000" w:themeColor="text1"/>
        </w:rPr>
        <w:footnoteReference w:id="107"/>
      </w:r>
      <w:r w:rsidR="00F561C1">
        <w:rPr>
          <w:color w:val="000000" w:themeColor="text1"/>
        </w:rPr>
        <w:t xml:space="preserve"> </w:t>
      </w:r>
      <w:r w:rsidR="00ED1786">
        <w:rPr>
          <w:color w:val="000000" w:themeColor="text1"/>
        </w:rPr>
        <w:t xml:space="preserve">This </w:t>
      </w:r>
      <w:r w:rsidR="00D00142">
        <w:rPr>
          <w:color w:val="000000" w:themeColor="text1"/>
        </w:rPr>
        <w:t xml:space="preserve">results in the regulatory environment weighing more heavily on a decision on where to conduct trials for ATMPs versus traditional therapies. </w:t>
      </w:r>
      <w:r w:rsidR="00F561C1">
        <w:rPr>
          <w:color w:val="000000" w:themeColor="text1"/>
        </w:rPr>
        <w:t xml:space="preserve">There is also increasing reliance on </w:t>
      </w:r>
      <w:r w:rsidR="00B72BDE">
        <w:rPr>
          <w:color w:val="000000" w:themeColor="text1"/>
        </w:rPr>
        <w:t xml:space="preserve">virtual </w:t>
      </w:r>
      <w:r w:rsidR="00F561C1">
        <w:rPr>
          <w:color w:val="000000" w:themeColor="text1"/>
        </w:rPr>
        <w:t xml:space="preserve">decentralised clinical trial models </w:t>
      </w:r>
      <w:r w:rsidR="00B72BDE">
        <w:rPr>
          <w:color w:val="000000" w:themeColor="text1"/>
        </w:rPr>
        <w:t>to recruit a</w:t>
      </w:r>
      <w:r w:rsidR="00F3771F">
        <w:rPr>
          <w:color w:val="000000" w:themeColor="text1"/>
        </w:rPr>
        <w:t xml:space="preserve"> wider pool of patients</w:t>
      </w:r>
      <w:r w:rsidR="00732D95">
        <w:rPr>
          <w:color w:val="000000" w:themeColor="text1"/>
        </w:rPr>
        <w:t xml:space="preserve"> in rare disease</w:t>
      </w:r>
      <w:r w:rsidR="00B30C7D">
        <w:rPr>
          <w:color w:val="000000" w:themeColor="text1"/>
        </w:rPr>
        <w:t>s</w:t>
      </w:r>
      <w:r w:rsidR="00F4235F">
        <w:rPr>
          <w:color w:val="000000" w:themeColor="text1"/>
        </w:rPr>
        <w:t>,</w:t>
      </w:r>
      <w:r w:rsidR="000B1E83">
        <w:rPr>
          <w:rStyle w:val="Odwoanieprzypisudolnego"/>
          <w:color w:val="000000" w:themeColor="text1"/>
        </w:rPr>
        <w:footnoteReference w:id="108"/>
      </w:r>
      <w:r w:rsidR="00F4235F">
        <w:rPr>
          <w:color w:val="000000" w:themeColor="text1"/>
        </w:rPr>
        <w:t xml:space="preserve"> </w:t>
      </w:r>
      <w:r w:rsidR="00B3512E">
        <w:rPr>
          <w:color w:val="000000" w:themeColor="text1"/>
        </w:rPr>
        <w:t xml:space="preserve">although </w:t>
      </w:r>
      <w:r w:rsidR="003F40A8">
        <w:rPr>
          <w:color w:val="000000" w:themeColor="text1"/>
        </w:rPr>
        <w:t xml:space="preserve">historically </w:t>
      </w:r>
      <w:r w:rsidR="00B3512E">
        <w:rPr>
          <w:color w:val="000000" w:themeColor="text1"/>
        </w:rPr>
        <w:t xml:space="preserve">there has </w:t>
      </w:r>
      <w:r w:rsidR="003F40A8">
        <w:rPr>
          <w:color w:val="000000" w:themeColor="text1"/>
        </w:rPr>
        <w:t xml:space="preserve">been some reluctance to accept </w:t>
      </w:r>
      <w:r w:rsidR="00B3512E">
        <w:rPr>
          <w:color w:val="000000" w:themeColor="text1"/>
        </w:rPr>
        <w:t xml:space="preserve">these models </w:t>
      </w:r>
      <w:r w:rsidR="003F40A8">
        <w:rPr>
          <w:color w:val="000000" w:themeColor="text1"/>
        </w:rPr>
        <w:t>in Europe.</w:t>
      </w:r>
      <w:r w:rsidR="003F40A8">
        <w:rPr>
          <w:rStyle w:val="Odwoanieprzypisudolnego"/>
          <w:color w:val="000000" w:themeColor="text1"/>
        </w:rPr>
        <w:footnoteReference w:id="109"/>
      </w:r>
      <w:r w:rsidR="00304AAE">
        <w:rPr>
          <w:color w:val="000000" w:themeColor="text1"/>
        </w:rPr>
        <w:t xml:space="preserve"> </w:t>
      </w:r>
      <w:r w:rsidR="00CE0E6E">
        <w:rPr>
          <w:color w:val="000000" w:themeColor="text1"/>
        </w:rPr>
        <w:t>Despite being the first country worldwide to approve a gene therapy</w:t>
      </w:r>
      <w:r w:rsidR="004F353D">
        <w:rPr>
          <w:color w:val="000000" w:themeColor="text1"/>
        </w:rPr>
        <w:t>,</w:t>
      </w:r>
      <w:r w:rsidR="00CE0E6E">
        <w:rPr>
          <w:color w:val="000000" w:themeColor="text1"/>
        </w:rPr>
        <w:t xml:space="preserve"> in 2003, China</w:t>
      </w:r>
      <w:r w:rsidR="00304AAE">
        <w:rPr>
          <w:color w:val="000000" w:themeColor="text1"/>
        </w:rPr>
        <w:t xml:space="preserve"> </w:t>
      </w:r>
      <w:r w:rsidR="009A6B37" w:rsidRPr="000A2E03">
        <w:t>initially lacked a clear and comprehensive regulatory framework</w:t>
      </w:r>
      <w:r w:rsidR="00D0280F" w:rsidRPr="000A2E03">
        <w:t xml:space="preserve"> for these therapies, whi</w:t>
      </w:r>
      <w:r w:rsidR="00D0280F">
        <w:rPr>
          <w:color w:val="000000" w:themeColor="text1"/>
        </w:rPr>
        <w:t>ch is thought to have damaged</w:t>
      </w:r>
      <w:r w:rsidR="00883CC9">
        <w:rPr>
          <w:color w:val="000000" w:themeColor="text1"/>
        </w:rPr>
        <w:t xml:space="preserve"> its </w:t>
      </w:r>
      <w:r w:rsidR="00533974">
        <w:rPr>
          <w:color w:val="000000" w:themeColor="text1"/>
        </w:rPr>
        <w:t xml:space="preserve">attractiveness for future development investment. </w:t>
      </w:r>
      <w:r w:rsidR="00F25D23">
        <w:rPr>
          <w:color w:val="000000" w:themeColor="text1"/>
        </w:rPr>
        <w:t xml:space="preserve">Triggered by </w:t>
      </w:r>
      <w:r w:rsidR="00861FEA">
        <w:rPr>
          <w:color w:val="000000" w:themeColor="text1"/>
        </w:rPr>
        <w:t>their therapeutic potential</w:t>
      </w:r>
      <w:r w:rsidR="004F353D">
        <w:rPr>
          <w:color w:val="000000" w:themeColor="text1"/>
        </w:rPr>
        <w:t xml:space="preserve"> and the rapid growth of the market</w:t>
      </w:r>
      <w:r w:rsidR="00861FEA">
        <w:rPr>
          <w:color w:val="000000" w:themeColor="text1"/>
        </w:rPr>
        <w:t xml:space="preserve">, the government then </w:t>
      </w:r>
      <w:r w:rsidR="000C07D8">
        <w:rPr>
          <w:color w:val="000000" w:themeColor="text1"/>
        </w:rPr>
        <w:t xml:space="preserve">conducted a range of regulatory reforms to promote </w:t>
      </w:r>
      <w:r w:rsidR="00CA2274">
        <w:rPr>
          <w:color w:val="000000" w:themeColor="text1"/>
        </w:rPr>
        <w:t xml:space="preserve">the </w:t>
      </w:r>
      <w:r w:rsidR="006D326D">
        <w:rPr>
          <w:color w:val="000000" w:themeColor="text1"/>
        </w:rPr>
        <w:t>development of ATMPs in China.</w:t>
      </w:r>
      <w:r w:rsidR="006D326D">
        <w:rPr>
          <w:rStyle w:val="Odwoanieprzypisudolnego"/>
          <w:color w:val="000000" w:themeColor="text1"/>
        </w:rPr>
        <w:footnoteReference w:id="110"/>
      </w:r>
    </w:p>
    <w:p w14:paraId="166B215F" w14:textId="7C5102E4" w:rsidR="00563654" w:rsidRPr="007903EB" w:rsidRDefault="001E1AA1" w:rsidP="00563654">
      <w:pPr>
        <w:pStyle w:val="Tekstpodstawowy"/>
        <w:numPr>
          <w:ilvl w:val="0"/>
          <w:numId w:val="57"/>
        </w:numPr>
        <w:rPr>
          <w:color w:val="000000" w:themeColor="text1"/>
        </w:rPr>
      </w:pPr>
      <w:r w:rsidRPr="00D53D69">
        <w:rPr>
          <w:i/>
          <w:iCs/>
        </w:rPr>
        <w:t>The role of specialist centres</w:t>
      </w:r>
      <w:r>
        <w:t xml:space="preserve">: </w:t>
      </w:r>
      <w:r w:rsidRPr="00EE159E">
        <w:t xml:space="preserve">There are multiple hospitals in China sponsoring CAR-T trials, with the four most prominent being Shenzhen Geno-Immune Medical Institute, Beijing Boren Hospital, Chinese PLA General Hospital (in Beijing) and </w:t>
      </w:r>
      <w:r w:rsidRPr="00EE159E">
        <w:lastRenderedPageBreak/>
        <w:t>Southwest Hospital (in Chengdu, Sichuan).</w:t>
      </w:r>
      <w:r w:rsidR="000C7E71">
        <w:rPr>
          <w:rStyle w:val="Odwoanieprzypisudolnego"/>
        </w:rPr>
        <w:footnoteReference w:id="111"/>
      </w:r>
      <w:r w:rsidR="00AE4BBB">
        <w:t xml:space="preserve"> The </w:t>
      </w:r>
      <w:r w:rsidR="004B44EB">
        <w:t>active role of hospitals in sponsoring trials appears lesser in the US</w:t>
      </w:r>
      <w:r w:rsidR="004B44EB">
        <w:rPr>
          <w:rStyle w:val="Odwoanieprzypisudolnego"/>
        </w:rPr>
        <w:footnoteReference w:id="112"/>
      </w:r>
      <w:r w:rsidR="004B44EB">
        <w:t xml:space="preserve"> and Europe.</w:t>
      </w:r>
      <w:r w:rsidR="007746D4">
        <w:rPr>
          <w:rStyle w:val="Odwoanieprzypisudolnego"/>
        </w:rPr>
        <w:footnoteReference w:id="113"/>
      </w:r>
    </w:p>
    <w:p w14:paraId="4554E611" w14:textId="0EA2949C" w:rsidR="003416EB" w:rsidRPr="000A2E03" w:rsidRDefault="003416EB" w:rsidP="000A2E03">
      <w:pPr>
        <w:pStyle w:val="Tekstpodstawowy"/>
        <w:numPr>
          <w:ilvl w:val="0"/>
          <w:numId w:val="108"/>
        </w:numPr>
      </w:pPr>
      <w:r>
        <w:rPr>
          <w:i/>
          <w:iCs/>
        </w:rPr>
        <w:t>Degree of patient centricity:</w:t>
      </w:r>
      <w:r>
        <w:rPr>
          <w:color w:val="000000" w:themeColor="text1"/>
        </w:rPr>
        <w:t xml:space="preserve"> </w:t>
      </w:r>
      <w:r>
        <w:t xml:space="preserve">A patient-centric </w:t>
      </w:r>
      <w:r w:rsidR="00DC4C5C">
        <w:t xml:space="preserve">approach to </w:t>
      </w:r>
      <w:r>
        <w:t xml:space="preserve">healthcare delivery is critical to the successful uptake of ATMPs and thus forms a larger part of the decision of where to locate </w:t>
      </w:r>
      <w:r w:rsidR="00DC4C5C">
        <w:t>clinical development</w:t>
      </w:r>
      <w:r>
        <w:t xml:space="preserve"> activity.</w:t>
      </w:r>
    </w:p>
    <w:p w14:paraId="5BB152D2" w14:textId="4DD291DF" w:rsidR="00F414C5" w:rsidRPr="00EC0C7E" w:rsidRDefault="00F414C5" w:rsidP="00F414C5">
      <w:pPr>
        <w:pStyle w:val="Tekstpodstawowy"/>
        <w:rPr>
          <w:color w:val="FF0000"/>
        </w:rPr>
      </w:pPr>
      <w:r>
        <w:rPr>
          <w:color w:val="000000" w:themeColor="text1"/>
        </w:rPr>
        <w:t>The</w:t>
      </w:r>
      <w:r w:rsidRPr="007E0A79">
        <w:rPr>
          <w:color w:val="000000" w:themeColor="text1"/>
        </w:rPr>
        <w:t xml:space="preserve"> pricing environment may</w:t>
      </w:r>
      <w:r w:rsidR="00563654">
        <w:rPr>
          <w:color w:val="000000" w:themeColor="text1"/>
        </w:rPr>
        <w:t xml:space="preserve"> also</w:t>
      </w:r>
      <w:r w:rsidRPr="007E0A79">
        <w:rPr>
          <w:color w:val="000000" w:themeColor="text1"/>
        </w:rPr>
        <w:t xml:space="preserve"> </w:t>
      </w:r>
      <w:r w:rsidR="00A64983">
        <w:rPr>
          <w:color w:val="000000" w:themeColor="text1"/>
        </w:rPr>
        <w:t>be more significant</w:t>
      </w:r>
      <w:r w:rsidRPr="007E0A79">
        <w:rPr>
          <w:color w:val="000000" w:themeColor="text1"/>
        </w:rPr>
        <w:t xml:space="preserve"> in </w:t>
      </w:r>
      <w:r w:rsidR="00932967">
        <w:rPr>
          <w:color w:val="000000" w:themeColor="text1"/>
        </w:rPr>
        <w:t>locating</w:t>
      </w:r>
      <w:r w:rsidRPr="007E0A79">
        <w:rPr>
          <w:color w:val="000000" w:themeColor="text1"/>
        </w:rPr>
        <w:t xml:space="preserve"> </w:t>
      </w:r>
      <w:r w:rsidR="002C01B6">
        <w:rPr>
          <w:color w:val="000000" w:themeColor="text1"/>
        </w:rPr>
        <w:t xml:space="preserve">new therapeutic solutions, such as </w:t>
      </w:r>
      <w:r w:rsidR="00DA6160">
        <w:rPr>
          <w:color w:val="000000" w:themeColor="text1"/>
        </w:rPr>
        <w:t>ATMP</w:t>
      </w:r>
      <w:r w:rsidR="004F353D">
        <w:rPr>
          <w:color w:val="000000" w:themeColor="text1"/>
        </w:rPr>
        <w:t>,</w:t>
      </w:r>
      <w:r w:rsidR="00DA6160">
        <w:rPr>
          <w:color w:val="000000" w:themeColor="text1"/>
        </w:rPr>
        <w:t xml:space="preserve"> </w:t>
      </w:r>
      <w:r w:rsidRPr="007E0A79">
        <w:rPr>
          <w:color w:val="000000" w:themeColor="text1"/>
        </w:rPr>
        <w:t xml:space="preserve">because they are </w:t>
      </w:r>
      <w:r w:rsidR="005B5384">
        <w:rPr>
          <w:color w:val="000000" w:themeColor="text1"/>
        </w:rPr>
        <w:t xml:space="preserve">perceived as </w:t>
      </w:r>
      <w:r w:rsidRPr="007E0A79">
        <w:rPr>
          <w:color w:val="000000" w:themeColor="text1"/>
        </w:rPr>
        <w:t>riskier investments</w:t>
      </w:r>
      <w:r>
        <w:rPr>
          <w:color w:val="000000" w:themeColor="text1"/>
        </w:rPr>
        <w:t xml:space="preserve">. </w:t>
      </w:r>
      <w:r w:rsidR="005B5384">
        <w:rPr>
          <w:color w:val="000000" w:themeColor="text1"/>
        </w:rPr>
        <w:t xml:space="preserve">One way to </w:t>
      </w:r>
      <w:r w:rsidR="008C6EA4">
        <w:rPr>
          <w:color w:val="000000" w:themeColor="text1"/>
        </w:rPr>
        <w:t>look</w:t>
      </w:r>
      <w:r w:rsidR="005B5384">
        <w:rPr>
          <w:color w:val="000000" w:themeColor="text1"/>
        </w:rPr>
        <w:t xml:space="preserve"> at this is</w:t>
      </w:r>
      <w:r w:rsidR="00DB7873">
        <w:rPr>
          <w:color w:val="000000" w:themeColor="text1"/>
        </w:rPr>
        <w:t xml:space="preserve"> </w:t>
      </w:r>
      <w:r w:rsidRPr="007E0A79">
        <w:rPr>
          <w:color w:val="000000" w:themeColor="text1"/>
        </w:rPr>
        <w:t xml:space="preserve">to consider </w:t>
      </w:r>
      <w:r w:rsidR="00F429F6">
        <w:rPr>
          <w:color w:val="000000" w:themeColor="text1"/>
        </w:rPr>
        <w:t xml:space="preserve">CAR-T cell therapies </w:t>
      </w:r>
      <w:r w:rsidR="005B5384">
        <w:rPr>
          <w:color w:val="000000" w:themeColor="text1"/>
        </w:rPr>
        <w:t xml:space="preserve">that were first </w:t>
      </w:r>
      <w:r w:rsidR="00F429F6">
        <w:rPr>
          <w:color w:val="000000" w:themeColor="text1"/>
        </w:rPr>
        <w:t>launch</w:t>
      </w:r>
      <w:r w:rsidR="005B5384">
        <w:rPr>
          <w:color w:val="000000" w:themeColor="text1"/>
        </w:rPr>
        <w:t>ed</w:t>
      </w:r>
      <w:r w:rsidR="00F429F6">
        <w:rPr>
          <w:color w:val="000000" w:themeColor="text1"/>
        </w:rPr>
        <w:t xml:space="preserve"> in 2017</w:t>
      </w:r>
      <w:r w:rsidR="009E746D">
        <w:rPr>
          <w:color w:val="000000" w:themeColor="text1"/>
        </w:rPr>
        <w:t xml:space="preserve">. By comparing the </w:t>
      </w:r>
      <w:r w:rsidR="00BA0226">
        <w:rPr>
          <w:color w:val="000000" w:themeColor="text1"/>
        </w:rPr>
        <w:t xml:space="preserve">location of </w:t>
      </w:r>
      <w:r w:rsidR="00DB7873">
        <w:rPr>
          <w:color w:val="000000" w:themeColor="text1"/>
        </w:rPr>
        <w:t>the</w:t>
      </w:r>
      <w:r w:rsidR="00BA0226">
        <w:rPr>
          <w:color w:val="000000" w:themeColor="text1"/>
        </w:rPr>
        <w:t xml:space="preserve"> pivotal trial sites to </w:t>
      </w:r>
      <w:r w:rsidR="004F353D">
        <w:rPr>
          <w:color w:val="000000" w:themeColor="text1"/>
        </w:rPr>
        <w:t xml:space="preserve">the </w:t>
      </w:r>
      <w:r w:rsidR="00F924A8">
        <w:rPr>
          <w:color w:val="000000" w:themeColor="text1"/>
        </w:rPr>
        <w:t xml:space="preserve">eventual commercial sales in each region, we see a similar pattern. </w:t>
      </w:r>
      <w:r w:rsidR="00CC37CE">
        <w:rPr>
          <w:color w:val="000000" w:themeColor="text1"/>
        </w:rPr>
        <w:t xml:space="preserve">The US accounted for 50% of trial site </w:t>
      </w:r>
      <w:r w:rsidR="003D75DD">
        <w:rPr>
          <w:color w:val="000000" w:themeColor="text1"/>
        </w:rPr>
        <w:t xml:space="preserve">locations in the JULIET Phase 2 trial, and in 2020 the US represented 43.2% of </w:t>
      </w:r>
      <w:r w:rsidR="0003514D">
        <w:rPr>
          <w:color w:val="000000" w:themeColor="text1"/>
        </w:rPr>
        <w:t xml:space="preserve">global sales </w:t>
      </w:r>
      <w:r w:rsidR="005B5384">
        <w:rPr>
          <w:color w:val="000000" w:themeColor="text1"/>
        </w:rPr>
        <w:t xml:space="preserve">at that point </w:t>
      </w:r>
      <w:r w:rsidR="0003514D">
        <w:rPr>
          <w:color w:val="000000" w:themeColor="text1"/>
        </w:rPr>
        <w:t>(</w:t>
      </w:r>
      <w:r w:rsidR="0003514D" w:rsidRPr="000A2E03">
        <w:rPr>
          <w:color w:val="000000" w:themeColor="text1"/>
        </w:rPr>
        <w:fldChar w:fldCharType="begin"/>
      </w:r>
      <w:r w:rsidR="0003514D">
        <w:rPr>
          <w:color w:val="000000" w:themeColor="text1"/>
        </w:rPr>
        <w:instrText xml:space="preserve"> REF _Ref109236112 \h </w:instrText>
      </w:r>
      <w:r w:rsidR="0003514D" w:rsidRPr="000A2E03">
        <w:rPr>
          <w:color w:val="000000" w:themeColor="text1"/>
        </w:rPr>
      </w:r>
      <w:r w:rsidR="0003514D" w:rsidRPr="000A2E03">
        <w:rPr>
          <w:color w:val="000000" w:themeColor="text1"/>
        </w:rPr>
        <w:fldChar w:fldCharType="separate"/>
      </w:r>
      <w:r w:rsidR="005667DB">
        <w:t xml:space="preserve">Figure </w:t>
      </w:r>
      <w:r w:rsidR="005667DB">
        <w:rPr>
          <w:noProof/>
        </w:rPr>
        <w:t>13</w:t>
      </w:r>
      <w:r w:rsidR="0003514D" w:rsidRPr="000A2E03">
        <w:rPr>
          <w:color w:val="000000" w:themeColor="text1"/>
        </w:rPr>
        <w:fldChar w:fldCharType="end"/>
      </w:r>
      <w:r w:rsidR="0003514D">
        <w:rPr>
          <w:color w:val="000000" w:themeColor="text1"/>
        </w:rPr>
        <w:t>)</w:t>
      </w:r>
      <w:r w:rsidR="004F353D">
        <w:rPr>
          <w:color w:val="000000" w:themeColor="text1"/>
        </w:rPr>
        <w:t xml:space="preserve">, while </w:t>
      </w:r>
      <w:r w:rsidR="00E868E0">
        <w:rPr>
          <w:color w:val="000000" w:themeColor="text1"/>
        </w:rPr>
        <w:t xml:space="preserve">25% of trial sites were in Europe, and Europe represented 29.5% of global sales in 2020. </w:t>
      </w:r>
      <w:r w:rsidR="00822E09">
        <w:rPr>
          <w:color w:val="000000" w:themeColor="text1"/>
        </w:rPr>
        <w:t>A challenging</w:t>
      </w:r>
      <w:r w:rsidR="008578D4">
        <w:rPr>
          <w:color w:val="000000" w:themeColor="text1"/>
        </w:rPr>
        <w:t xml:space="preserve"> commercial environment m</w:t>
      </w:r>
      <w:r w:rsidR="00822E09">
        <w:rPr>
          <w:color w:val="000000" w:themeColor="text1"/>
        </w:rPr>
        <w:t>ay also impact post-launch clinical research, and send a signal to other developers: w</w:t>
      </w:r>
      <w:r w:rsidR="000625FE">
        <w:rPr>
          <w:color w:val="000000" w:themeColor="text1"/>
        </w:rPr>
        <w:t xml:space="preserve">ith </w:t>
      </w:r>
      <w:proofErr w:type="spellStart"/>
      <w:r w:rsidR="000625FE">
        <w:rPr>
          <w:color w:val="000000" w:themeColor="text1"/>
        </w:rPr>
        <w:t>Glybera</w:t>
      </w:r>
      <w:proofErr w:type="spellEnd"/>
      <w:r w:rsidR="000625FE">
        <w:rPr>
          <w:color w:val="000000" w:themeColor="text1"/>
        </w:rPr>
        <w:t xml:space="preserve">, </w:t>
      </w:r>
      <w:r w:rsidR="00DD30B3">
        <w:rPr>
          <w:color w:val="000000" w:themeColor="text1"/>
        </w:rPr>
        <w:t>the first</w:t>
      </w:r>
      <w:r w:rsidR="000625FE">
        <w:rPr>
          <w:color w:val="000000" w:themeColor="text1"/>
        </w:rPr>
        <w:t xml:space="preserve"> gene therapy approved in Europe</w:t>
      </w:r>
      <w:r w:rsidR="004F353D">
        <w:rPr>
          <w:color w:val="000000" w:themeColor="text1"/>
        </w:rPr>
        <w:t>,</w:t>
      </w:r>
      <w:r w:rsidR="000625FE">
        <w:rPr>
          <w:color w:val="000000" w:themeColor="text1"/>
        </w:rPr>
        <w:t xml:space="preserve"> in </w:t>
      </w:r>
      <w:r w:rsidR="00DD30B3">
        <w:rPr>
          <w:color w:val="000000" w:themeColor="text1"/>
        </w:rPr>
        <w:t xml:space="preserve">2012, </w:t>
      </w:r>
      <w:r w:rsidR="00D8353C">
        <w:rPr>
          <w:color w:val="000000" w:themeColor="text1"/>
        </w:rPr>
        <w:t>poor commercial uptake of the drug</w:t>
      </w:r>
      <w:r w:rsidR="00BA0226">
        <w:rPr>
          <w:color w:val="000000" w:themeColor="text1"/>
        </w:rPr>
        <w:t xml:space="preserve"> </w:t>
      </w:r>
      <w:r w:rsidR="008C0C21">
        <w:rPr>
          <w:color w:val="000000" w:themeColor="text1"/>
        </w:rPr>
        <w:t>post-launch</w:t>
      </w:r>
      <w:r w:rsidR="00BB255C">
        <w:rPr>
          <w:color w:val="000000" w:themeColor="text1"/>
        </w:rPr>
        <w:t xml:space="preserve"> led to </w:t>
      </w:r>
      <w:r w:rsidR="004F353D">
        <w:rPr>
          <w:color w:val="000000" w:themeColor="text1"/>
        </w:rPr>
        <w:t xml:space="preserve">its </w:t>
      </w:r>
      <w:r w:rsidR="00BB255C">
        <w:rPr>
          <w:color w:val="000000" w:themeColor="text1"/>
        </w:rPr>
        <w:t>eventual withdrawal from the European market</w:t>
      </w:r>
      <w:r w:rsidR="003315B1">
        <w:rPr>
          <w:color w:val="000000" w:themeColor="text1"/>
        </w:rPr>
        <w:t xml:space="preserve"> and termination of </w:t>
      </w:r>
      <w:r w:rsidR="00E96678">
        <w:rPr>
          <w:color w:val="000000" w:themeColor="text1"/>
        </w:rPr>
        <w:t xml:space="preserve">the European Phase IV studies that </w:t>
      </w:r>
      <w:r w:rsidR="005732DF">
        <w:rPr>
          <w:color w:val="000000" w:themeColor="text1"/>
        </w:rPr>
        <w:t>the EMA had required</w:t>
      </w:r>
      <w:r w:rsidR="00CE4DFF">
        <w:rPr>
          <w:color w:val="000000" w:themeColor="text1"/>
        </w:rPr>
        <w:t>.</w:t>
      </w:r>
      <w:r w:rsidR="00CE4DFF">
        <w:rPr>
          <w:rStyle w:val="Odwoanieprzypisudolnego"/>
          <w:color w:val="000000" w:themeColor="text1"/>
        </w:rPr>
        <w:footnoteReference w:id="114"/>
      </w:r>
      <w:r w:rsidR="006E4F07" w:rsidRPr="00D53D69">
        <w:rPr>
          <w:color w:val="000000" w:themeColor="text1"/>
          <w:vertAlign w:val="superscript"/>
        </w:rPr>
        <w:t>,</w:t>
      </w:r>
      <w:r w:rsidR="006E4F07">
        <w:rPr>
          <w:rStyle w:val="Odwoanieprzypisudolnego"/>
          <w:color w:val="000000" w:themeColor="text1"/>
        </w:rPr>
        <w:footnoteReference w:id="115"/>
      </w:r>
      <w:r w:rsidR="00D471C5">
        <w:rPr>
          <w:color w:val="000000" w:themeColor="text1"/>
        </w:rPr>
        <w:t xml:space="preserve"> Subsequently, between 2012 and 2020, Europe’s share of </w:t>
      </w:r>
      <w:r w:rsidR="003B36C5">
        <w:rPr>
          <w:color w:val="000000" w:themeColor="text1"/>
        </w:rPr>
        <w:t xml:space="preserve">global gene therapy clinical trials </w:t>
      </w:r>
      <w:r w:rsidR="00B6772B">
        <w:rPr>
          <w:color w:val="000000" w:themeColor="text1"/>
        </w:rPr>
        <w:t>fell</w:t>
      </w:r>
      <w:r w:rsidR="003B36C5">
        <w:rPr>
          <w:color w:val="000000" w:themeColor="text1"/>
        </w:rPr>
        <w:t xml:space="preserve"> from 30.5% to 19.3%.</w:t>
      </w:r>
      <w:r w:rsidR="003B36C5">
        <w:rPr>
          <w:rStyle w:val="Odwoanieprzypisudolnego"/>
          <w:color w:val="000000" w:themeColor="text1"/>
        </w:rPr>
        <w:footnoteReference w:id="116"/>
      </w:r>
    </w:p>
    <w:p w14:paraId="6BD72086" w14:textId="5DBBDDB4" w:rsidR="003C06A1" w:rsidRDefault="003C06A1" w:rsidP="003C06A1">
      <w:pPr>
        <w:pStyle w:val="Legenda"/>
      </w:pPr>
      <w:bookmarkStart w:id="117" w:name="_Ref109236112"/>
      <w:bookmarkStart w:id="118" w:name="_Toc115717806"/>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5667DB">
        <w:rPr>
          <w:noProof/>
        </w:rPr>
        <w:t>13</w:t>
      </w:r>
      <w:r w:rsidR="00F64CC5" w:rsidRPr="000A2E03">
        <w:fldChar w:fldCharType="end"/>
      </w:r>
      <w:bookmarkEnd w:id="117"/>
      <w:r>
        <w:t xml:space="preserve">: </w:t>
      </w:r>
      <w:r w:rsidR="00DC4C5C">
        <w:t>The l</w:t>
      </w:r>
      <w:r>
        <w:t>ocation of clinical trial</w:t>
      </w:r>
      <w:r w:rsidR="00DC4C5C">
        <w:t xml:space="preserve"> sites</w:t>
      </w:r>
      <w:r>
        <w:t xml:space="preserve"> and commercial sales of </w:t>
      </w:r>
      <w:r w:rsidR="00682A84">
        <w:t xml:space="preserve">first cell </w:t>
      </w:r>
      <w:r w:rsidR="00B6772B">
        <w:t>therapies</w:t>
      </w:r>
      <w:r w:rsidR="00B06AF9">
        <w:t xml:space="preserve"> are similar</w:t>
      </w:r>
      <w:bookmarkEnd w:id="118"/>
    </w:p>
    <w:p w14:paraId="7816113A" w14:textId="2C63A905" w:rsidR="009924AF" w:rsidRPr="009924AF" w:rsidRDefault="009924AF" w:rsidP="000A2E03">
      <w:pPr>
        <w:pStyle w:val="Tekstpodstawowy"/>
      </w:pPr>
      <w:r>
        <w:rPr>
          <w:noProof/>
        </w:rPr>
        <w:drawing>
          <wp:inline distT="0" distB="0" distL="0" distR="0" wp14:anchorId="0657F5F8" wp14:editId="4644657A">
            <wp:extent cx="5048250" cy="1706069"/>
            <wp:effectExtent l="0" t="0" r="0" b="8890"/>
            <wp:docPr id="20" name="Chart 20">
              <a:extLst xmlns:a="http://schemas.openxmlformats.org/drawingml/2006/main">
                <a:ext uri="{FF2B5EF4-FFF2-40B4-BE49-F238E27FC236}">
                  <a16:creationId xmlns:a16="http://schemas.microsoft.com/office/drawing/2014/main" id="{8C7AA372-DC4D-0E76-2005-CA5EAF29E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983A6C" w14:textId="7CB46070" w:rsidR="00E908C5" w:rsidRPr="00D53D69" w:rsidRDefault="00E908C5" w:rsidP="00F414C5">
      <w:pPr>
        <w:pStyle w:val="Tekstpodstawowy"/>
        <w:rPr>
          <w:color w:val="000000" w:themeColor="text1"/>
          <w:sz w:val="16"/>
          <w:szCs w:val="16"/>
        </w:rPr>
      </w:pPr>
      <w:r w:rsidRPr="00D53D69">
        <w:rPr>
          <w:color w:val="000000" w:themeColor="text1"/>
          <w:sz w:val="16"/>
          <w:szCs w:val="16"/>
        </w:rPr>
        <w:t xml:space="preserve">Source: clinicaltrials.gov and </w:t>
      </w:r>
      <w:proofErr w:type="spellStart"/>
      <w:r w:rsidRPr="00D53D69">
        <w:rPr>
          <w:color w:val="000000" w:themeColor="text1"/>
          <w:sz w:val="16"/>
          <w:szCs w:val="16"/>
        </w:rPr>
        <w:t>EvaluatePharma</w:t>
      </w:r>
      <w:proofErr w:type="spellEnd"/>
      <w:r w:rsidRPr="00D53D69">
        <w:rPr>
          <w:color w:val="000000" w:themeColor="text1"/>
          <w:sz w:val="16"/>
          <w:szCs w:val="16"/>
        </w:rPr>
        <w:t>, accessed July 2022.</w:t>
      </w:r>
    </w:p>
    <w:p w14:paraId="674614AC" w14:textId="62DE7D8D" w:rsidR="00B478F9" w:rsidRDefault="00DA6160" w:rsidP="00F722EB">
      <w:pPr>
        <w:pStyle w:val="Nagwek2"/>
      </w:pPr>
      <w:bookmarkStart w:id="119" w:name="_Toc109849595"/>
      <w:bookmarkStart w:id="120" w:name="_Toc106104533"/>
      <w:bookmarkStart w:id="121" w:name="_Ref106297454"/>
      <w:bookmarkStart w:id="122" w:name="_Toc115717787"/>
      <w:bookmarkStart w:id="123" w:name="_Hlk107236199"/>
      <w:bookmarkEnd w:id="119"/>
      <w:r w:rsidRPr="00D53D69">
        <w:t>Investigational</w:t>
      </w:r>
      <w:r w:rsidR="00D51823">
        <w:t xml:space="preserve"> and commercial m</w:t>
      </w:r>
      <w:r w:rsidR="00B478F9">
        <w:t>anufacturing</w:t>
      </w:r>
      <w:r w:rsidR="00BC581E">
        <w:t xml:space="preserve"> sites</w:t>
      </w:r>
      <w:bookmarkEnd w:id="120"/>
      <w:bookmarkEnd w:id="121"/>
      <w:bookmarkEnd w:id="122"/>
    </w:p>
    <w:bookmarkEnd w:id="123"/>
    <w:p w14:paraId="7F513225" w14:textId="3CE659FC" w:rsidR="00E321D8" w:rsidRDefault="009F0992" w:rsidP="005E0AFD">
      <w:pPr>
        <w:pStyle w:val="Tekstpodstawowy"/>
      </w:pPr>
      <w:r>
        <w:t xml:space="preserve">Manufacturing </w:t>
      </w:r>
      <w:r w:rsidR="00471548">
        <w:t xml:space="preserve">facility </w:t>
      </w:r>
      <w:r w:rsidR="001B0DEB">
        <w:t>investment</w:t>
      </w:r>
      <w:r w:rsidR="00471548">
        <w:t xml:space="preserve"> decisions</w:t>
      </w:r>
      <w:r w:rsidR="001B0DEB">
        <w:t xml:space="preserve"> </w:t>
      </w:r>
      <w:r w:rsidR="00471548">
        <w:t>differ from research hub</w:t>
      </w:r>
      <w:r w:rsidR="005B5355">
        <w:t xml:space="preserve"> decisions</w:t>
      </w:r>
      <w:r w:rsidR="00471548">
        <w:t xml:space="preserve"> in that they are made </w:t>
      </w:r>
      <w:r w:rsidR="003203E4">
        <w:t>more frequently, as companies aim to upscale and upgrade their production capacity and capabilities to manage evolving demand</w:t>
      </w:r>
      <w:r w:rsidR="004D3468">
        <w:t>,</w:t>
      </w:r>
      <w:r w:rsidR="003203E4">
        <w:t xml:space="preserve"> access new markets</w:t>
      </w:r>
      <w:r w:rsidR="004D3468">
        <w:t xml:space="preserve"> and </w:t>
      </w:r>
      <w:r w:rsidR="00D73DA2">
        <w:t xml:space="preserve">manage </w:t>
      </w:r>
      <w:r w:rsidR="004D3468">
        <w:t>the evolution of their portfolio</w:t>
      </w:r>
      <w:r w:rsidR="003203E4">
        <w:t xml:space="preserve">. </w:t>
      </w:r>
      <w:r w:rsidR="004D3468">
        <w:t>However, the</w:t>
      </w:r>
      <w:r w:rsidR="00D73DA2">
        <w:t>re</w:t>
      </w:r>
      <w:r w:rsidR="004D3468">
        <w:t xml:space="preserve"> are still long-term commitments </w:t>
      </w:r>
      <w:r w:rsidR="00D73DA2">
        <w:t>that are</w:t>
      </w:r>
      <w:r w:rsidR="00C469E3">
        <w:t>,</w:t>
      </w:r>
      <w:r w:rsidR="004D3468">
        <w:t xml:space="preserve"> therefore</w:t>
      </w:r>
      <w:r w:rsidR="00C469E3">
        <w:t>,</w:t>
      </w:r>
      <w:r w:rsidR="004D3468">
        <w:t xml:space="preserve"> often strategically important. </w:t>
      </w:r>
      <w:r w:rsidR="00E321D8">
        <w:t>It is also important to distinguish between the commercial manufacturing of medicines and t</w:t>
      </w:r>
      <w:r w:rsidR="00E321D8" w:rsidRPr="000B5206">
        <w:t xml:space="preserve">he </w:t>
      </w:r>
      <w:r w:rsidR="00106DFA">
        <w:t xml:space="preserve">manufacturing for </w:t>
      </w:r>
      <w:r w:rsidR="00E321D8" w:rsidRPr="000B5206">
        <w:t xml:space="preserve">supply </w:t>
      </w:r>
      <w:r w:rsidR="00E321D8">
        <w:t>of IMP</w:t>
      </w:r>
      <w:r w:rsidR="005B5355">
        <w:t>s</w:t>
      </w:r>
      <w:r w:rsidR="00E321D8" w:rsidRPr="000B5206">
        <w:t xml:space="preserve"> for clinical studies</w:t>
      </w:r>
      <w:r w:rsidR="00E321D8">
        <w:t>.</w:t>
      </w:r>
    </w:p>
    <w:p w14:paraId="4CAFC2EA" w14:textId="6C16E259" w:rsidR="00EF3227" w:rsidRPr="000A3A13" w:rsidRDefault="00EF3227" w:rsidP="00EF3227">
      <w:pPr>
        <w:pStyle w:val="Tekstpodstawowy"/>
        <w:rPr>
          <w:color w:val="000000" w:themeColor="text1"/>
        </w:rPr>
      </w:pPr>
      <w:r>
        <w:rPr>
          <w:color w:val="000000" w:themeColor="text1"/>
        </w:rPr>
        <w:t xml:space="preserve">IMP and commercial manufacturing have different characteristics </w:t>
      </w:r>
      <w:r w:rsidR="005B5355">
        <w:rPr>
          <w:color w:val="000000" w:themeColor="text1"/>
        </w:rPr>
        <w:t xml:space="preserve">which </w:t>
      </w:r>
      <w:r>
        <w:rPr>
          <w:color w:val="000000" w:themeColor="text1"/>
        </w:rPr>
        <w:t>may impact what makes a particular location more or less attractive for investment:</w:t>
      </w:r>
    </w:p>
    <w:p w14:paraId="0DD570D7" w14:textId="44F66D50" w:rsidR="00EF3227" w:rsidRPr="00B52514" w:rsidRDefault="00EF3227" w:rsidP="000A2E03">
      <w:pPr>
        <w:pStyle w:val="Tekstpodstawowy"/>
        <w:numPr>
          <w:ilvl w:val="0"/>
          <w:numId w:val="110"/>
        </w:numPr>
        <w:rPr>
          <w:color w:val="000000" w:themeColor="text1"/>
        </w:rPr>
      </w:pPr>
      <w:r w:rsidRPr="00D53D69">
        <w:rPr>
          <w:i/>
          <w:color w:val="000000" w:themeColor="text1"/>
        </w:rPr>
        <w:t>Scale</w:t>
      </w:r>
      <w:r w:rsidRPr="00EF4020">
        <w:rPr>
          <w:color w:val="000000" w:themeColor="text1"/>
        </w:rPr>
        <w:t xml:space="preserve">: Products going through clinical development are produced in much lower quantities </w:t>
      </w:r>
      <w:r>
        <w:rPr>
          <w:color w:val="000000" w:themeColor="text1"/>
        </w:rPr>
        <w:t>and have</w:t>
      </w:r>
      <w:r w:rsidR="00EA2E94">
        <w:rPr>
          <w:color w:val="000000" w:themeColor="text1"/>
        </w:rPr>
        <w:t xml:space="preserve"> more</w:t>
      </w:r>
      <w:r>
        <w:rPr>
          <w:color w:val="000000" w:themeColor="text1"/>
        </w:rPr>
        <w:t xml:space="preserve"> predictable demands for the specific clinical stud</w:t>
      </w:r>
      <w:r w:rsidR="00F929E4">
        <w:rPr>
          <w:color w:val="000000" w:themeColor="text1"/>
        </w:rPr>
        <w:t>ies</w:t>
      </w:r>
      <w:r>
        <w:rPr>
          <w:color w:val="000000" w:themeColor="text1"/>
        </w:rPr>
        <w:t xml:space="preserve"> </w:t>
      </w:r>
      <w:r w:rsidRPr="00EF4020">
        <w:rPr>
          <w:color w:val="000000" w:themeColor="text1"/>
        </w:rPr>
        <w:t xml:space="preserve">than </w:t>
      </w:r>
      <w:r>
        <w:rPr>
          <w:color w:val="000000" w:themeColor="text1"/>
        </w:rPr>
        <w:t>commercial</w:t>
      </w:r>
      <w:r w:rsidRPr="00EF4020">
        <w:rPr>
          <w:color w:val="000000" w:themeColor="text1"/>
        </w:rPr>
        <w:t xml:space="preserve"> products being produced for global delivery to patients</w:t>
      </w:r>
      <w:r>
        <w:rPr>
          <w:color w:val="000000" w:themeColor="text1"/>
        </w:rPr>
        <w:t xml:space="preserve">, </w:t>
      </w:r>
      <w:r w:rsidR="0091093C">
        <w:rPr>
          <w:color w:val="000000" w:themeColor="text1"/>
        </w:rPr>
        <w:t xml:space="preserve">for which </w:t>
      </w:r>
      <w:r>
        <w:rPr>
          <w:color w:val="000000" w:themeColor="text1"/>
        </w:rPr>
        <w:t>the demand may v</w:t>
      </w:r>
      <w:r w:rsidR="0057014C">
        <w:rPr>
          <w:color w:val="000000" w:themeColor="text1"/>
        </w:rPr>
        <w:t>a</w:t>
      </w:r>
      <w:r>
        <w:rPr>
          <w:color w:val="000000" w:themeColor="text1"/>
        </w:rPr>
        <w:t>ry extremely in the first years of being marketed</w:t>
      </w:r>
      <w:r w:rsidR="00F929E4">
        <w:rPr>
          <w:color w:val="000000" w:themeColor="text1"/>
        </w:rPr>
        <w:t xml:space="preserve"> and afterwards based on </w:t>
      </w:r>
      <w:r w:rsidR="00DF59A8">
        <w:rPr>
          <w:color w:val="000000" w:themeColor="text1"/>
        </w:rPr>
        <w:t>various factors</w:t>
      </w:r>
      <w:r w:rsidR="00F929E4">
        <w:rPr>
          <w:color w:val="000000" w:themeColor="text1"/>
        </w:rPr>
        <w:t xml:space="preserve"> (</w:t>
      </w:r>
      <w:r w:rsidR="005B5355">
        <w:rPr>
          <w:color w:val="000000" w:themeColor="text1"/>
        </w:rPr>
        <w:t>e.g.</w:t>
      </w:r>
      <w:r w:rsidR="00F929E4">
        <w:rPr>
          <w:color w:val="000000" w:themeColor="text1"/>
        </w:rPr>
        <w:t xml:space="preserve"> </w:t>
      </w:r>
      <w:r w:rsidR="00785F21">
        <w:rPr>
          <w:color w:val="000000" w:themeColor="text1"/>
        </w:rPr>
        <w:t xml:space="preserve">as a result of </w:t>
      </w:r>
      <w:r w:rsidR="00F929E4">
        <w:rPr>
          <w:color w:val="000000" w:themeColor="text1"/>
        </w:rPr>
        <w:t>epidemics</w:t>
      </w:r>
      <w:r w:rsidR="00785F21">
        <w:rPr>
          <w:color w:val="000000" w:themeColor="text1"/>
        </w:rPr>
        <w:t xml:space="preserve"> or</w:t>
      </w:r>
      <w:r w:rsidR="00F929E4">
        <w:rPr>
          <w:color w:val="000000" w:themeColor="text1"/>
        </w:rPr>
        <w:t xml:space="preserve"> pandemics</w:t>
      </w:r>
      <w:r w:rsidR="00785F21">
        <w:rPr>
          <w:color w:val="000000" w:themeColor="text1"/>
        </w:rPr>
        <w:t xml:space="preserve"> in extreme circumstances, or more commonly as a result of </w:t>
      </w:r>
      <w:r w:rsidR="00781FFE">
        <w:rPr>
          <w:color w:val="000000" w:themeColor="text1"/>
        </w:rPr>
        <w:t xml:space="preserve">changes in </w:t>
      </w:r>
      <w:r w:rsidR="004637D5">
        <w:rPr>
          <w:color w:val="000000" w:themeColor="text1"/>
        </w:rPr>
        <w:t xml:space="preserve">competition in the market, or </w:t>
      </w:r>
      <w:r w:rsidR="00781FFE">
        <w:rPr>
          <w:color w:val="000000" w:themeColor="text1"/>
        </w:rPr>
        <w:t>unanticipated off-label use</w:t>
      </w:r>
      <w:r w:rsidR="00F929E4">
        <w:rPr>
          <w:color w:val="000000" w:themeColor="text1"/>
        </w:rPr>
        <w:t>)</w:t>
      </w:r>
      <w:r w:rsidR="009D3644">
        <w:rPr>
          <w:color w:val="000000" w:themeColor="text1"/>
        </w:rPr>
        <w:t>.</w:t>
      </w:r>
      <w:r w:rsidR="00F929E4">
        <w:rPr>
          <w:color w:val="000000" w:themeColor="text1"/>
        </w:rPr>
        <w:t xml:space="preserve"> </w:t>
      </w:r>
    </w:p>
    <w:p w14:paraId="505695D0" w14:textId="6CF6B842" w:rsidR="00EF3227" w:rsidRPr="005667DB" w:rsidRDefault="004D2373" w:rsidP="000A2E03">
      <w:pPr>
        <w:pStyle w:val="Tekstpodstawowy"/>
        <w:numPr>
          <w:ilvl w:val="0"/>
          <w:numId w:val="110"/>
        </w:numPr>
        <w:rPr>
          <w:color w:val="000000" w:themeColor="text1"/>
        </w:rPr>
      </w:pPr>
      <w:r w:rsidRPr="005667DB">
        <w:rPr>
          <w:i/>
          <w:color w:val="000000" w:themeColor="text1"/>
        </w:rPr>
        <w:t>Need for revision and flexibility</w:t>
      </w:r>
      <w:r w:rsidR="00EF3227" w:rsidRPr="005667DB">
        <w:rPr>
          <w:color w:val="000000" w:themeColor="text1"/>
        </w:rPr>
        <w:t xml:space="preserve">: </w:t>
      </w:r>
      <w:r w:rsidRPr="005667DB">
        <w:rPr>
          <w:color w:val="000000" w:themeColor="text1"/>
        </w:rPr>
        <w:t>During the development process, there is a need to produc</w:t>
      </w:r>
      <w:r w:rsidR="007E561D">
        <w:rPr>
          <w:color w:val="000000" w:themeColor="text1"/>
        </w:rPr>
        <w:t>e</w:t>
      </w:r>
      <w:r w:rsidRPr="005667DB">
        <w:rPr>
          <w:color w:val="000000" w:themeColor="text1"/>
        </w:rPr>
        <w:t xml:space="preserve"> sufficient volume for the clinical trials but also to investigate and overcome the challenges affecting commercial production. Any changes in the production process affect the regulatory process.</w:t>
      </w:r>
    </w:p>
    <w:p w14:paraId="1FBD1A78" w14:textId="2FAEB14F" w:rsidR="004D2373" w:rsidRPr="005667DB" w:rsidRDefault="00913D63" w:rsidP="00953EFE">
      <w:pPr>
        <w:pStyle w:val="Tekstpodstawowy"/>
      </w:pPr>
      <w:r>
        <w:t xml:space="preserve">API and manufacturing </w:t>
      </w:r>
      <w:r w:rsidR="0057014C" w:rsidRPr="005667DB">
        <w:t xml:space="preserve">associated with formulation and finishing </w:t>
      </w:r>
      <w:r w:rsidRPr="005667DB">
        <w:t xml:space="preserve">also </w:t>
      </w:r>
      <w:r w:rsidRPr="005667DB">
        <w:rPr>
          <w:color w:val="000000" w:themeColor="text1"/>
        </w:rPr>
        <w:t>have different characteristics, largely related to the degree of outsourcing</w:t>
      </w:r>
      <w:r w:rsidR="0057014C" w:rsidRPr="005667DB">
        <w:rPr>
          <w:color w:val="000000" w:themeColor="text1"/>
        </w:rPr>
        <w:t xml:space="preserve"> and how production can be undertaken most efficiently, as does whether the product is </w:t>
      </w:r>
      <w:r w:rsidR="00540C21" w:rsidRPr="005667DB">
        <w:rPr>
          <w:color w:val="000000" w:themeColor="text1"/>
        </w:rPr>
        <w:t>on</w:t>
      </w:r>
      <w:r w:rsidR="005B5355">
        <w:rPr>
          <w:color w:val="000000" w:themeColor="text1"/>
        </w:rPr>
        <w:t>-</w:t>
      </w:r>
      <w:r w:rsidR="0057014C" w:rsidRPr="005667DB">
        <w:rPr>
          <w:color w:val="000000" w:themeColor="text1"/>
        </w:rPr>
        <w:t xml:space="preserve"> or off</w:t>
      </w:r>
      <w:r w:rsidR="00540C21" w:rsidRPr="005667DB">
        <w:rPr>
          <w:color w:val="000000" w:themeColor="text1"/>
        </w:rPr>
        <w:t>-patent</w:t>
      </w:r>
      <w:r w:rsidR="0057014C" w:rsidRPr="005667DB">
        <w:t>.</w:t>
      </w:r>
      <w:r w:rsidR="000524BF" w:rsidRPr="005667DB">
        <w:t xml:space="preserve"> </w:t>
      </w:r>
    </w:p>
    <w:p w14:paraId="6AF02987" w14:textId="3CCC6F01" w:rsidR="000524BF" w:rsidRPr="005667DB" w:rsidRDefault="004D2373" w:rsidP="00953EFE">
      <w:pPr>
        <w:pStyle w:val="Tekstpodstawowy"/>
      </w:pPr>
      <w:r w:rsidRPr="005667DB">
        <w:t xml:space="preserve">The type of manufacturing </w:t>
      </w:r>
      <w:r w:rsidR="00953EFE" w:rsidRPr="005667DB">
        <w:t xml:space="preserve">affects </w:t>
      </w:r>
      <w:r w:rsidR="004D3468" w:rsidRPr="005667DB">
        <w:t>the strategic choice of which parts of the manufacturing process to undertake and where to partner with other companies, for example through</w:t>
      </w:r>
      <w:r w:rsidR="00544790" w:rsidRPr="005667DB">
        <w:t xml:space="preserve"> </w:t>
      </w:r>
      <w:r w:rsidR="004D3468" w:rsidRPr="005667DB">
        <w:t>contract manufacturing</w:t>
      </w:r>
      <w:r w:rsidR="004A4EA6" w:rsidRPr="005667DB">
        <w:t xml:space="preserve"> organisations (CMOs)</w:t>
      </w:r>
      <w:r w:rsidR="008C6683" w:rsidRPr="005667DB">
        <w:t xml:space="preserve"> and contract development and manufacturing organisations</w:t>
      </w:r>
      <w:r w:rsidR="00E0449B" w:rsidRPr="005667DB">
        <w:t xml:space="preserve"> (CDM</w:t>
      </w:r>
      <w:r w:rsidR="007A5009" w:rsidRPr="005667DB">
        <w:t>O</w:t>
      </w:r>
      <w:r w:rsidR="00E0449B" w:rsidRPr="005667DB">
        <w:t>s)</w:t>
      </w:r>
      <w:r w:rsidRPr="005667DB">
        <w:t>,</w:t>
      </w:r>
      <w:r w:rsidR="00E321D8" w:rsidRPr="005667DB">
        <w:t xml:space="preserve"> as illustrated in </w:t>
      </w:r>
      <w:r w:rsidR="00E321D8" w:rsidRPr="000A2E03">
        <w:fldChar w:fldCharType="begin"/>
      </w:r>
      <w:r w:rsidR="00E321D8" w:rsidRPr="005667DB">
        <w:instrText xml:space="preserve"> REF _Ref106279773 \h </w:instrText>
      </w:r>
      <w:r w:rsidR="005667DB">
        <w:instrText xml:space="preserve"> \* MERGEFORMAT </w:instrText>
      </w:r>
      <w:r w:rsidR="00E321D8" w:rsidRPr="000A2E03">
        <w:fldChar w:fldCharType="separate"/>
      </w:r>
      <w:r w:rsidR="005667DB">
        <w:t xml:space="preserve">Figure </w:t>
      </w:r>
      <w:r w:rsidR="005667DB">
        <w:rPr>
          <w:noProof/>
        </w:rPr>
        <w:t>14</w:t>
      </w:r>
      <w:r w:rsidR="00E321D8" w:rsidRPr="000A2E03">
        <w:fldChar w:fldCharType="end"/>
      </w:r>
      <w:r w:rsidRPr="005667DB">
        <w:t>, and the location decision</w:t>
      </w:r>
      <w:r w:rsidR="004D3468" w:rsidRPr="005667DB">
        <w:t xml:space="preserve">. </w:t>
      </w:r>
    </w:p>
    <w:p w14:paraId="6BBFDAF9" w14:textId="65AFCC48" w:rsidR="004D2373" w:rsidRPr="005667DB" w:rsidRDefault="004D2373" w:rsidP="00011A0F">
      <w:pPr>
        <w:pStyle w:val="Tekstpodstawowy"/>
        <w:numPr>
          <w:ilvl w:val="0"/>
          <w:numId w:val="76"/>
        </w:numPr>
      </w:pPr>
      <w:r w:rsidRPr="005667DB">
        <w:rPr>
          <w:i/>
          <w:iCs/>
          <w:color w:val="000000" w:themeColor="text1"/>
        </w:rPr>
        <w:t xml:space="preserve">IMP versus commercial production: </w:t>
      </w:r>
      <w:r w:rsidRPr="005667DB">
        <w:rPr>
          <w:color w:val="000000" w:themeColor="text1"/>
        </w:rPr>
        <w:t xml:space="preserve">Pharmaceutical companies often outsource IMP manufacturing to CDMOs; commercial manufacturing is more likely to occur </w:t>
      </w:r>
      <w:r w:rsidRPr="005667DB">
        <w:rPr>
          <w:color w:val="000000" w:themeColor="text1"/>
        </w:rPr>
        <w:lastRenderedPageBreak/>
        <w:t xml:space="preserve">in-house using a pharmaceutical company’s own manufacturing sites </w:t>
      </w:r>
      <w:r w:rsidR="009D3644">
        <w:rPr>
          <w:color w:val="000000" w:themeColor="text1"/>
        </w:rPr>
        <w:t xml:space="preserve">and capacities </w:t>
      </w:r>
      <w:r w:rsidRPr="005667DB">
        <w:rPr>
          <w:color w:val="000000" w:themeColor="text1"/>
        </w:rPr>
        <w:t xml:space="preserve">where the manufacturing can be combined with other products </w:t>
      </w:r>
      <w:r w:rsidR="009D3644">
        <w:rPr>
          <w:color w:val="000000" w:themeColor="text1"/>
        </w:rPr>
        <w:t xml:space="preserve">in the portfolio using similar or the same equipment </w:t>
      </w:r>
      <w:r w:rsidRPr="005667DB">
        <w:rPr>
          <w:color w:val="000000" w:themeColor="text1"/>
        </w:rPr>
        <w:t>to use capacity effectively.</w:t>
      </w:r>
      <w:r w:rsidRPr="005667DB">
        <w:rPr>
          <w:rStyle w:val="Odwoanieprzypisudolnego"/>
          <w:color w:val="000000" w:themeColor="text1"/>
        </w:rPr>
        <w:footnoteReference w:id="117"/>
      </w:r>
    </w:p>
    <w:p w14:paraId="56423E86" w14:textId="256920AE" w:rsidR="00BB79BF" w:rsidRPr="00844EA8" w:rsidRDefault="00011A0F" w:rsidP="00011A0F">
      <w:pPr>
        <w:pStyle w:val="Tekstpodstawowy"/>
        <w:numPr>
          <w:ilvl w:val="0"/>
          <w:numId w:val="76"/>
        </w:numPr>
      </w:pPr>
      <w:r w:rsidRPr="005667DB">
        <w:rPr>
          <w:i/>
          <w:iCs/>
        </w:rPr>
        <w:t xml:space="preserve">API versus </w:t>
      </w:r>
      <w:r w:rsidR="000F7557" w:rsidRPr="005667DB">
        <w:rPr>
          <w:i/>
          <w:iCs/>
        </w:rPr>
        <w:t>formulation and finishing</w:t>
      </w:r>
      <w:r w:rsidRPr="005667DB">
        <w:t xml:space="preserve">: </w:t>
      </w:r>
      <w:r w:rsidR="004D3468" w:rsidRPr="005667DB">
        <w:t>Over the last</w:t>
      </w:r>
      <w:r w:rsidR="004D3468">
        <w:t xml:space="preserve"> </w:t>
      </w:r>
      <w:r w:rsidR="00B3691D">
        <w:t xml:space="preserve">20 </w:t>
      </w:r>
      <w:r w:rsidR="004D3468">
        <w:t xml:space="preserve">years we have seen companies </w:t>
      </w:r>
      <w:r w:rsidR="000B5206">
        <w:t xml:space="preserve">continue to outsource the production of </w:t>
      </w:r>
      <w:r w:rsidR="006046AD">
        <w:t>large-</w:t>
      </w:r>
      <w:r w:rsidR="009D3644">
        <w:t xml:space="preserve">scale </w:t>
      </w:r>
      <w:r w:rsidR="0097313F">
        <w:t>raw</w:t>
      </w:r>
      <w:r w:rsidR="000B5206">
        <w:t xml:space="preserve"> materials</w:t>
      </w:r>
      <w:r w:rsidR="00916B91">
        <w:t xml:space="preserve"> </w:t>
      </w:r>
      <w:r w:rsidR="000B5206">
        <w:t>and API</w:t>
      </w:r>
      <w:r w:rsidR="009D3644">
        <w:t>s</w:t>
      </w:r>
      <w:r w:rsidR="00106DFA">
        <w:t xml:space="preserve"> to specialised companies</w:t>
      </w:r>
      <w:r w:rsidR="000B5206">
        <w:t xml:space="preserve">. </w:t>
      </w:r>
      <w:r w:rsidR="006D2BF6">
        <w:t xml:space="preserve">In fact, the </w:t>
      </w:r>
      <w:r w:rsidR="00760166">
        <w:t xml:space="preserve">growth of the </w:t>
      </w:r>
      <w:r w:rsidR="00FF1E3A">
        <w:t>CMO/</w:t>
      </w:r>
      <w:r w:rsidR="00760166">
        <w:t>CDM</w:t>
      </w:r>
      <w:r w:rsidR="00E0449B">
        <w:t xml:space="preserve">O market is expected to outpace the growth of the </w:t>
      </w:r>
      <w:r w:rsidR="001E0C7C">
        <w:t xml:space="preserve">overall </w:t>
      </w:r>
      <w:r w:rsidR="00E0449B">
        <w:t>pharmaceutical industry</w:t>
      </w:r>
      <w:r w:rsidR="00B40B82">
        <w:t xml:space="preserve"> between now and 2025</w:t>
      </w:r>
      <w:bookmarkStart w:id="124" w:name="_Ref106279934"/>
      <w:r w:rsidR="00E321D8">
        <w:t>,</w:t>
      </w:r>
      <w:bookmarkEnd w:id="124"/>
      <w:r w:rsidR="00F50FD9">
        <w:t xml:space="preserve"> </w:t>
      </w:r>
      <w:r w:rsidR="00E321D8">
        <w:t>with t</w:t>
      </w:r>
      <w:r w:rsidR="00A753F3">
        <w:t xml:space="preserve">he majority of </w:t>
      </w:r>
      <w:r w:rsidR="002D061D">
        <w:t>outsourcing</w:t>
      </w:r>
      <w:r w:rsidR="00BC2E3A">
        <w:t xml:space="preserve"> to CDMOs occ</w:t>
      </w:r>
      <w:r w:rsidR="00EC4634">
        <w:t>ur</w:t>
      </w:r>
      <w:r w:rsidR="000D401A">
        <w:t>r</w:t>
      </w:r>
      <w:r w:rsidR="00D73DA2">
        <w:t>ing</w:t>
      </w:r>
      <w:r w:rsidR="002F1848">
        <w:t xml:space="preserve"> at </w:t>
      </w:r>
      <w:r w:rsidR="00172CFE">
        <w:t xml:space="preserve">the </w:t>
      </w:r>
      <w:r w:rsidR="002F1848">
        <w:t>API production</w:t>
      </w:r>
      <w:r w:rsidR="00322D02">
        <w:t xml:space="preserve"> </w:t>
      </w:r>
      <w:r w:rsidR="00172CFE">
        <w:t>stage</w:t>
      </w:r>
      <w:r w:rsidR="00322D02">
        <w:t xml:space="preserve"> rather than </w:t>
      </w:r>
      <w:r w:rsidR="00172CFE">
        <w:t>at</w:t>
      </w:r>
      <w:r w:rsidR="00322D02">
        <w:t xml:space="preserve"> </w:t>
      </w:r>
      <w:r w:rsidR="00BA2FE3">
        <w:t xml:space="preserve">finished product </w:t>
      </w:r>
      <w:r w:rsidR="004A3288">
        <w:t>manufacturing or packaging</w:t>
      </w:r>
      <w:r w:rsidR="00363C08">
        <w:t>.</w:t>
      </w:r>
      <w:r w:rsidR="001E0C7C">
        <w:rPr>
          <w:rStyle w:val="Odwoanieprzypisudolnego"/>
        </w:rPr>
        <w:footnoteReference w:id="118"/>
      </w:r>
      <w:r w:rsidR="00DF2D92">
        <w:t xml:space="preserve"> Outsourcing of production is particularly prevalent in the Asia</w:t>
      </w:r>
      <w:r w:rsidR="00275047">
        <w:t>-</w:t>
      </w:r>
      <w:r w:rsidR="00DF2D92">
        <w:t>Pacific region, where</w:t>
      </w:r>
      <w:r w:rsidR="003323E3">
        <w:t xml:space="preserve"> it is estimated that</w:t>
      </w:r>
      <w:r w:rsidR="00DF2D92">
        <w:t xml:space="preserve"> the CDMO market </w:t>
      </w:r>
      <w:r w:rsidR="003323E3">
        <w:t>will</w:t>
      </w:r>
      <w:r w:rsidR="00DB7E60">
        <w:t xml:space="preserve"> be </w:t>
      </w:r>
      <w:r w:rsidR="00741C0E">
        <w:t>worth</w:t>
      </w:r>
      <w:r w:rsidR="00DB7E60">
        <w:t xml:space="preserve"> over $80 billion </w:t>
      </w:r>
      <w:r w:rsidR="00741C0E">
        <w:t xml:space="preserve">by 2025 </w:t>
      </w:r>
      <w:r w:rsidR="00DB7E60">
        <w:t xml:space="preserve">(versus </w:t>
      </w:r>
      <w:r w:rsidR="006F2BE6">
        <w:t>$34 billion and $23 billion in North America and Europe</w:t>
      </w:r>
      <w:r w:rsidR="00931977">
        <w:t>,</w:t>
      </w:r>
      <w:r w:rsidR="006F2BE6">
        <w:t xml:space="preserve"> respectively).</w:t>
      </w:r>
      <w:r w:rsidR="00741C0E">
        <w:rPr>
          <w:rStyle w:val="Odwoanieprzypisudolnego"/>
        </w:rPr>
        <w:footnoteReference w:id="119"/>
      </w:r>
      <w:r w:rsidR="00DF2D92">
        <w:t xml:space="preserve"> </w:t>
      </w:r>
      <w:r w:rsidR="00F97A08">
        <w:t>This is particularly driven by outsourcing API manufacturing</w:t>
      </w:r>
      <w:r w:rsidR="008A2FF9">
        <w:t xml:space="preserve"> to countries such as China and India</w:t>
      </w:r>
      <w:r w:rsidR="009B6A50">
        <w:t xml:space="preserve"> as a result of </w:t>
      </w:r>
      <w:r w:rsidR="007B0C2F">
        <w:t xml:space="preserve">low </w:t>
      </w:r>
      <w:r w:rsidR="009D6B72">
        <w:t>labour and production costs</w:t>
      </w:r>
      <w:r w:rsidR="008A2FF9">
        <w:t>.</w:t>
      </w:r>
      <w:r w:rsidR="008A7548">
        <w:rPr>
          <w:rStyle w:val="Odwoanieprzypisudolnego"/>
        </w:rPr>
        <w:footnoteReference w:id="120"/>
      </w:r>
      <w:r w:rsidR="008A2FF9">
        <w:t xml:space="preserve"> </w:t>
      </w:r>
      <w:r w:rsidR="00396A68">
        <w:t xml:space="preserve">Although data </w:t>
      </w:r>
      <w:r w:rsidR="00B3691D">
        <w:t xml:space="preserve">are </w:t>
      </w:r>
      <w:r w:rsidR="00396A68">
        <w:t>not yet available, we might expect the COVID-19 pandemic</w:t>
      </w:r>
      <w:r w:rsidR="00B42663">
        <w:t xml:space="preserve">, </w:t>
      </w:r>
      <w:r w:rsidR="002859CF">
        <w:t>the energy</w:t>
      </w:r>
      <w:r w:rsidR="00B42663">
        <w:t xml:space="preserve"> cris</w:t>
      </w:r>
      <w:r w:rsidR="002859CF">
        <w:t>i</w:t>
      </w:r>
      <w:r w:rsidR="00B42663">
        <w:t xml:space="preserve">s and environmental </w:t>
      </w:r>
      <w:r w:rsidR="008A7548">
        <w:t>or</w:t>
      </w:r>
      <w:r w:rsidR="00B42663">
        <w:t xml:space="preserve"> transport</w:t>
      </w:r>
      <w:r w:rsidR="002859CF">
        <w:t>-related</w:t>
      </w:r>
      <w:r w:rsidR="00B42663">
        <w:t xml:space="preserve"> aspects</w:t>
      </w:r>
      <w:r w:rsidR="00396A68">
        <w:t xml:space="preserve"> to impact companies’ attitudes towards </w:t>
      </w:r>
      <w:r w:rsidR="00396A68" w:rsidRPr="00844EA8">
        <w:t>outsourcing.</w:t>
      </w:r>
    </w:p>
    <w:p w14:paraId="0A8779DC" w14:textId="1A040EFC" w:rsidR="000647BC" w:rsidRPr="00844EA8" w:rsidRDefault="00BB79BF" w:rsidP="005E0AFD">
      <w:pPr>
        <w:pStyle w:val="Tekstpodstawowy"/>
        <w:numPr>
          <w:ilvl w:val="0"/>
          <w:numId w:val="76"/>
        </w:numPr>
      </w:pPr>
      <w:r w:rsidRPr="00844EA8">
        <w:rPr>
          <w:i/>
        </w:rPr>
        <w:t>Generic versus on-patent medicines:</w:t>
      </w:r>
      <w:r w:rsidRPr="00844EA8">
        <w:t xml:space="preserve"> A</w:t>
      </w:r>
      <w:r w:rsidR="00E321D8" w:rsidRPr="00844EA8">
        <w:t xml:space="preserve">lthough there is a common perception that API </w:t>
      </w:r>
      <w:r w:rsidR="006F1FA5" w:rsidRPr="00844EA8">
        <w:t xml:space="preserve">manufacturing </w:t>
      </w:r>
      <w:r w:rsidR="00E321D8" w:rsidRPr="00844EA8">
        <w:t xml:space="preserve">is not undertaken in Europe, this is confusing the manufacturing of innovative medicines with off-patent medicines. </w:t>
      </w:r>
      <w:r w:rsidR="00702774" w:rsidRPr="00844EA8">
        <w:t>For generics,</w:t>
      </w:r>
      <w:r w:rsidR="00C81302" w:rsidRPr="00844EA8">
        <w:t xml:space="preserve"> Europe is highly dependent on Asia</w:t>
      </w:r>
      <w:r w:rsidR="00895B6D" w:rsidRPr="00844EA8">
        <w:t>;</w:t>
      </w:r>
      <w:r w:rsidR="002B3D9C" w:rsidRPr="00844EA8">
        <w:t xml:space="preserve"> </w:t>
      </w:r>
      <w:r w:rsidR="00A2657A" w:rsidRPr="00844EA8">
        <w:t>in terms of APIs and precursors, European direct and indirect dependency</w:t>
      </w:r>
      <w:r w:rsidR="007D3EB3" w:rsidRPr="00844EA8">
        <w:t xml:space="preserve"> is estimated to be around 74%.</w:t>
      </w:r>
      <w:r w:rsidR="007747AE" w:rsidRPr="00844EA8">
        <w:rPr>
          <w:rStyle w:val="Odwoanieprzypisudolnego"/>
        </w:rPr>
        <w:footnoteReference w:id="121"/>
      </w:r>
      <w:r w:rsidR="007D3EB3" w:rsidRPr="00844EA8">
        <w:t xml:space="preserve"> </w:t>
      </w:r>
      <w:r w:rsidR="007A6D8B" w:rsidRPr="00844EA8">
        <w:t>However,</w:t>
      </w:r>
      <w:r w:rsidR="002B3D9C" w:rsidRPr="00844EA8">
        <w:t xml:space="preserve"> </w:t>
      </w:r>
      <w:r w:rsidR="00373B3D" w:rsidRPr="00844EA8">
        <w:t>for innovative medicines</w:t>
      </w:r>
      <w:r w:rsidR="00094E57" w:rsidRPr="00844EA8">
        <w:t>,</w:t>
      </w:r>
      <w:r w:rsidR="00373B3D" w:rsidRPr="00844EA8">
        <w:t xml:space="preserve"> </w:t>
      </w:r>
      <w:r w:rsidR="007324E2" w:rsidRPr="00844EA8">
        <w:t>a</w:t>
      </w:r>
      <w:r w:rsidR="002E4AAB" w:rsidRPr="00844EA8">
        <w:t xml:space="preserve"> </w:t>
      </w:r>
      <w:r w:rsidR="006902ED" w:rsidRPr="00844EA8">
        <w:t xml:space="preserve">2020 </w:t>
      </w:r>
      <w:r w:rsidR="002E4AAB" w:rsidRPr="00844EA8">
        <w:t xml:space="preserve">survey of </w:t>
      </w:r>
      <w:r w:rsidR="006902ED" w:rsidRPr="00844EA8">
        <w:t>16 EFPIA member</w:t>
      </w:r>
      <w:r w:rsidR="0021782A" w:rsidRPr="00844EA8">
        <w:t xml:space="preserve"> companies </w:t>
      </w:r>
      <w:r w:rsidR="008D7BB8" w:rsidRPr="00844EA8">
        <w:t>reported that 64% of APIs are still manufactured in Europe</w:t>
      </w:r>
      <w:r w:rsidR="00B3691D" w:rsidRPr="00844EA8">
        <w:t>,</w:t>
      </w:r>
      <w:r w:rsidR="005820B0" w:rsidRPr="00844EA8">
        <w:t xml:space="preserve"> </w:t>
      </w:r>
      <w:r w:rsidR="00B42663" w:rsidRPr="00844EA8">
        <w:t xml:space="preserve">with </w:t>
      </w:r>
      <w:r w:rsidR="005820B0" w:rsidRPr="00844EA8">
        <w:t xml:space="preserve">15% </w:t>
      </w:r>
      <w:r w:rsidR="00B3691D" w:rsidRPr="00844EA8">
        <w:t xml:space="preserve">manufactured </w:t>
      </w:r>
      <w:r w:rsidR="005820B0" w:rsidRPr="00844EA8">
        <w:t xml:space="preserve">in North America and </w:t>
      </w:r>
      <w:r w:rsidR="00B42663" w:rsidRPr="00844EA8">
        <w:t xml:space="preserve">only </w:t>
      </w:r>
      <w:r w:rsidR="005820B0" w:rsidRPr="00844EA8">
        <w:t xml:space="preserve">11% in </w:t>
      </w:r>
      <w:r w:rsidR="007F3790" w:rsidRPr="00844EA8">
        <w:t xml:space="preserve">both </w:t>
      </w:r>
      <w:r w:rsidR="005820B0" w:rsidRPr="00844EA8">
        <w:t>China and India</w:t>
      </w:r>
      <w:r w:rsidR="007F3790" w:rsidRPr="00844EA8">
        <w:t xml:space="preserve"> combined</w:t>
      </w:r>
      <w:r w:rsidR="005820B0" w:rsidRPr="00844EA8">
        <w:t>.</w:t>
      </w:r>
      <w:r w:rsidR="003B6523" w:rsidRPr="00844EA8">
        <w:rPr>
          <w:rStyle w:val="Odwoanieprzypisudolnego"/>
        </w:rPr>
        <w:footnoteReference w:id="122"/>
      </w:r>
      <w:r w:rsidR="005820B0" w:rsidRPr="00844EA8">
        <w:t xml:space="preserve"> </w:t>
      </w:r>
      <w:r w:rsidR="000647BC" w:rsidRPr="00844EA8">
        <w:t xml:space="preserve">The majority of </w:t>
      </w:r>
      <w:r w:rsidR="00DE21DA" w:rsidRPr="00844EA8">
        <w:t xml:space="preserve">European </w:t>
      </w:r>
      <w:r w:rsidR="000647BC" w:rsidRPr="00844EA8">
        <w:t>chemical APIs use raw materials manufactured in Europe</w:t>
      </w:r>
      <w:r w:rsidR="0053308C" w:rsidRPr="00844EA8">
        <w:t xml:space="preserve"> (64%)</w:t>
      </w:r>
      <w:r w:rsidR="000647BC" w:rsidRPr="00844EA8">
        <w:t xml:space="preserve">, </w:t>
      </w:r>
      <w:r w:rsidR="0053308C" w:rsidRPr="00844EA8">
        <w:t>but there is also dependency on India and China (29</w:t>
      </w:r>
      <w:r w:rsidR="00DD272C" w:rsidRPr="00844EA8">
        <w:t>%</w:t>
      </w:r>
      <w:r w:rsidR="00DE21DA" w:rsidRPr="00844EA8">
        <w:t xml:space="preserve"> of raw materials</w:t>
      </w:r>
      <w:r w:rsidR="00DD272C" w:rsidRPr="00844EA8">
        <w:t>)</w:t>
      </w:r>
      <w:r w:rsidR="00DE21DA" w:rsidRPr="00844EA8">
        <w:t xml:space="preserve"> and the US (5%)</w:t>
      </w:r>
      <w:r w:rsidR="00DD272C" w:rsidRPr="00844EA8">
        <w:t>.</w:t>
      </w:r>
      <w:r w:rsidR="00F6292A" w:rsidRPr="00844EA8">
        <w:t xml:space="preserve"> </w:t>
      </w:r>
    </w:p>
    <w:p w14:paraId="17C0B1C8" w14:textId="294AEE0C" w:rsidR="004D3468" w:rsidRDefault="005820B0" w:rsidP="000647BC">
      <w:pPr>
        <w:pStyle w:val="Tekstpodstawowy"/>
      </w:pPr>
      <w:r w:rsidRPr="00844EA8">
        <w:t xml:space="preserve">This </w:t>
      </w:r>
      <w:r w:rsidR="002A4307" w:rsidRPr="00844EA8">
        <w:t>shows that European production remains an important element</w:t>
      </w:r>
      <w:r w:rsidR="006F7344" w:rsidRPr="00844EA8">
        <w:t xml:space="preserve"> for the research</w:t>
      </w:r>
      <w:r w:rsidR="00576B51" w:rsidRPr="00844EA8">
        <w:t>-</w:t>
      </w:r>
      <w:r w:rsidR="006F7344" w:rsidRPr="00844EA8">
        <w:t>based companies</w:t>
      </w:r>
      <w:r w:rsidR="0020231D" w:rsidRPr="00844EA8">
        <w:t>,</w:t>
      </w:r>
      <w:r w:rsidR="002A4307" w:rsidRPr="00844EA8">
        <w:t xml:space="preserve"> </w:t>
      </w:r>
      <w:r w:rsidR="00B42663" w:rsidRPr="00844EA8">
        <w:t xml:space="preserve">at least </w:t>
      </w:r>
      <w:r w:rsidR="003B6523" w:rsidRPr="00844EA8">
        <w:t>in ensuring</w:t>
      </w:r>
      <w:r w:rsidR="002A4307" w:rsidRPr="00844EA8">
        <w:t xml:space="preserve"> </w:t>
      </w:r>
      <w:r w:rsidR="0020231D" w:rsidRPr="00844EA8">
        <w:t xml:space="preserve">the </w:t>
      </w:r>
      <w:r w:rsidR="006F7344" w:rsidRPr="00844EA8">
        <w:t xml:space="preserve">quality and </w:t>
      </w:r>
      <w:r w:rsidR="00DD272C" w:rsidRPr="00844EA8">
        <w:t>s</w:t>
      </w:r>
      <w:r w:rsidR="003B6523" w:rsidRPr="00844EA8">
        <w:t>ustainability</w:t>
      </w:r>
      <w:r w:rsidR="00DD272C" w:rsidRPr="00844EA8">
        <w:t xml:space="preserve"> of European medicine supply </w:t>
      </w:r>
      <w:r w:rsidR="00B42663" w:rsidRPr="00844EA8">
        <w:t>chains</w:t>
      </w:r>
      <w:r w:rsidR="00A20576" w:rsidRPr="00844EA8">
        <w:t>,</w:t>
      </w:r>
      <w:r w:rsidR="00B42663" w:rsidRPr="00844EA8">
        <w:t xml:space="preserve"> but</w:t>
      </w:r>
      <w:r w:rsidR="00ED7A3A" w:rsidRPr="00844EA8">
        <w:t xml:space="preserve"> remains interwoven with the global supply chain</w:t>
      </w:r>
      <w:r w:rsidR="003B6523" w:rsidRPr="00844EA8">
        <w:t>.</w:t>
      </w:r>
      <w:r w:rsidR="003B6523">
        <w:t xml:space="preserve"> </w:t>
      </w:r>
    </w:p>
    <w:p w14:paraId="4CE3FF81" w14:textId="511EFE41" w:rsidR="00E20DA3" w:rsidRDefault="00E20DA3" w:rsidP="009166E6">
      <w:pPr>
        <w:pStyle w:val="Legenda"/>
      </w:pPr>
      <w:bookmarkStart w:id="125" w:name="_Ref106279773"/>
      <w:bookmarkStart w:id="126" w:name="_Ref106300689"/>
      <w:bookmarkStart w:id="127" w:name="_Toc115717807"/>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5667DB">
        <w:rPr>
          <w:noProof/>
        </w:rPr>
        <w:t>14</w:t>
      </w:r>
      <w:r w:rsidR="00F64CC5" w:rsidRPr="000A2E03">
        <w:fldChar w:fldCharType="end"/>
      </w:r>
      <w:bookmarkEnd w:id="125"/>
      <w:r>
        <w:t xml:space="preserve">: </w:t>
      </w:r>
      <w:bookmarkEnd w:id="126"/>
      <w:r w:rsidR="003D06FF">
        <w:t>The decision of where to locate manufacturing activities depends on which type of activity is being undertaken</w:t>
      </w:r>
      <w:bookmarkEnd w:id="127"/>
    </w:p>
    <w:p w14:paraId="375DDE9C" w14:textId="2C8E55EF" w:rsidR="008F4F6A" w:rsidRDefault="008F4F6A" w:rsidP="006C49D9">
      <w:pPr>
        <w:pStyle w:val="Tekstpodstawowy"/>
        <w:rPr>
          <w:color w:val="000000" w:themeColor="text1"/>
        </w:rPr>
      </w:pPr>
      <w:r w:rsidRPr="000A2E03">
        <w:rPr>
          <w:noProof/>
          <w:color w:val="000000" w:themeColor="text1"/>
        </w:rPr>
        <w:drawing>
          <wp:inline distT="0" distB="0" distL="0" distR="0" wp14:anchorId="3CEB9763" wp14:editId="714D0C56">
            <wp:extent cx="5048885" cy="2382244"/>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16109"/>
                    <a:stretch/>
                  </pic:blipFill>
                  <pic:spPr bwMode="auto">
                    <a:xfrm>
                      <a:off x="0" y="0"/>
                      <a:ext cx="5063360" cy="2389074"/>
                    </a:xfrm>
                    <a:prstGeom prst="rect">
                      <a:avLst/>
                    </a:prstGeom>
                    <a:noFill/>
                    <a:ln w="19050" cap="flat" cmpd="sng" algn="ctr">
                      <a:solidFill>
                        <a:srgbClr val="C0C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C5A1F7" w14:textId="774D4B3A" w:rsidR="008F4F6A" w:rsidRDefault="00E321D8" w:rsidP="006C49D9">
      <w:pPr>
        <w:pStyle w:val="Tekstpodstawowy"/>
        <w:rPr>
          <w:sz w:val="16"/>
          <w:szCs w:val="16"/>
        </w:rPr>
      </w:pPr>
      <w:r>
        <w:rPr>
          <w:sz w:val="16"/>
          <w:szCs w:val="16"/>
        </w:rPr>
        <w:t xml:space="preserve">Source: </w:t>
      </w:r>
      <w:r w:rsidR="005F54DB">
        <w:rPr>
          <w:sz w:val="16"/>
          <w:szCs w:val="16"/>
        </w:rPr>
        <w:t>Adapted from PwC</w:t>
      </w:r>
      <w:r w:rsidR="00836F51">
        <w:rPr>
          <w:sz w:val="16"/>
          <w:szCs w:val="16"/>
        </w:rPr>
        <w:t xml:space="preserve"> (2019)</w:t>
      </w:r>
      <w:r w:rsidR="00836F51">
        <w:rPr>
          <w:rStyle w:val="Odwoanieprzypisudolnego"/>
          <w:szCs w:val="16"/>
        </w:rPr>
        <w:footnoteReference w:id="123"/>
      </w:r>
    </w:p>
    <w:p w14:paraId="467E63A2" w14:textId="7FE84B5D" w:rsidR="00E321D8" w:rsidRDefault="00E321D8" w:rsidP="00E321D8">
      <w:pPr>
        <w:pStyle w:val="Tekstpodstawowy"/>
      </w:pPr>
      <w:r>
        <w:t>In-house manufacturing remains important</w:t>
      </w:r>
      <w:r w:rsidR="004068B3">
        <w:t>,</w:t>
      </w:r>
      <w:r w:rsidR="008D226D">
        <w:t xml:space="preserve"> </w:t>
      </w:r>
      <w:r w:rsidR="003062E0">
        <w:t xml:space="preserve">especially </w:t>
      </w:r>
      <w:r w:rsidR="008D226D">
        <w:t>for</w:t>
      </w:r>
      <w:r w:rsidR="00581785">
        <w:t xml:space="preserve"> </w:t>
      </w:r>
      <w:r w:rsidR="004068B3">
        <w:t>research-</w:t>
      </w:r>
      <w:r w:rsidR="003062E0">
        <w:t>based manufacturer</w:t>
      </w:r>
      <w:r w:rsidR="004068B3">
        <w:t>s</w:t>
      </w:r>
      <w:r w:rsidR="003062E0">
        <w:t xml:space="preserve"> </w:t>
      </w:r>
      <w:r w:rsidR="004433FB" w:rsidRPr="004433FB">
        <w:t>to gain knowledge and the ability to share and understand the processes</w:t>
      </w:r>
      <w:r>
        <w:t>, particularly for commercial production, and companies are unlikely to entirely outsource production. We can see this when looking at the number of sites owned by major pharmaceutical companies</w:t>
      </w:r>
      <w:r w:rsidR="008D226D">
        <w:t xml:space="preserve"> with many </w:t>
      </w:r>
      <w:r w:rsidR="0075794F">
        <w:t xml:space="preserve">marketed </w:t>
      </w:r>
      <w:r w:rsidR="008D226D">
        <w:t>products</w:t>
      </w:r>
      <w:r>
        <w:t xml:space="preserve">: </w:t>
      </w:r>
      <w:r w:rsidR="006E069A">
        <w:t>while</w:t>
      </w:r>
      <w:r>
        <w:t xml:space="preserve"> Pfizer only has eight major research centres, it lists 35 manufacturing sites across six continents.</w:t>
      </w:r>
      <w:r>
        <w:rPr>
          <w:rStyle w:val="Odwoanieprzypisudolnego"/>
        </w:rPr>
        <w:footnoteReference w:id="124"/>
      </w:r>
      <w:r>
        <w:t xml:space="preserve"> Given the complexity and vulnerability of global supply chains, it is imperative that a company’s global network of manufacturing plants enable it to reliably meet demand and support business growth. The location of these plants is therefore something under frequent review and consideration.</w:t>
      </w:r>
      <w:r>
        <w:rPr>
          <w:rStyle w:val="Odwoanieprzypisudolnego"/>
        </w:rPr>
        <w:footnoteReference w:id="125"/>
      </w:r>
      <w:r w:rsidR="00140B0C">
        <w:t xml:space="preserve"> </w:t>
      </w:r>
    </w:p>
    <w:p w14:paraId="6FBD9CE9" w14:textId="0DA0337D" w:rsidR="0092253A" w:rsidRDefault="00FB6FFA" w:rsidP="00E321D8">
      <w:pPr>
        <w:pStyle w:val="Nagwek4"/>
      </w:pPr>
      <w:r>
        <w:t xml:space="preserve">Factors </w:t>
      </w:r>
      <w:r w:rsidR="00A60EF2">
        <w:t xml:space="preserve">affecting </w:t>
      </w:r>
      <w:r>
        <w:t>the location of manufacturing investments</w:t>
      </w:r>
    </w:p>
    <w:p w14:paraId="07DD1508" w14:textId="21385255" w:rsidR="00C3052C" w:rsidRDefault="005975F8" w:rsidP="005E0AFD">
      <w:pPr>
        <w:pStyle w:val="Tekstpodstawowy"/>
      </w:pPr>
      <w:r w:rsidRPr="005975F8">
        <w:t>As with R&amp;D, manufacturing decisions are not made from a blank page</w:t>
      </w:r>
      <w:r w:rsidR="00FB78E2">
        <w:t>; i</w:t>
      </w:r>
      <w:r w:rsidRPr="005975F8">
        <w:t>nternal company considerations</w:t>
      </w:r>
      <w:r w:rsidR="00FB78E2">
        <w:t xml:space="preserve"> </w:t>
      </w:r>
      <w:r w:rsidR="0056413A">
        <w:t>strongly</w:t>
      </w:r>
      <w:r w:rsidR="00FB78E2" w:rsidRPr="00FB78E2">
        <w:t xml:space="preserve"> influence the</w:t>
      </w:r>
      <w:r w:rsidR="00FB78E2">
        <w:t xml:space="preserve"> </w:t>
      </w:r>
      <w:r w:rsidR="00FB78E2" w:rsidRPr="00FB78E2">
        <w:t>decision on manufacturing location</w:t>
      </w:r>
      <w:r w:rsidR="009D3C4A">
        <w:t xml:space="preserve"> for both IMP and commercial manufacturing</w:t>
      </w:r>
      <w:r w:rsidR="00FB78E2">
        <w:t>.</w:t>
      </w:r>
      <w:r w:rsidR="009D3C4A">
        <w:rPr>
          <w:rStyle w:val="Odwoanieprzypisudolnego"/>
        </w:rPr>
        <w:footnoteReference w:id="126"/>
      </w:r>
      <w:r w:rsidR="00FB78E2">
        <w:t xml:space="preserve"> </w:t>
      </w:r>
      <w:r w:rsidR="008959ED" w:rsidRPr="008959ED">
        <w:t>In fact, multinational companies expand their existing production sites up to six times as often as they establish new</w:t>
      </w:r>
      <w:r w:rsidR="008959ED" w:rsidRPr="008959ED" w:rsidDel="008959ED">
        <w:t xml:space="preserve"> </w:t>
      </w:r>
      <w:r w:rsidR="00FB78E2" w:rsidRPr="00FB78E2">
        <w:t>facilities, likely as this involves fewer costs</w:t>
      </w:r>
      <w:r w:rsidR="00544F6F">
        <w:t xml:space="preserve"> and relocation of </w:t>
      </w:r>
      <w:r w:rsidR="00AB2BD2">
        <w:t>existing resources</w:t>
      </w:r>
      <w:r w:rsidR="00FB78E2" w:rsidRPr="00FB78E2">
        <w:t>.</w:t>
      </w:r>
      <w:r w:rsidR="00220E7C">
        <w:rPr>
          <w:rStyle w:val="Odwoanieprzypisudolnego"/>
        </w:rPr>
        <w:footnoteReference w:id="127"/>
      </w:r>
      <w:r w:rsidR="00FB78E2">
        <w:t xml:space="preserve"> </w:t>
      </w:r>
      <w:r w:rsidR="00C3052C" w:rsidRPr="00FB78E2">
        <w:t xml:space="preserve">Internal </w:t>
      </w:r>
      <w:r w:rsidR="00AB2BD2">
        <w:t xml:space="preserve">company-driven </w:t>
      </w:r>
      <w:r w:rsidR="00C3052C" w:rsidRPr="00FB78E2">
        <w:t>factors can also be relevant at the final decision-making step:</w:t>
      </w:r>
      <w:r w:rsidR="008959ED">
        <w:t xml:space="preserve"> even</w:t>
      </w:r>
      <w:r w:rsidR="00C3052C" w:rsidRPr="00FB78E2">
        <w:t xml:space="preserve"> if a location is deemed attractive for cost, quality</w:t>
      </w:r>
      <w:r w:rsidR="003062E0">
        <w:t>, reliability</w:t>
      </w:r>
      <w:r w:rsidR="00C3052C" w:rsidRPr="00FB78E2">
        <w:t xml:space="preserve"> or market-driven reasons</w:t>
      </w:r>
      <w:r w:rsidR="00312E4C">
        <w:t xml:space="preserve"> as well as demand</w:t>
      </w:r>
      <w:r w:rsidR="00C3052C" w:rsidRPr="00FB78E2">
        <w:t xml:space="preserve">, lack of </w:t>
      </w:r>
      <w:r w:rsidR="00C3052C" w:rsidRPr="00FB78E2">
        <w:lastRenderedPageBreak/>
        <w:t>internal capabilities or resources to exploit these conditions may nullify its attractiveness.</w:t>
      </w:r>
      <w:r w:rsidR="00C3052C">
        <w:rPr>
          <w:rStyle w:val="Odwoanieprzypisudolnego"/>
        </w:rPr>
        <w:footnoteReference w:id="128"/>
      </w:r>
      <w:r w:rsidR="00D84E5F">
        <w:t xml:space="preserve"> This inevitably means there is considerable inertia</w:t>
      </w:r>
      <w:r w:rsidR="002B65C9">
        <w:t>,</w:t>
      </w:r>
      <w:r w:rsidR="00D84E5F">
        <w:t xml:space="preserve"> and moving away from a</w:t>
      </w:r>
      <w:r w:rsidR="002200F9">
        <w:t>n</w:t>
      </w:r>
      <w:r w:rsidR="00D84E5F">
        <w:t xml:space="preserve"> existing location of </w:t>
      </w:r>
      <w:r w:rsidR="00364A76">
        <w:t>manufacturing</w:t>
      </w:r>
      <w:r w:rsidR="00D84E5F">
        <w:t xml:space="preserve"> needs to be justified.</w:t>
      </w:r>
      <w:r w:rsidR="00371A50">
        <w:t xml:space="preserve"> Often the decision to </w:t>
      </w:r>
      <w:r w:rsidR="00401920">
        <w:t>move away i</w:t>
      </w:r>
      <w:r w:rsidR="001A2AEC">
        <w:t xml:space="preserve">s attributable to </w:t>
      </w:r>
      <w:r w:rsidR="0090485B">
        <w:t>long-</w:t>
      </w:r>
      <w:r w:rsidR="003062E0">
        <w:t xml:space="preserve">term </w:t>
      </w:r>
      <w:r w:rsidR="001A2AEC">
        <w:t>negative drivers a</w:t>
      </w:r>
      <w:r w:rsidR="007F459E">
        <w:t>way from</w:t>
      </w:r>
      <w:r w:rsidR="001A2AEC">
        <w:t xml:space="preserve"> the existing site (such as trade barriers</w:t>
      </w:r>
      <w:r w:rsidR="003062E0">
        <w:t xml:space="preserve">, </w:t>
      </w:r>
      <w:r w:rsidR="002F5FBB">
        <w:t xml:space="preserve">and </w:t>
      </w:r>
      <w:r w:rsidR="003062E0">
        <w:t>inflexibility to expand locally</w:t>
      </w:r>
      <w:r w:rsidR="001A2AEC">
        <w:t xml:space="preserve">) rather than </w:t>
      </w:r>
      <w:r w:rsidR="00EE50C8">
        <w:t xml:space="preserve">positive drivers </w:t>
      </w:r>
      <w:r w:rsidR="00775CE1">
        <w:t xml:space="preserve">associated with </w:t>
      </w:r>
      <w:r w:rsidR="00AB6D17">
        <w:t xml:space="preserve">a new </w:t>
      </w:r>
      <w:r w:rsidR="007F459E">
        <w:t>potential</w:t>
      </w:r>
      <w:r w:rsidR="00AB6D17">
        <w:t xml:space="preserve"> site</w:t>
      </w:r>
      <w:r w:rsidR="007F459E">
        <w:t xml:space="preserve"> (such as lower labour costs)</w:t>
      </w:r>
      <w:r w:rsidR="00AB6D17">
        <w:t>.</w:t>
      </w:r>
      <w:r w:rsidR="00AB6D17">
        <w:rPr>
          <w:rStyle w:val="Odwoanieprzypisudolnego"/>
        </w:rPr>
        <w:footnoteReference w:id="129"/>
      </w:r>
    </w:p>
    <w:p w14:paraId="722D3BE4" w14:textId="6AA99AE3" w:rsidR="003062E0" w:rsidRDefault="00AB2BD2" w:rsidP="005E0AFD">
      <w:pPr>
        <w:pStyle w:val="Tekstpodstawowy"/>
      </w:pPr>
      <w:r>
        <w:t>Looking at the external environment, t</w:t>
      </w:r>
      <w:r w:rsidR="005E0AFD" w:rsidRPr="005E0AFD">
        <w:t xml:space="preserve">he consensus in the literature is that </w:t>
      </w:r>
      <w:r w:rsidR="002920FC">
        <w:t xml:space="preserve">the overall </w:t>
      </w:r>
      <w:r w:rsidR="005E0AFD" w:rsidRPr="005E0AFD">
        <w:t xml:space="preserve">cost </w:t>
      </w:r>
      <w:r w:rsidR="00E321D8">
        <w:t>plays a bigger role</w:t>
      </w:r>
      <w:r w:rsidR="009818E5">
        <w:t xml:space="preserve"> for commercial manufacturing</w:t>
      </w:r>
      <w:r w:rsidR="003062E0">
        <w:t xml:space="preserve"> than for manufacturing of IMPs</w:t>
      </w:r>
      <w:r w:rsidR="005E0AFD">
        <w:t xml:space="preserve">. </w:t>
      </w:r>
      <w:r w:rsidR="00C70483">
        <w:t xml:space="preserve">This </w:t>
      </w:r>
      <w:r w:rsidR="00CD0E49">
        <w:t>was corroborated by our interview programme.</w:t>
      </w:r>
    </w:p>
    <w:p w14:paraId="3417B0DC" w14:textId="74AA3365" w:rsidR="002E65AD" w:rsidRDefault="005E0AFD" w:rsidP="005E0AFD">
      <w:pPr>
        <w:pStyle w:val="Tekstpodstawowy"/>
      </w:pPr>
      <w:r w:rsidRPr="005E0AFD">
        <w:t xml:space="preserve">Literature from the 1990s onwards </w:t>
      </w:r>
      <w:r w:rsidR="00E321D8">
        <w:t xml:space="preserve">also </w:t>
      </w:r>
      <w:r w:rsidRPr="005E0AFD">
        <w:t xml:space="preserve">emphasises that taxation is </w:t>
      </w:r>
      <w:r w:rsidR="00D84E5F">
        <w:t>a</w:t>
      </w:r>
      <w:r w:rsidRPr="005E0AFD">
        <w:t xml:space="preserve"> critical cost factor</w:t>
      </w:r>
      <w:r w:rsidR="00033A89">
        <w:t xml:space="preserve"> for manufacturing investments</w:t>
      </w:r>
      <w:r w:rsidRPr="005E0AFD">
        <w:t xml:space="preserve">; from </w:t>
      </w:r>
      <w:r w:rsidR="002B65C9">
        <w:t xml:space="preserve">both </w:t>
      </w:r>
      <w:r w:rsidRPr="005E0AFD">
        <w:t xml:space="preserve">statistical analysis and qualitative interviews, </w:t>
      </w:r>
      <w:r w:rsidR="005F6CDB">
        <w:t>it is clear</w:t>
      </w:r>
      <w:r w:rsidR="002B65C9">
        <w:t xml:space="preserve"> that </w:t>
      </w:r>
      <w:r w:rsidRPr="005E0AFD">
        <w:t>high tax rates act as a major deterrent for manufacturing investments.</w:t>
      </w:r>
      <w:bookmarkStart w:id="128" w:name="_Ref110020132"/>
      <w:r w:rsidR="00DF1C08">
        <w:rPr>
          <w:rStyle w:val="Odwoanieprzypisudolnego"/>
        </w:rPr>
        <w:footnoteReference w:id="130"/>
      </w:r>
      <w:bookmarkEnd w:id="128"/>
      <w:r w:rsidR="006A701F" w:rsidRPr="00E321D8">
        <w:rPr>
          <w:vertAlign w:val="superscript"/>
        </w:rPr>
        <w:t>,</w:t>
      </w:r>
      <w:r w:rsidR="006A701F">
        <w:rPr>
          <w:rStyle w:val="Odwoanieprzypisudolnego"/>
        </w:rPr>
        <w:footnoteReference w:id="131"/>
      </w:r>
      <w:r>
        <w:t xml:space="preserve"> </w:t>
      </w:r>
      <w:r w:rsidR="002B65C9">
        <w:t>Typically r</w:t>
      </w:r>
      <w:r w:rsidRPr="005E0AFD">
        <w:t>anking second is labour flexibility</w:t>
      </w:r>
      <w:r w:rsidR="009C23D5">
        <w:t>,</w:t>
      </w:r>
      <w:r w:rsidRPr="005E0AFD">
        <w:t xml:space="preserve"> which allows companies to </w:t>
      </w:r>
      <w:r w:rsidR="00D86EF7">
        <w:t xml:space="preserve">move </w:t>
      </w:r>
      <w:r w:rsidRPr="005E0AFD">
        <w:t>more easily to new activities</w:t>
      </w:r>
      <w:r w:rsidR="00015358">
        <w:t>, and is viewed as more important than the cost of labour</w:t>
      </w:r>
      <w:r w:rsidR="00323CDF">
        <w:t xml:space="preserve"> itself</w:t>
      </w:r>
      <w:r w:rsidRPr="005E0AFD">
        <w:t>.</w:t>
      </w:r>
      <w:r w:rsidR="00A96BB9" w:rsidRPr="003162CE">
        <w:rPr>
          <w:rStyle w:val="Odwoanieprzypisudolnego"/>
        </w:rPr>
        <w:fldChar w:fldCharType="begin"/>
      </w:r>
      <w:r w:rsidR="00A96BB9" w:rsidRPr="003162CE">
        <w:rPr>
          <w:rStyle w:val="Odwoanieprzypisudolnego"/>
        </w:rPr>
        <w:instrText xml:space="preserve"> NOTEREF _Ref110020132 \h </w:instrText>
      </w:r>
      <w:r w:rsidR="00A96BB9">
        <w:rPr>
          <w:rStyle w:val="Odwoanieprzypisudolnego"/>
        </w:rPr>
        <w:instrText xml:space="preserve"> \* MERGEFORMAT </w:instrText>
      </w:r>
      <w:r w:rsidR="00A96BB9" w:rsidRPr="003162CE">
        <w:rPr>
          <w:rStyle w:val="Odwoanieprzypisudolnego"/>
        </w:rPr>
      </w:r>
      <w:r w:rsidR="00A96BB9" w:rsidRPr="003162CE">
        <w:rPr>
          <w:rStyle w:val="Odwoanieprzypisudolnego"/>
        </w:rPr>
        <w:fldChar w:fldCharType="separate"/>
      </w:r>
      <w:r w:rsidR="00FC328D">
        <w:rPr>
          <w:rStyle w:val="Odwoanieprzypisudolnego"/>
        </w:rPr>
        <w:t>128</w:t>
      </w:r>
      <w:r w:rsidR="00A96BB9" w:rsidRPr="003162CE">
        <w:rPr>
          <w:rStyle w:val="Odwoanieprzypisudolnego"/>
        </w:rPr>
        <w:fldChar w:fldCharType="end"/>
      </w:r>
      <w:r w:rsidRPr="005E0AFD">
        <w:t xml:space="preserve"> As a stand</w:t>
      </w:r>
      <w:r w:rsidR="002B65C9">
        <w:t>-</w:t>
      </w:r>
      <w:r w:rsidRPr="005E0AFD">
        <w:t>alone metric, some modelling has suggested labour cost does not significantly impact manufacturing location choice</w:t>
      </w:r>
      <w:r w:rsidR="002920FC">
        <w:t xml:space="preserve"> as it can be balanced with productivity</w:t>
      </w:r>
      <w:r w:rsidRPr="005E0AFD">
        <w:t>.</w:t>
      </w:r>
      <w:r w:rsidR="00BE02D1">
        <w:rPr>
          <w:rStyle w:val="Odwoanieprzypisudolnego"/>
        </w:rPr>
        <w:footnoteReference w:id="132"/>
      </w:r>
      <w:r>
        <w:t xml:space="preserve"> </w:t>
      </w:r>
      <w:r w:rsidR="004727DC">
        <w:t xml:space="preserve">Transport costs are </w:t>
      </w:r>
      <w:r w:rsidR="00EB050A">
        <w:t>less important s</w:t>
      </w:r>
      <w:r w:rsidR="00A87AED">
        <w:t>t</w:t>
      </w:r>
      <w:r w:rsidR="00EB050A">
        <w:t xml:space="preserve">ill, as they </w:t>
      </w:r>
      <w:r w:rsidR="00A87AED">
        <w:t xml:space="preserve">generally </w:t>
      </w:r>
      <w:r w:rsidR="00EB050A">
        <w:t>account for a s</w:t>
      </w:r>
      <w:r w:rsidR="00213F62">
        <w:t xml:space="preserve">mall proportion of the overall cost of </w:t>
      </w:r>
      <w:r w:rsidR="00A87AED">
        <w:t>production</w:t>
      </w:r>
      <w:r w:rsidR="008B1F40">
        <w:t>.</w:t>
      </w:r>
      <w:r w:rsidR="00082FE2">
        <w:t xml:space="preserve"> </w:t>
      </w:r>
      <w:r w:rsidR="008B1F40">
        <w:t>However,</w:t>
      </w:r>
      <w:r w:rsidR="00082FE2">
        <w:t xml:space="preserve"> </w:t>
      </w:r>
      <w:r w:rsidR="008B1F40">
        <w:t>t</w:t>
      </w:r>
      <w:r w:rsidR="003062E0">
        <w:t xml:space="preserve">his may change in the future. </w:t>
      </w:r>
      <w:r w:rsidR="005422CB">
        <w:t>Cost</w:t>
      </w:r>
      <w:r w:rsidR="0045347A">
        <w:t xml:space="preserve"> factors are </w:t>
      </w:r>
      <w:r w:rsidR="00FF48DE">
        <w:t>collectively</w:t>
      </w:r>
      <w:r w:rsidR="005422CB">
        <w:t xml:space="preserve"> </w:t>
      </w:r>
      <w:r w:rsidR="0045347A">
        <w:t xml:space="preserve">considered </w:t>
      </w:r>
      <w:r w:rsidR="005422CB">
        <w:t xml:space="preserve">more critical </w:t>
      </w:r>
      <w:r w:rsidR="00F91FF7">
        <w:t xml:space="preserve">by our interviewees </w:t>
      </w:r>
      <w:r w:rsidR="005422CB">
        <w:t xml:space="preserve">for </w:t>
      </w:r>
      <w:r w:rsidR="00FF48DE">
        <w:t xml:space="preserve">large-scale </w:t>
      </w:r>
      <w:r w:rsidR="005422CB">
        <w:t xml:space="preserve">commercial manufacturing </w:t>
      </w:r>
      <w:r w:rsidR="003062E0">
        <w:t xml:space="preserve">with </w:t>
      </w:r>
      <w:r w:rsidR="00C6286D">
        <w:t xml:space="preserve">evolving </w:t>
      </w:r>
      <w:r w:rsidR="003062E0">
        <w:t xml:space="preserve">demands </w:t>
      </w:r>
      <w:r w:rsidR="005422CB">
        <w:t xml:space="preserve">than for </w:t>
      </w:r>
      <w:r w:rsidR="003062E0">
        <w:t>small</w:t>
      </w:r>
      <w:r w:rsidR="0069154A">
        <w:t>-</w:t>
      </w:r>
      <w:r w:rsidR="003062E0">
        <w:t xml:space="preserve">scale </w:t>
      </w:r>
      <w:r w:rsidR="005422CB">
        <w:t>IMP manufacturing</w:t>
      </w:r>
      <w:r w:rsidR="00F91FF7">
        <w:t xml:space="preserve">. </w:t>
      </w:r>
    </w:p>
    <w:p w14:paraId="4BAA3588" w14:textId="437CF44D" w:rsidR="00F03F18" w:rsidRPr="004E31D0" w:rsidRDefault="00F03F18" w:rsidP="00F03F18">
      <w:pPr>
        <w:pStyle w:val="Tekstpodstawowy"/>
        <w:rPr>
          <w:strike/>
        </w:rPr>
      </w:pPr>
      <w:r w:rsidRPr="004E31D0">
        <w:t>For commercial manufacturing, it is still seen as imperative that locations meet quality levels, mainly in terms of availability of a skilled workforce, compliance with international</w:t>
      </w:r>
      <w:r w:rsidR="00C6286D">
        <w:t>ly</w:t>
      </w:r>
      <w:r w:rsidRPr="004E31D0">
        <w:t xml:space="preserve"> </w:t>
      </w:r>
      <w:r w:rsidR="00612018">
        <w:t xml:space="preserve">recognised </w:t>
      </w:r>
      <w:r w:rsidRPr="004E31D0">
        <w:t>regulatory standards (such as good manufacturing practices and inspections) and infrastructure (such as reliable power and water supply, and access to support services).</w:t>
      </w:r>
      <w:r w:rsidRPr="004E31D0">
        <w:rPr>
          <w:rStyle w:val="Odwoanieprzypisudolnego"/>
        </w:rPr>
        <w:fldChar w:fldCharType="begin"/>
      </w:r>
      <w:r w:rsidRPr="004E31D0">
        <w:rPr>
          <w:rStyle w:val="Odwoanieprzypisudolnego"/>
        </w:rPr>
        <w:instrText xml:space="preserve"> NOTEREF _Ref110020132 \h  \* MERGEFORMAT </w:instrText>
      </w:r>
      <w:r w:rsidRPr="004E31D0">
        <w:rPr>
          <w:rStyle w:val="Odwoanieprzypisudolnego"/>
        </w:rPr>
      </w:r>
      <w:r w:rsidR="000F0501">
        <w:rPr>
          <w:rStyle w:val="Odwoanieprzypisudolnego"/>
        </w:rPr>
        <w:fldChar w:fldCharType="separate"/>
      </w:r>
      <w:r w:rsidRPr="004E31D0">
        <w:rPr>
          <w:rStyle w:val="Odwoanieprzypisudolnego"/>
        </w:rPr>
        <w:fldChar w:fldCharType="end"/>
      </w:r>
      <w:r w:rsidRPr="004E31D0">
        <w:rPr>
          <w:rStyle w:val="Odwoanieprzypisudolnego"/>
        </w:rPr>
        <w:footnoteReference w:id="133"/>
      </w:r>
      <w:r w:rsidRPr="004E31D0">
        <w:t xml:space="preserve"> </w:t>
      </w:r>
    </w:p>
    <w:p w14:paraId="559CFCF8" w14:textId="40829537" w:rsidR="00BB296C" w:rsidRDefault="00451F95" w:rsidP="005E0AFD">
      <w:pPr>
        <w:pStyle w:val="Tekstpodstawowy"/>
      </w:pPr>
      <w:r>
        <w:t>For IMP manufacturing, the need</w:t>
      </w:r>
      <w:r w:rsidR="0010691B">
        <w:t xml:space="preserve"> for high quality</w:t>
      </w:r>
      <w:r w:rsidR="00696F0F">
        <w:t xml:space="preserve"> </w:t>
      </w:r>
      <w:r w:rsidR="00612018">
        <w:t>and efficient</w:t>
      </w:r>
      <w:r w:rsidR="00696F0F">
        <w:t xml:space="preserve"> processes</w:t>
      </w:r>
      <w:r w:rsidR="0010691B">
        <w:t xml:space="preserve"> </w:t>
      </w:r>
      <w:r w:rsidR="00696F0F">
        <w:t>that allow fast</w:t>
      </w:r>
      <w:r w:rsidR="0010691B">
        <w:t xml:space="preserve"> speed to market </w:t>
      </w:r>
      <w:r w:rsidR="002B65C9">
        <w:t xml:space="preserve">largely </w:t>
      </w:r>
      <w:r w:rsidR="0010691B">
        <w:t>dominate</w:t>
      </w:r>
      <w:r w:rsidR="00E3694E">
        <w:t>s</w:t>
      </w:r>
      <w:r w:rsidR="0010691B">
        <w:t xml:space="preserve"> over cost.</w:t>
      </w:r>
      <w:r w:rsidR="00B7278F">
        <w:t xml:space="preserve"> T</w:t>
      </w:r>
      <w:r w:rsidR="009F4187">
        <w:t>he key driver</w:t>
      </w:r>
      <w:r w:rsidR="00B7278F">
        <w:t>s</w:t>
      </w:r>
      <w:r w:rsidR="009F4187">
        <w:t xml:space="preserve"> </w:t>
      </w:r>
      <w:r w:rsidR="00C65981">
        <w:t xml:space="preserve">reported by our interviewees </w:t>
      </w:r>
      <w:r w:rsidR="00B7278F">
        <w:t>overlap more with research activities than with commercial manufacturing</w:t>
      </w:r>
      <w:r w:rsidR="009D734E">
        <w:t>, namely the need for access to highly qualified staff to drive process development.</w:t>
      </w:r>
      <w:r w:rsidR="0010691B">
        <w:rPr>
          <w:rStyle w:val="Odwoanieprzypisudolnego"/>
        </w:rPr>
        <w:footnoteReference w:id="134"/>
      </w:r>
      <w:r w:rsidR="00BF35DD">
        <w:t xml:space="preserve"> </w:t>
      </w:r>
      <w:r w:rsidR="00C6074C">
        <w:t>Th</w:t>
      </w:r>
      <w:r w:rsidR="008D0BCA">
        <w:t xml:space="preserve">e impact of </w:t>
      </w:r>
      <w:r w:rsidR="009D734E">
        <w:t>this</w:t>
      </w:r>
      <w:r w:rsidR="00C6074C">
        <w:t xml:space="preserve"> is </w:t>
      </w:r>
      <w:r w:rsidR="00C6074C">
        <w:lastRenderedPageBreak/>
        <w:t xml:space="preserve">evident from recent IMP manufacturing facilities </w:t>
      </w:r>
      <w:r w:rsidR="006461B5">
        <w:t xml:space="preserve">established by major pharmaceutical companies, which tend to locate in areas of </w:t>
      </w:r>
      <w:r w:rsidR="009F5753">
        <w:t>concentrated academic expertise</w:t>
      </w:r>
      <w:r w:rsidR="004E2046">
        <w:t xml:space="preserve"> (</w:t>
      </w:r>
      <w:r w:rsidR="004A106C" w:rsidRPr="000A2E03">
        <w:fldChar w:fldCharType="begin"/>
      </w:r>
      <w:r w:rsidR="004A106C">
        <w:instrText xml:space="preserve"> REF _Ref110025882 \h </w:instrText>
      </w:r>
      <w:r w:rsidR="004A106C" w:rsidRPr="000A2E03">
        <w:fldChar w:fldCharType="separate"/>
      </w:r>
      <w:r w:rsidR="007639A3">
        <w:t xml:space="preserve">Box </w:t>
      </w:r>
      <w:r w:rsidR="007639A3">
        <w:rPr>
          <w:noProof/>
        </w:rPr>
        <w:t>4</w:t>
      </w:r>
      <w:r w:rsidR="004A106C" w:rsidRPr="000A2E03">
        <w:fldChar w:fldCharType="end"/>
      </w:r>
      <w:r w:rsidR="00A83AB0">
        <w:t>).</w:t>
      </w:r>
    </w:p>
    <w:p w14:paraId="155FB632" w14:textId="317A474F" w:rsidR="004E2046" w:rsidRDefault="004E2046" w:rsidP="00D77122">
      <w:pPr>
        <w:pStyle w:val="Legenda"/>
      </w:pPr>
      <w:bookmarkStart w:id="129" w:name="_Ref110025882"/>
      <w:r>
        <w:t xml:space="preserve">Box </w:t>
      </w:r>
      <w:r>
        <w:fldChar w:fldCharType="begin"/>
      </w:r>
      <w:r>
        <w:instrText xml:space="preserve"> SEQ Box \* ARABIC </w:instrText>
      </w:r>
      <w:r>
        <w:fldChar w:fldCharType="separate"/>
      </w:r>
      <w:r w:rsidR="002D7E04">
        <w:rPr>
          <w:noProof/>
        </w:rPr>
        <w:t>4</w:t>
      </w:r>
      <w:r>
        <w:fldChar w:fldCharType="end"/>
      </w:r>
      <w:bookmarkEnd w:id="129"/>
      <w:r>
        <w:t xml:space="preserve">: </w:t>
      </w:r>
      <w:r w:rsidR="004A106C">
        <w:t xml:space="preserve">Case study | </w:t>
      </w:r>
      <w:r w:rsidR="001928CF">
        <w:t>I</w:t>
      </w:r>
      <w:r>
        <w:t>nvestment to bridge development and manufacturing for clinical trials</w:t>
      </w:r>
    </w:p>
    <w:tbl>
      <w:tblPr>
        <w:tblStyle w:val="Tabela-Siatka"/>
        <w:tblW w:w="0" w:type="auto"/>
        <w:tblBorders>
          <w:top w:val="single" w:sz="12" w:space="0" w:color="C0C0C0" w:themeColor="text2"/>
          <w:left w:val="single" w:sz="12" w:space="0" w:color="C0C0C0" w:themeColor="text2"/>
          <w:bottom w:val="single" w:sz="12" w:space="0" w:color="C0C0C0" w:themeColor="text2"/>
          <w:right w:val="single" w:sz="12" w:space="0" w:color="C0C0C0" w:themeColor="text2"/>
          <w:insideH w:val="none" w:sz="0" w:space="0" w:color="auto"/>
          <w:insideV w:val="none" w:sz="0" w:space="0" w:color="auto"/>
        </w:tblBorders>
        <w:shd w:val="clear" w:color="auto" w:fill="EBF4FB" w:themeFill="accent2" w:themeFillTint="33"/>
        <w:tblLook w:val="04A0" w:firstRow="1" w:lastRow="0" w:firstColumn="1" w:lastColumn="0" w:noHBand="0" w:noVBand="1"/>
      </w:tblPr>
      <w:tblGrid>
        <w:gridCol w:w="7920"/>
      </w:tblGrid>
      <w:tr w:rsidR="004E2046" w14:paraId="6893A8BD" w14:textId="77777777" w:rsidTr="00E82096">
        <w:tc>
          <w:tcPr>
            <w:tcW w:w="7920" w:type="dxa"/>
            <w:shd w:val="clear" w:color="auto" w:fill="EBF4FB" w:themeFill="accent2" w:themeFillTint="33"/>
          </w:tcPr>
          <w:p w14:paraId="26FE39EC" w14:textId="400A4405" w:rsidR="001F2F0A" w:rsidRDefault="001F2F0A" w:rsidP="00D77122">
            <w:pPr>
              <w:pStyle w:val="Tekstpodstawowy"/>
              <w:spacing w:before="60" w:after="60" w:line="264" w:lineRule="auto"/>
            </w:pPr>
            <w:r w:rsidRPr="001F2F0A">
              <w:t>In 2020, Merck</w:t>
            </w:r>
            <w:r w:rsidR="00E06762">
              <w:t xml:space="preserve"> </w:t>
            </w:r>
            <w:proofErr w:type="spellStart"/>
            <w:r w:rsidR="00E06762">
              <w:t>KGaA</w:t>
            </w:r>
            <w:proofErr w:type="spellEnd"/>
            <w:r w:rsidRPr="001F2F0A">
              <w:t xml:space="preserve"> announced a €250</w:t>
            </w:r>
            <w:r w:rsidR="00F22571">
              <w:t xml:space="preserve"> </w:t>
            </w:r>
            <w:r w:rsidRPr="001F2F0A">
              <w:t>m</w:t>
            </w:r>
            <w:r w:rsidR="00F22571">
              <w:t>illion</w:t>
            </w:r>
            <w:r w:rsidRPr="001F2F0A">
              <w:t xml:space="preserve"> investment </w:t>
            </w:r>
            <w:r>
              <w:t>in</w:t>
            </w:r>
            <w:r w:rsidR="00B87209" w:rsidRPr="00B87209">
              <w:t xml:space="preserve"> Switzerland</w:t>
            </w:r>
            <w:r w:rsidR="00B87209">
              <w:t xml:space="preserve">, </w:t>
            </w:r>
            <w:r w:rsidRPr="001F2F0A">
              <w:t>aiming to bridge biotech development and manufacturing for clinical trials</w:t>
            </w:r>
            <w:r w:rsidR="00B87209">
              <w:t xml:space="preserve"> in order to support growth and progression of Merck’s </w:t>
            </w:r>
            <w:r w:rsidR="00A83AB0">
              <w:t>biologic pipeline</w:t>
            </w:r>
            <w:r w:rsidR="004F08ED">
              <w:t xml:space="preserve"> and get </w:t>
            </w:r>
            <w:r w:rsidR="003E268B">
              <w:t>medicines to patients earlier</w:t>
            </w:r>
            <w:r w:rsidR="00B87209">
              <w:t>.</w:t>
            </w:r>
            <w:r w:rsidR="00A83AB0">
              <w:rPr>
                <w:rStyle w:val="Odwoanieprzypisudolnego"/>
              </w:rPr>
              <w:footnoteReference w:id="135"/>
            </w:r>
            <w:r w:rsidR="00A83AB0">
              <w:t xml:space="preserve"> </w:t>
            </w:r>
            <w:r w:rsidR="006240CA">
              <w:t>Particularly for biologics, which are more complex to produce than small molecules, t</w:t>
            </w:r>
            <w:r w:rsidR="003E268B">
              <w:t xml:space="preserve">his </w:t>
            </w:r>
            <w:r w:rsidR="00B723DD">
              <w:t xml:space="preserve">choice of location enables the </w:t>
            </w:r>
            <w:r w:rsidR="006240CA">
              <w:t>facility</w:t>
            </w:r>
            <w:r w:rsidR="00B723DD">
              <w:t xml:space="preserve"> to access </w:t>
            </w:r>
            <w:r w:rsidR="00490E1E">
              <w:t>high</w:t>
            </w:r>
            <w:r w:rsidR="00EA0974">
              <w:t>-</w:t>
            </w:r>
            <w:r w:rsidR="00490E1E">
              <w:t>quality staff in two ways:</w:t>
            </w:r>
          </w:p>
          <w:p w14:paraId="4B9C405E" w14:textId="14645737" w:rsidR="004E2046" w:rsidRDefault="00490E1E" w:rsidP="000A2E03">
            <w:pPr>
              <w:pStyle w:val="Tekstpodstawowy"/>
              <w:numPr>
                <w:ilvl w:val="0"/>
                <w:numId w:val="162"/>
              </w:numPr>
              <w:spacing w:before="60" w:after="60" w:line="264" w:lineRule="auto"/>
            </w:pPr>
            <w:r>
              <w:t xml:space="preserve">Close proximity to Merck’s </w:t>
            </w:r>
            <w:r w:rsidR="00797607" w:rsidRPr="00797607">
              <w:t xml:space="preserve">existing manufacturing site in </w:t>
            </w:r>
            <w:proofErr w:type="spellStart"/>
            <w:r w:rsidR="00797607" w:rsidRPr="00797607">
              <w:t>Corsier</w:t>
            </w:r>
            <w:proofErr w:type="spellEnd"/>
            <w:r w:rsidR="00797607" w:rsidRPr="00797607">
              <w:t>-sur-Vevey, Switzerland</w:t>
            </w:r>
            <w:r w:rsidR="006240CA">
              <w:t xml:space="preserve">. This allows ease of transfer of </w:t>
            </w:r>
            <w:r w:rsidR="00FA27D9">
              <w:t xml:space="preserve">internal </w:t>
            </w:r>
            <w:r w:rsidR="006240CA">
              <w:t>knowledge and expertise.</w:t>
            </w:r>
          </w:p>
          <w:p w14:paraId="57E4335F" w14:textId="5CC98CDA" w:rsidR="0076767B" w:rsidRDefault="0076767B" w:rsidP="000A2E03">
            <w:pPr>
              <w:pStyle w:val="Tekstpodstawowy"/>
              <w:numPr>
                <w:ilvl w:val="0"/>
                <w:numId w:val="162"/>
              </w:numPr>
              <w:spacing w:before="60" w:after="60" w:line="264" w:lineRule="auto"/>
            </w:pPr>
            <w:r>
              <w:t xml:space="preserve">Switzerland </w:t>
            </w:r>
            <w:r w:rsidR="00C943DA">
              <w:t xml:space="preserve">is perceived to have </w:t>
            </w:r>
            <w:r w:rsidR="0015331B">
              <w:t>high-</w:t>
            </w:r>
            <w:r w:rsidR="007A6D00">
              <w:t xml:space="preserve">quality infrastructure for </w:t>
            </w:r>
            <w:r w:rsidR="00A51891">
              <w:t xml:space="preserve">complex </w:t>
            </w:r>
            <w:r w:rsidR="00483C90">
              <w:t>manufacturing and</w:t>
            </w:r>
            <w:r w:rsidR="00AC307E">
              <w:t xml:space="preserve"> is globally renowned in life sciences</w:t>
            </w:r>
            <w:r w:rsidR="00483C90">
              <w:t>,</w:t>
            </w:r>
            <w:r w:rsidR="008E38E6">
              <w:t xml:space="preserve"> with over 45,000 </w:t>
            </w:r>
            <w:r w:rsidR="00643E64">
              <w:t>life sciences employees in the country</w:t>
            </w:r>
            <w:r w:rsidR="00A51891">
              <w:t>.</w:t>
            </w:r>
            <w:r w:rsidR="00643E64">
              <w:rPr>
                <w:rStyle w:val="Odwoanieprzypisudolnego"/>
              </w:rPr>
              <w:footnoteReference w:id="136"/>
            </w:r>
            <w:r w:rsidR="005A5C60">
              <w:t xml:space="preserve"> Switzerland was also ranked </w:t>
            </w:r>
            <w:r w:rsidR="002A5EBE">
              <w:t>first in the Global Talent Competitiveness Index (GTCI) in 2020</w:t>
            </w:r>
            <w:r w:rsidR="007C6B8E">
              <w:t>, demonstrating its strong talent base.</w:t>
            </w:r>
            <w:r w:rsidR="00521B20">
              <w:rPr>
                <w:rStyle w:val="Odwoanieprzypisudolnego"/>
              </w:rPr>
              <w:footnoteReference w:id="137"/>
            </w:r>
          </w:p>
        </w:tc>
      </w:tr>
    </w:tbl>
    <w:p w14:paraId="3E761986" w14:textId="22E2480E" w:rsidR="00A43CA6" w:rsidRDefault="00E3742B" w:rsidP="00FD1733">
      <w:pPr>
        <w:pStyle w:val="Tekstpodstawowy"/>
      </w:pPr>
      <w:r w:rsidRPr="00E478F3">
        <w:t xml:space="preserve">The importance of tax rates, </w:t>
      </w:r>
      <w:r w:rsidR="0073479B" w:rsidRPr="00E478F3">
        <w:t>labour skill</w:t>
      </w:r>
      <w:r w:rsidR="00972FF0">
        <w:t>,</w:t>
      </w:r>
      <w:r w:rsidR="0073479B" w:rsidRPr="00E478F3">
        <w:t xml:space="preserve"> regulations and </w:t>
      </w:r>
      <w:r w:rsidR="005D3593" w:rsidRPr="00E478F3">
        <w:t xml:space="preserve">quality </w:t>
      </w:r>
      <w:r w:rsidR="0073479B" w:rsidRPr="00E478F3">
        <w:t xml:space="preserve">infrastructure </w:t>
      </w:r>
      <w:r w:rsidR="00FD1733" w:rsidRPr="00E478F3">
        <w:t xml:space="preserve">can explain </w:t>
      </w:r>
      <w:r w:rsidR="0089766A" w:rsidRPr="00E478F3">
        <w:t xml:space="preserve">the </w:t>
      </w:r>
      <w:r w:rsidR="00FD1733" w:rsidRPr="00E478F3">
        <w:t xml:space="preserve">development </w:t>
      </w:r>
      <w:r w:rsidR="0089766A" w:rsidRPr="00E478F3">
        <w:t xml:space="preserve">of clusters where many companies have located manufacturing activities. </w:t>
      </w:r>
      <w:r w:rsidR="00890909" w:rsidRPr="00E478F3">
        <w:t xml:space="preserve">In </w:t>
      </w:r>
      <w:r w:rsidR="00A41FF5" w:rsidRPr="00E478F3">
        <w:t xml:space="preserve">Ireland, for example, </w:t>
      </w:r>
      <w:r w:rsidR="00890909" w:rsidRPr="00E478F3">
        <w:t>despite</w:t>
      </w:r>
      <w:r w:rsidR="007302DC" w:rsidRPr="00E478F3">
        <w:t xml:space="preserve"> being one of the smallest countries in the EU by </w:t>
      </w:r>
      <w:r w:rsidR="005D3593" w:rsidRPr="00E478F3">
        <w:t>geographic</w:t>
      </w:r>
      <w:r w:rsidR="007302DC" w:rsidRPr="00E478F3">
        <w:t xml:space="preserve"> are</w:t>
      </w:r>
      <w:r w:rsidR="005D3593" w:rsidRPr="00E478F3">
        <w:t>a</w:t>
      </w:r>
      <w:r w:rsidR="005B4E24" w:rsidRPr="00E478F3">
        <w:t xml:space="preserve">, </w:t>
      </w:r>
      <w:r w:rsidR="00CE00DA" w:rsidRPr="00E478F3">
        <w:t>all</w:t>
      </w:r>
      <w:r w:rsidR="00B8197F" w:rsidRPr="00E478F3">
        <w:t xml:space="preserve"> </w:t>
      </w:r>
      <w:r w:rsidR="00741F9D">
        <w:t xml:space="preserve">of </w:t>
      </w:r>
      <w:r w:rsidR="00B8197F" w:rsidRPr="00E478F3">
        <w:t xml:space="preserve">the world’s top </w:t>
      </w:r>
      <w:r w:rsidR="00741F9D">
        <w:t xml:space="preserve">10 </w:t>
      </w:r>
      <w:r w:rsidR="00B8197F" w:rsidRPr="00E478F3">
        <w:t>pharmaceutical companies have operations</w:t>
      </w:r>
      <w:r w:rsidR="001B24D1" w:rsidRPr="000A2E03">
        <w:t>,</w:t>
      </w:r>
      <w:r w:rsidR="00B8197F" w:rsidRPr="00E478F3">
        <w:t xml:space="preserve"> </w:t>
      </w:r>
      <w:r w:rsidR="005D3593" w:rsidRPr="00E478F3">
        <w:t xml:space="preserve">and </w:t>
      </w:r>
      <w:r w:rsidR="003D0E33" w:rsidRPr="00E478F3">
        <w:t>there are</w:t>
      </w:r>
      <w:r w:rsidR="005D3593" w:rsidRPr="00E478F3">
        <w:t xml:space="preserve"> 90 pharmaceutical and biopharmaceutical plants </w:t>
      </w:r>
      <w:r w:rsidR="003D0E33" w:rsidRPr="00E478F3">
        <w:t>throughout the country</w:t>
      </w:r>
      <w:r w:rsidR="000377A1" w:rsidRPr="00E478F3">
        <w:t>.</w:t>
      </w:r>
      <w:bookmarkStart w:id="130" w:name="_Ref106220717"/>
      <w:r w:rsidR="00CE00DA" w:rsidRPr="00E478F3">
        <w:rPr>
          <w:rStyle w:val="Odwoanieprzypisudolnego"/>
        </w:rPr>
        <w:footnoteReference w:id="138"/>
      </w:r>
      <w:bookmarkEnd w:id="130"/>
      <w:r w:rsidR="00890909" w:rsidRPr="00E478F3">
        <w:t xml:space="preserve"> </w:t>
      </w:r>
      <w:r w:rsidR="00F46561" w:rsidRPr="00E478F3">
        <w:rPr>
          <w:color w:val="000000" w:themeColor="text1"/>
        </w:rPr>
        <w:t>This is</w:t>
      </w:r>
      <w:r w:rsidR="00F46561" w:rsidRPr="00BA5113">
        <w:rPr>
          <w:color w:val="000000" w:themeColor="text1"/>
        </w:rPr>
        <w:t xml:space="preserve"> attributed </w:t>
      </w:r>
      <w:r w:rsidR="00741F9D">
        <w:rPr>
          <w:color w:val="000000" w:themeColor="text1"/>
        </w:rPr>
        <w:t>to</w:t>
      </w:r>
      <w:r w:rsidR="00F46561" w:rsidRPr="00BA5113">
        <w:rPr>
          <w:color w:val="000000" w:themeColor="text1"/>
        </w:rPr>
        <w:t xml:space="preserve"> </w:t>
      </w:r>
      <w:r w:rsidR="00BA5113">
        <w:rPr>
          <w:color w:val="000000" w:themeColor="text1"/>
        </w:rPr>
        <w:t xml:space="preserve">consistent </w:t>
      </w:r>
      <w:r w:rsidR="00F21A13" w:rsidRPr="00BA5113">
        <w:rPr>
          <w:color w:val="000000" w:themeColor="text1"/>
        </w:rPr>
        <w:t>low corporate taxation,</w:t>
      </w:r>
      <w:r w:rsidR="00B76843" w:rsidRPr="00BA5113">
        <w:rPr>
          <w:color w:val="000000" w:themeColor="text1"/>
        </w:rPr>
        <w:t xml:space="preserve"> low labour costs</w:t>
      </w:r>
      <w:r w:rsidR="00BA5113" w:rsidRPr="00BA5113">
        <w:rPr>
          <w:color w:val="000000" w:themeColor="text1"/>
        </w:rPr>
        <w:t xml:space="preserve"> and</w:t>
      </w:r>
      <w:r w:rsidR="00B76843" w:rsidRPr="00BA5113">
        <w:rPr>
          <w:color w:val="000000" w:themeColor="text1"/>
        </w:rPr>
        <w:t xml:space="preserve"> high workforce skills</w:t>
      </w:r>
      <w:r w:rsidR="00BA5113" w:rsidRPr="00BA5113">
        <w:rPr>
          <w:color w:val="000000" w:themeColor="text1"/>
        </w:rPr>
        <w:t>.</w:t>
      </w:r>
      <w:r w:rsidR="00BA5113">
        <w:rPr>
          <w:rStyle w:val="Odwoanieprzypisudolnego"/>
          <w:color w:val="000000" w:themeColor="text1"/>
        </w:rPr>
        <w:footnoteReference w:id="139"/>
      </w:r>
      <w:r w:rsidR="00FD1733">
        <w:rPr>
          <w:color w:val="000000" w:themeColor="text1"/>
        </w:rPr>
        <w:t xml:space="preserve"> Once established</w:t>
      </w:r>
      <w:r w:rsidR="00364822">
        <w:rPr>
          <w:color w:val="000000" w:themeColor="text1"/>
        </w:rPr>
        <w:t>,</w:t>
      </w:r>
      <w:r w:rsidR="00FD1733">
        <w:rPr>
          <w:color w:val="000000" w:themeColor="text1"/>
        </w:rPr>
        <w:t xml:space="preserve"> the benefits of a cluster become self-justifying.</w:t>
      </w:r>
      <w:r w:rsidR="002E754D">
        <w:t xml:space="preserve"> The benefits </w:t>
      </w:r>
      <w:r w:rsidR="0014155E">
        <w:t xml:space="preserve">to </w:t>
      </w:r>
      <w:r w:rsidR="002E754D">
        <w:t xml:space="preserve">a company in joining a cluster include the existing stock of </w:t>
      </w:r>
      <w:r w:rsidR="00217C02">
        <w:t xml:space="preserve">skilled staff and the </w:t>
      </w:r>
      <w:r w:rsidR="006337A2">
        <w:t>established</w:t>
      </w:r>
      <w:r w:rsidR="00217C02">
        <w:t xml:space="preserve"> infrastructure, such as</w:t>
      </w:r>
      <w:r w:rsidR="006337A2">
        <w:t xml:space="preserve"> availability of</w:t>
      </w:r>
      <w:r w:rsidR="00D270DE">
        <w:t xml:space="preserve"> manufacturing </w:t>
      </w:r>
      <w:r w:rsidR="00217C02">
        <w:t>support service firms</w:t>
      </w:r>
      <w:r w:rsidR="00E0449D">
        <w:t xml:space="preserve">. </w:t>
      </w:r>
      <w:r w:rsidR="00E0449D" w:rsidRPr="00E0449D">
        <w:t>Co-location with the chemical industry can offer efficiency benefits, as can co-location with the source of raw materials.</w:t>
      </w:r>
      <w:r w:rsidR="00E77AAA">
        <w:rPr>
          <w:rStyle w:val="Odwoanieprzypisudolnego"/>
        </w:rPr>
        <w:footnoteReference w:id="140"/>
      </w:r>
      <w:r w:rsidR="00E0449D">
        <w:t xml:space="preserve"> </w:t>
      </w:r>
      <w:r w:rsidR="002E754D">
        <w:t>This</w:t>
      </w:r>
      <w:r w:rsidR="0068071E">
        <w:t xml:space="preserve"> gravitational pull effect can be observed when</w:t>
      </w:r>
      <w:r w:rsidR="00BD4C5B">
        <w:t xml:space="preserve"> </w:t>
      </w:r>
      <w:r w:rsidR="006873A7">
        <w:t>clusters</w:t>
      </w:r>
      <w:r w:rsidR="00224DAA">
        <w:t>’</w:t>
      </w:r>
      <w:r w:rsidR="006873A7">
        <w:t xml:space="preserve"> attractive </w:t>
      </w:r>
      <w:r w:rsidR="006873A7">
        <w:lastRenderedPageBreak/>
        <w:t>conditions remain stable over time and companies continue to benefit from co-location; Ireland, for example,</w:t>
      </w:r>
      <w:r w:rsidR="00C639E7" w:rsidRPr="00CD00FF">
        <w:rPr>
          <w:color w:val="000000" w:themeColor="text1"/>
        </w:rPr>
        <w:t xml:space="preserve"> was home to only two biologics </w:t>
      </w:r>
      <w:r w:rsidR="00CD00FF" w:rsidRPr="00CD00FF">
        <w:rPr>
          <w:color w:val="000000" w:themeColor="text1"/>
        </w:rPr>
        <w:t>manufacturing sites in 2003, and by 2020 this had increased tenfold to 20 sites.</w:t>
      </w:r>
      <w:r w:rsidR="00CD00FF" w:rsidRPr="00CD00FF">
        <w:rPr>
          <w:rStyle w:val="Odwoanieprzypisudolnego"/>
        </w:rPr>
        <w:fldChar w:fldCharType="begin"/>
      </w:r>
      <w:r w:rsidR="00CD00FF" w:rsidRPr="00CD00FF">
        <w:rPr>
          <w:rStyle w:val="Odwoanieprzypisudolnego"/>
        </w:rPr>
        <w:instrText xml:space="preserve"> NOTEREF _Ref106220717 \h </w:instrText>
      </w:r>
      <w:r w:rsidR="00CD00FF">
        <w:rPr>
          <w:rStyle w:val="Odwoanieprzypisudolnego"/>
        </w:rPr>
        <w:instrText xml:space="preserve"> \* MERGEFORMAT </w:instrText>
      </w:r>
      <w:r w:rsidR="00CD00FF" w:rsidRPr="00CD00FF">
        <w:rPr>
          <w:rStyle w:val="Odwoanieprzypisudolnego"/>
        </w:rPr>
      </w:r>
      <w:r w:rsidR="00CD00FF" w:rsidRPr="00CD00FF">
        <w:rPr>
          <w:rStyle w:val="Odwoanieprzypisudolnego"/>
        </w:rPr>
        <w:fldChar w:fldCharType="separate"/>
      </w:r>
      <w:r w:rsidR="00E77AAA">
        <w:rPr>
          <w:rStyle w:val="Odwoanieprzypisudolnego"/>
        </w:rPr>
        <w:t>133</w:t>
      </w:r>
      <w:r w:rsidR="00CD00FF" w:rsidRPr="00CD00FF">
        <w:rPr>
          <w:rStyle w:val="Odwoanieprzypisudolnego"/>
        </w:rPr>
        <w:fldChar w:fldCharType="end"/>
      </w:r>
      <w:r w:rsidR="00CD00FF">
        <w:t xml:space="preserve"> </w:t>
      </w:r>
      <w:r w:rsidR="00A43CA6" w:rsidRPr="00FB78E2">
        <w:t xml:space="preserve">Modelling </w:t>
      </w:r>
      <w:r w:rsidR="005215A9">
        <w:t>also indicates that</w:t>
      </w:r>
      <w:r w:rsidR="00A43CA6" w:rsidRPr="00FB78E2">
        <w:t xml:space="preserve"> </w:t>
      </w:r>
      <w:r w:rsidR="005215A9">
        <w:t>companies</w:t>
      </w:r>
      <w:r w:rsidR="00A43CA6" w:rsidRPr="00FB78E2">
        <w:t xml:space="preserve"> are more likely to expand production at sites that are located in a cluster with other companies.</w:t>
      </w:r>
      <w:r w:rsidR="00E77AAA">
        <w:rPr>
          <w:rStyle w:val="Odwoanieprzypisudolnego"/>
        </w:rPr>
        <w:footnoteReference w:id="141"/>
      </w:r>
      <w:r w:rsidR="00FD16E7">
        <w:t xml:space="preserve"> We now see </w:t>
      </w:r>
      <w:r w:rsidR="00205602">
        <w:t xml:space="preserve">the attractiveness of the Irish cluster extending beyond European and US-based companies and </w:t>
      </w:r>
      <w:r w:rsidR="00344D63">
        <w:t xml:space="preserve">also </w:t>
      </w:r>
      <w:r w:rsidR="00205602">
        <w:t>attracting investment from Chinese-based companies (</w:t>
      </w:r>
      <w:r w:rsidR="00205602" w:rsidRPr="000A2E03">
        <w:fldChar w:fldCharType="begin"/>
      </w:r>
      <w:r w:rsidR="00205602">
        <w:instrText xml:space="preserve"> REF _Ref106223752 \h </w:instrText>
      </w:r>
      <w:r w:rsidR="00205602" w:rsidRPr="000A2E03">
        <w:fldChar w:fldCharType="separate"/>
      </w:r>
      <w:r w:rsidR="00423264">
        <w:t xml:space="preserve">Box </w:t>
      </w:r>
      <w:r w:rsidR="00423264">
        <w:rPr>
          <w:noProof/>
        </w:rPr>
        <w:t>5</w:t>
      </w:r>
      <w:r w:rsidR="00205602" w:rsidRPr="000A2E03">
        <w:fldChar w:fldCharType="end"/>
      </w:r>
      <w:r w:rsidR="00205602">
        <w:t>)</w:t>
      </w:r>
      <w:r w:rsidR="00BB1A4B">
        <w:t xml:space="preserve"> due to </w:t>
      </w:r>
      <w:r w:rsidR="00956BAF">
        <w:t>the</w:t>
      </w:r>
      <w:r w:rsidR="00BB1A4B">
        <w:t xml:space="preserve"> </w:t>
      </w:r>
      <w:r w:rsidR="00BD4AAC">
        <w:t xml:space="preserve">quality, </w:t>
      </w:r>
      <w:r w:rsidR="00BB1A4B">
        <w:t>stability and reliability</w:t>
      </w:r>
      <w:r w:rsidR="00956BAF">
        <w:t xml:space="preserve"> of the business environment</w:t>
      </w:r>
      <w:r w:rsidR="00205602">
        <w:t>.</w:t>
      </w:r>
    </w:p>
    <w:p w14:paraId="06194D09" w14:textId="0330895B" w:rsidR="00006857" w:rsidRDefault="00006857" w:rsidP="00006857">
      <w:pPr>
        <w:pStyle w:val="Legenda"/>
      </w:pPr>
      <w:bookmarkStart w:id="131" w:name="_Ref106223752"/>
      <w:r>
        <w:t xml:space="preserve">Box </w:t>
      </w:r>
      <w:r>
        <w:fldChar w:fldCharType="begin"/>
      </w:r>
      <w:r>
        <w:instrText xml:space="preserve"> SEQ Box \* ARABIC </w:instrText>
      </w:r>
      <w:r>
        <w:fldChar w:fldCharType="separate"/>
      </w:r>
      <w:r w:rsidR="002D7E04">
        <w:rPr>
          <w:noProof/>
        </w:rPr>
        <w:t>5</w:t>
      </w:r>
      <w:r>
        <w:fldChar w:fldCharType="end"/>
      </w:r>
      <w:bookmarkEnd w:id="131"/>
      <w:r>
        <w:t xml:space="preserve">: Case study | </w:t>
      </w:r>
      <w:r w:rsidR="00324A18">
        <w:t>F</w:t>
      </w:r>
      <w:r>
        <w:t>oreign direct investment into Ireland cluster</w:t>
      </w:r>
    </w:p>
    <w:tbl>
      <w:tblPr>
        <w:tblStyle w:val="Tabela-Siatka"/>
        <w:tblW w:w="0" w:type="auto"/>
        <w:tblBorders>
          <w:top w:val="single" w:sz="12" w:space="0" w:color="C0C0C0" w:themeColor="text2"/>
          <w:left w:val="single" w:sz="12" w:space="0" w:color="C0C0C0" w:themeColor="text2"/>
          <w:bottom w:val="single" w:sz="12" w:space="0" w:color="C0C0C0" w:themeColor="text2"/>
          <w:right w:val="single" w:sz="12" w:space="0" w:color="C0C0C0" w:themeColor="text2"/>
          <w:insideH w:val="none" w:sz="0" w:space="0" w:color="auto"/>
          <w:insideV w:val="none" w:sz="0" w:space="0" w:color="auto"/>
        </w:tblBorders>
        <w:shd w:val="clear" w:color="auto" w:fill="EBF4FB" w:themeFill="accent2" w:themeFillTint="33"/>
        <w:tblLook w:val="04A0" w:firstRow="1" w:lastRow="0" w:firstColumn="1" w:lastColumn="0" w:noHBand="0" w:noVBand="1"/>
      </w:tblPr>
      <w:tblGrid>
        <w:gridCol w:w="7920"/>
      </w:tblGrid>
      <w:tr w:rsidR="00006857" w14:paraId="604C756C" w14:textId="77777777" w:rsidTr="00D53D69">
        <w:tc>
          <w:tcPr>
            <w:tcW w:w="7940" w:type="dxa"/>
            <w:shd w:val="clear" w:color="auto" w:fill="EBF4FB" w:themeFill="accent2" w:themeFillTint="33"/>
            <w:vAlign w:val="bottom"/>
          </w:tcPr>
          <w:p w14:paraId="546B3038" w14:textId="7A1AF5FF" w:rsidR="00006857" w:rsidRDefault="00744E67">
            <w:pPr>
              <w:pStyle w:val="Tekstpodstawowy"/>
              <w:spacing w:before="60" w:after="60" w:line="264" w:lineRule="auto"/>
            </w:pPr>
            <w:bookmarkStart w:id="132" w:name="_Hlk106289785"/>
            <w:r>
              <w:t xml:space="preserve">In 2018, </w:t>
            </w:r>
            <w:r w:rsidR="00DD5B7B">
              <w:t xml:space="preserve">the first major </w:t>
            </w:r>
            <w:r w:rsidR="00DA2641">
              <w:t xml:space="preserve">FDI </w:t>
            </w:r>
            <w:r w:rsidR="005F7A12">
              <w:t>greenfield pharmaceutical manufacturing project from China was announced</w:t>
            </w:r>
            <w:r w:rsidR="00DA2641">
              <w:t xml:space="preserve"> by </w:t>
            </w:r>
            <w:proofErr w:type="spellStart"/>
            <w:r w:rsidR="00DA2641">
              <w:t>WuXi</w:t>
            </w:r>
            <w:proofErr w:type="spellEnd"/>
            <w:r w:rsidR="00DA2641">
              <w:t xml:space="preserve"> Biologics, a major Chinese contract manufacturing organisation. </w:t>
            </w:r>
            <w:r w:rsidR="00FC2887">
              <w:t>The location chosen was Dundalk, Ireland.</w:t>
            </w:r>
            <w:r w:rsidR="002B31E3">
              <w:rPr>
                <w:rStyle w:val="Odwoanieprzypisudolnego"/>
              </w:rPr>
              <w:footnoteReference w:id="142"/>
            </w:r>
            <w:r w:rsidR="00FC2887">
              <w:t xml:space="preserve"> </w:t>
            </w:r>
            <w:r w:rsidR="006B0CCD">
              <w:t xml:space="preserve">Looking to expand </w:t>
            </w:r>
            <w:r w:rsidR="00BD3DBF">
              <w:t xml:space="preserve">operations outside of China, Europe was </w:t>
            </w:r>
            <w:r w:rsidR="00FA5CB9">
              <w:t xml:space="preserve">the </w:t>
            </w:r>
            <w:r w:rsidR="008E67A3">
              <w:t>initial</w:t>
            </w:r>
            <w:r w:rsidR="002B31E3">
              <w:t xml:space="preserve"> </w:t>
            </w:r>
            <w:r w:rsidR="00FA5CB9">
              <w:t>region of choice</w:t>
            </w:r>
            <w:r w:rsidR="002B31E3">
              <w:t xml:space="preserve"> (</w:t>
            </w:r>
            <w:r w:rsidR="00FA5CB9">
              <w:t xml:space="preserve">although </w:t>
            </w:r>
            <w:r w:rsidR="002B31E3">
              <w:t>operations are also expected in North America from 2024).</w:t>
            </w:r>
            <w:r w:rsidR="002B31E3">
              <w:rPr>
                <w:rStyle w:val="Odwoanieprzypisudolnego"/>
              </w:rPr>
              <w:footnoteReference w:id="143"/>
            </w:r>
            <w:r w:rsidR="00FE305F">
              <w:t xml:space="preserve"> Considering the </w:t>
            </w:r>
            <w:r w:rsidR="002E6BA5">
              <w:t>potential</w:t>
            </w:r>
            <w:r w:rsidR="009058AE">
              <w:t xml:space="preserve"> </w:t>
            </w:r>
            <w:r w:rsidR="00F46561">
              <w:t>locations</w:t>
            </w:r>
            <w:r w:rsidR="009058AE">
              <w:t xml:space="preserve"> </w:t>
            </w:r>
            <w:r w:rsidR="002E6BA5">
              <w:t>with</w:t>
            </w:r>
            <w:r w:rsidR="009058AE">
              <w:t xml:space="preserve">in Europe, Ireland </w:t>
            </w:r>
            <w:r w:rsidR="00BC1562">
              <w:t xml:space="preserve">was most </w:t>
            </w:r>
            <w:r w:rsidR="00DB203F">
              <w:t>attractive</w:t>
            </w:r>
            <w:r w:rsidR="00BC1562">
              <w:t xml:space="preserve"> to </w:t>
            </w:r>
            <w:proofErr w:type="spellStart"/>
            <w:r w:rsidR="00BC1562">
              <w:t>WuXi</w:t>
            </w:r>
            <w:proofErr w:type="spellEnd"/>
            <w:r w:rsidR="00DB203F">
              <w:t xml:space="preserve"> </w:t>
            </w:r>
            <w:r w:rsidR="007B5DFE">
              <w:t xml:space="preserve">Biologics </w:t>
            </w:r>
            <w:r w:rsidR="00DB203F">
              <w:t>for a number of reasons:</w:t>
            </w:r>
            <w:r w:rsidR="00BB482E">
              <w:rPr>
                <w:rStyle w:val="Odwoanieprzypisudolnego"/>
              </w:rPr>
              <w:footnoteReference w:id="144"/>
            </w:r>
          </w:p>
          <w:p w14:paraId="087E4A38" w14:textId="5DF31441" w:rsidR="001918EE" w:rsidRDefault="001918EE" w:rsidP="00D53D69">
            <w:pPr>
              <w:pStyle w:val="Tekstpodstawowy"/>
              <w:numPr>
                <w:ilvl w:val="0"/>
                <w:numId w:val="52"/>
              </w:numPr>
              <w:spacing w:before="60" w:after="60" w:line="264" w:lineRule="auto"/>
              <w:ind w:left="714" w:hanging="357"/>
              <w:jc w:val="left"/>
            </w:pPr>
            <w:r>
              <w:t xml:space="preserve">As a Chinese company with no experience of European business operations, the presence of all of the top </w:t>
            </w:r>
            <w:r w:rsidR="00FC0B20">
              <w:t>10</w:t>
            </w:r>
            <w:r>
              <w:t xml:space="preserve"> global pharmaceutical companies in Ireland increases confidence to invest</w:t>
            </w:r>
            <w:r w:rsidR="00901638">
              <w:t>.</w:t>
            </w:r>
          </w:p>
          <w:p w14:paraId="68E54626" w14:textId="77943FFF" w:rsidR="009C6E40" w:rsidRDefault="009C6E40" w:rsidP="00D53D69">
            <w:pPr>
              <w:pStyle w:val="Tekstpodstawowy"/>
              <w:numPr>
                <w:ilvl w:val="0"/>
                <w:numId w:val="52"/>
              </w:numPr>
              <w:spacing w:before="60" w:after="60" w:line="264" w:lineRule="auto"/>
              <w:ind w:left="714" w:hanging="357"/>
              <w:jc w:val="left"/>
            </w:pPr>
            <w:r>
              <w:t xml:space="preserve">The existing cluster also means support service firms </w:t>
            </w:r>
            <w:r w:rsidR="00463411">
              <w:t>are nearby and easily accessible to support establishment and operation of the site.</w:t>
            </w:r>
          </w:p>
          <w:p w14:paraId="72ECB1F8" w14:textId="515CF347" w:rsidR="0099117B" w:rsidRDefault="001918EE" w:rsidP="00D53D69">
            <w:pPr>
              <w:pStyle w:val="Tekstpodstawowy"/>
              <w:numPr>
                <w:ilvl w:val="0"/>
                <w:numId w:val="52"/>
              </w:numPr>
              <w:spacing w:before="60" w:after="60" w:line="264" w:lineRule="auto"/>
              <w:ind w:left="714" w:hanging="357"/>
              <w:jc w:val="left"/>
            </w:pPr>
            <w:r>
              <w:t xml:space="preserve">An </w:t>
            </w:r>
            <w:r w:rsidR="0099117B">
              <w:t>English</w:t>
            </w:r>
            <w:r w:rsidR="00224DAA">
              <w:t>-</w:t>
            </w:r>
            <w:r w:rsidR="0099117B">
              <w:t>language</w:t>
            </w:r>
            <w:r>
              <w:t>-speaking business environment is</w:t>
            </w:r>
            <w:r w:rsidR="00BC1562">
              <w:t xml:space="preserve"> more accessible to Chinese-speaking headquarter staff than an alternative European </w:t>
            </w:r>
            <w:r w:rsidR="00901638">
              <w:t>language.</w:t>
            </w:r>
          </w:p>
          <w:p w14:paraId="1578A37F" w14:textId="1BF4F62F" w:rsidR="00B03D89" w:rsidRDefault="001918EE" w:rsidP="00D53D69">
            <w:pPr>
              <w:pStyle w:val="Tekstpodstawowy"/>
              <w:numPr>
                <w:ilvl w:val="0"/>
                <w:numId w:val="52"/>
              </w:numPr>
              <w:spacing w:before="60" w:after="60" w:line="264" w:lineRule="auto"/>
              <w:ind w:left="714" w:hanging="357"/>
              <w:jc w:val="left"/>
            </w:pPr>
            <w:r>
              <w:t>P</w:t>
            </w:r>
            <w:r w:rsidR="00B03D89">
              <w:t xml:space="preserve">roximity and ease of movement to </w:t>
            </w:r>
            <w:r w:rsidR="00224DAA">
              <w:t xml:space="preserve">the </w:t>
            </w:r>
            <w:r w:rsidR="00B03D89">
              <w:t xml:space="preserve">rest of </w:t>
            </w:r>
            <w:r w:rsidR="00FC64F3">
              <w:t>the EU allows access to the European market</w:t>
            </w:r>
            <w:r w:rsidR="002727A8">
              <w:t xml:space="preserve">; </w:t>
            </w:r>
            <w:r w:rsidR="00331A1D">
              <w:t>good transport links to China facilitate interaction with headquarters.</w:t>
            </w:r>
          </w:p>
          <w:p w14:paraId="0FD27AB8" w14:textId="10AE1891" w:rsidR="0035655C" w:rsidRDefault="00FC64F3" w:rsidP="00D53D69">
            <w:pPr>
              <w:pStyle w:val="Tekstpodstawowy"/>
              <w:numPr>
                <w:ilvl w:val="0"/>
                <w:numId w:val="52"/>
              </w:numPr>
              <w:spacing w:before="60" w:after="60" w:line="264" w:lineRule="auto"/>
              <w:ind w:left="714" w:hanging="357"/>
              <w:jc w:val="left"/>
            </w:pPr>
            <w:r>
              <w:t xml:space="preserve">The </w:t>
            </w:r>
            <w:r w:rsidR="0035655C">
              <w:t>12.5% corporate tax rate</w:t>
            </w:r>
            <w:r>
              <w:t xml:space="preserve"> </w:t>
            </w:r>
            <w:r w:rsidR="002E7517">
              <w:t xml:space="preserve">helps to </w:t>
            </w:r>
            <w:r>
              <w:t xml:space="preserve">de-risk </w:t>
            </w:r>
            <w:r w:rsidR="002E7517">
              <w:t xml:space="preserve">investment, which as the first ex-China greenfield </w:t>
            </w:r>
            <w:r w:rsidR="00087A37">
              <w:t>project could be considered high-risk</w:t>
            </w:r>
            <w:r w:rsidR="00901638">
              <w:t>.</w:t>
            </w:r>
          </w:p>
          <w:p w14:paraId="4AAB509B" w14:textId="77777777" w:rsidR="0035655C" w:rsidRDefault="000404BE" w:rsidP="00D53D69">
            <w:pPr>
              <w:pStyle w:val="Tekstpodstawowy"/>
              <w:numPr>
                <w:ilvl w:val="0"/>
                <w:numId w:val="52"/>
              </w:numPr>
              <w:spacing w:before="60" w:after="60" w:line="264" w:lineRule="auto"/>
              <w:ind w:left="714" w:hanging="357"/>
              <w:jc w:val="left"/>
            </w:pPr>
            <w:r>
              <w:t xml:space="preserve">Existence of </w:t>
            </w:r>
            <w:r w:rsidR="00901638">
              <w:t>a sizeable</w:t>
            </w:r>
            <w:r w:rsidR="00FD4CF7">
              <w:t xml:space="preserve"> and highly qualified labour pool allows rapid </w:t>
            </w:r>
            <w:r w:rsidR="007B5DFE">
              <w:t>recruitment and start-up of operations</w:t>
            </w:r>
            <w:r w:rsidR="00901638">
              <w:t>.</w:t>
            </w:r>
            <w:r w:rsidR="00087A37">
              <w:t xml:space="preserve"> </w:t>
            </w:r>
          </w:p>
          <w:p w14:paraId="1B5328AF" w14:textId="75EDD9AF" w:rsidR="008E67A3" w:rsidRDefault="00224DAA" w:rsidP="00D53D69">
            <w:pPr>
              <w:pStyle w:val="Tekstpodstawowy"/>
              <w:numPr>
                <w:ilvl w:val="0"/>
                <w:numId w:val="52"/>
              </w:numPr>
              <w:spacing w:before="60" w:after="60" w:line="264" w:lineRule="auto"/>
              <w:ind w:left="714" w:hanging="357"/>
              <w:jc w:val="left"/>
            </w:pPr>
            <w:r>
              <w:t xml:space="preserve">The </w:t>
            </w:r>
            <w:r w:rsidR="00E742A8">
              <w:t xml:space="preserve">Irish government </w:t>
            </w:r>
            <w:r>
              <w:t xml:space="preserve">provides strong support </w:t>
            </w:r>
            <w:r w:rsidR="00E742A8">
              <w:t>through</w:t>
            </w:r>
            <w:r w:rsidR="00FB1E1C">
              <w:t xml:space="preserve"> the </w:t>
            </w:r>
            <w:r w:rsidR="00FB1E1C" w:rsidRPr="00FB1E1C">
              <w:t>Industrial Development Agency</w:t>
            </w:r>
            <w:r w:rsidR="00E742A8">
              <w:t xml:space="preserve"> </w:t>
            </w:r>
            <w:r w:rsidR="00FB1E1C">
              <w:t>(</w:t>
            </w:r>
            <w:r w:rsidR="00E742A8">
              <w:t>IDA</w:t>
            </w:r>
            <w:r w:rsidR="00FB1E1C">
              <w:t>)</w:t>
            </w:r>
            <w:r w:rsidR="00E742A8">
              <w:t xml:space="preserve"> Ireland</w:t>
            </w:r>
            <w:r w:rsidR="00EB7852">
              <w:t xml:space="preserve">, for example through </w:t>
            </w:r>
            <w:r w:rsidR="001E3D77">
              <w:t xml:space="preserve">pre-purchase and </w:t>
            </w:r>
            <w:r w:rsidR="002727A8">
              <w:t>preparation</w:t>
            </w:r>
            <w:r w:rsidR="001E3D77">
              <w:t xml:space="preserve"> of the site </w:t>
            </w:r>
            <w:r w:rsidR="002727A8">
              <w:t xml:space="preserve">by IDA Ireland before sale to </w:t>
            </w:r>
            <w:proofErr w:type="spellStart"/>
            <w:r w:rsidR="002727A8">
              <w:t>WuXi</w:t>
            </w:r>
            <w:proofErr w:type="spellEnd"/>
            <w:r w:rsidR="002F4482">
              <w:t>.</w:t>
            </w:r>
          </w:p>
        </w:tc>
      </w:tr>
    </w:tbl>
    <w:bookmarkEnd w:id="132"/>
    <w:p w14:paraId="405EE652" w14:textId="2F17FBBD" w:rsidR="00E83908" w:rsidRPr="00B14DE2" w:rsidRDefault="00DF0B1A" w:rsidP="005215A9">
      <w:pPr>
        <w:pStyle w:val="Tekstpodstawowy"/>
        <w:rPr>
          <w:color w:val="000000" w:themeColor="text1"/>
        </w:rPr>
      </w:pPr>
      <w:r w:rsidRPr="00B14DE2">
        <w:rPr>
          <w:color w:val="000000" w:themeColor="text1"/>
        </w:rPr>
        <w:lastRenderedPageBreak/>
        <w:t xml:space="preserve">There are also potential drawbacks to locating in a cluster. </w:t>
      </w:r>
      <w:r w:rsidR="00B14DE2">
        <w:rPr>
          <w:color w:val="000000" w:themeColor="text1"/>
        </w:rPr>
        <w:t xml:space="preserve">For example, </w:t>
      </w:r>
      <w:r w:rsidR="00737A02">
        <w:rPr>
          <w:color w:val="000000" w:themeColor="text1"/>
        </w:rPr>
        <w:t>companies in a cluster may</w:t>
      </w:r>
      <w:r w:rsidR="00FF3C87" w:rsidRPr="00B14DE2">
        <w:rPr>
          <w:color w:val="000000" w:themeColor="text1"/>
        </w:rPr>
        <w:t xml:space="preserve"> los</w:t>
      </w:r>
      <w:r w:rsidR="00737A02">
        <w:rPr>
          <w:color w:val="000000" w:themeColor="text1"/>
        </w:rPr>
        <w:t>e</w:t>
      </w:r>
      <w:r w:rsidR="00FF3C87" w:rsidRPr="00B14DE2">
        <w:rPr>
          <w:color w:val="000000" w:themeColor="text1"/>
        </w:rPr>
        <w:t xml:space="preserve"> staff to other firms, potentially resulting in a wage ‘bidding war’ between </w:t>
      </w:r>
      <w:r w:rsidR="00737A02">
        <w:rPr>
          <w:color w:val="000000" w:themeColor="text1"/>
        </w:rPr>
        <w:t xml:space="preserve">co-located </w:t>
      </w:r>
      <w:r w:rsidR="00FF3C87" w:rsidRPr="00B14DE2">
        <w:rPr>
          <w:color w:val="000000" w:themeColor="text1"/>
        </w:rPr>
        <w:t>companies</w:t>
      </w:r>
      <w:r w:rsidR="00EE1EFF">
        <w:rPr>
          <w:color w:val="000000" w:themeColor="text1"/>
        </w:rPr>
        <w:t>,</w:t>
      </w:r>
      <w:r w:rsidR="00E77AAA">
        <w:rPr>
          <w:rStyle w:val="Odwoanieprzypisudolnego"/>
          <w:color w:val="000000" w:themeColor="text1"/>
        </w:rPr>
        <w:footnoteReference w:id="145"/>
      </w:r>
      <w:r w:rsidR="00B14DE2" w:rsidRPr="00414580">
        <w:rPr>
          <w:rStyle w:val="Odwoanieprzypisudolnego"/>
        </w:rPr>
        <w:fldChar w:fldCharType="begin"/>
      </w:r>
      <w:r w:rsidR="00B14DE2" w:rsidRPr="00414580">
        <w:rPr>
          <w:rStyle w:val="Odwoanieprzypisudolnego"/>
        </w:rPr>
        <w:instrText xml:space="preserve"> NOTEREF _Ref105531447 \h </w:instrText>
      </w:r>
      <w:r w:rsidR="00414580">
        <w:rPr>
          <w:rStyle w:val="Odwoanieprzypisudolnego"/>
        </w:rPr>
        <w:instrText xml:space="preserve"> \* MERGEFORMAT </w:instrText>
      </w:r>
      <w:r w:rsidR="00B14DE2" w:rsidRPr="00414580">
        <w:rPr>
          <w:rStyle w:val="Odwoanieprzypisudolnego"/>
        </w:rPr>
      </w:r>
      <w:r w:rsidR="000F0501">
        <w:rPr>
          <w:rStyle w:val="Odwoanieprzypisudolnego"/>
        </w:rPr>
        <w:fldChar w:fldCharType="separate"/>
      </w:r>
      <w:r w:rsidR="00B14DE2" w:rsidRPr="00414580">
        <w:rPr>
          <w:rStyle w:val="Odwoanieprzypisudolnego"/>
        </w:rPr>
        <w:fldChar w:fldCharType="end"/>
      </w:r>
      <w:r w:rsidR="00B14DE2">
        <w:rPr>
          <w:color w:val="000000" w:themeColor="text1"/>
        </w:rPr>
        <w:t xml:space="preserve"> </w:t>
      </w:r>
      <w:r w:rsidR="009E2E17">
        <w:rPr>
          <w:color w:val="000000" w:themeColor="text1"/>
        </w:rPr>
        <w:t>but the upsi</w:t>
      </w:r>
      <w:r w:rsidR="00EE1EFF">
        <w:rPr>
          <w:color w:val="000000" w:themeColor="text1"/>
        </w:rPr>
        <w:t>d</w:t>
      </w:r>
      <w:r w:rsidR="009E2E17">
        <w:rPr>
          <w:color w:val="000000" w:themeColor="text1"/>
        </w:rPr>
        <w:t xml:space="preserve">e of knowledge </w:t>
      </w:r>
      <w:r w:rsidR="00EE1EFF">
        <w:rPr>
          <w:color w:val="000000" w:themeColor="text1"/>
        </w:rPr>
        <w:t xml:space="preserve">availability </w:t>
      </w:r>
      <w:r w:rsidR="00FB1E1C">
        <w:rPr>
          <w:color w:val="000000" w:themeColor="text1"/>
        </w:rPr>
        <w:t>is typically</w:t>
      </w:r>
      <w:r w:rsidR="002A01E0">
        <w:rPr>
          <w:color w:val="000000" w:themeColor="text1"/>
        </w:rPr>
        <w:t xml:space="preserve"> stronger</w:t>
      </w:r>
      <w:r w:rsidR="009E2E17">
        <w:rPr>
          <w:color w:val="000000" w:themeColor="text1"/>
        </w:rPr>
        <w:t>.</w:t>
      </w:r>
    </w:p>
    <w:p w14:paraId="5701F045" w14:textId="17ECB20F" w:rsidR="0001044B" w:rsidRPr="00E321D8" w:rsidRDefault="0001044B" w:rsidP="00E321D8">
      <w:pPr>
        <w:pStyle w:val="Nagwek4"/>
        <w:rPr>
          <w:highlight w:val="yellow"/>
        </w:rPr>
      </w:pPr>
      <w:r>
        <w:t xml:space="preserve">Understanding global </w:t>
      </w:r>
      <w:r w:rsidR="006373AD">
        <w:t xml:space="preserve">policy </w:t>
      </w:r>
      <w:r>
        <w:t>trends</w:t>
      </w:r>
      <w:r w:rsidR="00B03706">
        <w:t xml:space="preserve">: </w:t>
      </w:r>
      <w:r w:rsidR="001579F5">
        <w:t>l</w:t>
      </w:r>
      <w:r w:rsidR="006373AD">
        <w:t>ocalisation of manufacturing</w:t>
      </w:r>
      <w:r w:rsidRPr="00EF4020">
        <w:rPr>
          <w:highlight w:val="yellow"/>
        </w:rPr>
        <w:t xml:space="preserve"> </w:t>
      </w:r>
      <w:bookmarkStart w:id="133" w:name="_Ref106301839"/>
    </w:p>
    <w:bookmarkEnd w:id="133"/>
    <w:p w14:paraId="4062B90B" w14:textId="52542F47" w:rsidR="002C6C80" w:rsidRDefault="00FD6D9F" w:rsidP="005215A9">
      <w:pPr>
        <w:pStyle w:val="Tekstpodstawowy"/>
        <w:rPr>
          <w:color w:val="000000" w:themeColor="text1"/>
        </w:rPr>
      </w:pPr>
      <w:r>
        <w:rPr>
          <w:color w:val="000000" w:themeColor="text1"/>
        </w:rPr>
        <w:t>As a potential disruptor to the cluster model, i</w:t>
      </w:r>
      <w:r w:rsidR="00AC6680" w:rsidRPr="00E321D8">
        <w:rPr>
          <w:color w:val="000000" w:themeColor="text1"/>
        </w:rPr>
        <w:t>n recent years</w:t>
      </w:r>
      <w:r>
        <w:rPr>
          <w:color w:val="000000" w:themeColor="text1"/>
        </w:rPr>
        <w:t xml:space="preserve"> an increasing number of countries have considered </w:t>
      </w:r>
      <w:r w:rsidR="00187901">
        <w:rPr>
          <w:color w:val="000000" w:themeColor="text1"/>
        </w:rPr>
        <w:t xml:space="preserve">manufacturing localisation policies. </w:t>
      </w:r>
      <w:r w:rsidR="0055612A">
        <w:rPr>
          <w:color w:val="000000" w:themeColor="text1"/>
        </w:rPr>
        <w:t>T</w:t>
      </w:r>
      <w:r w:rsidR="00BE5159">
        <w:rPr>
          <w:color w:val="000000" w:themeColor="text1"/>
        </w:rPr>
        <w:t xml:space="preserve">hese policies </w:t>
      </w:r>
      <w:r w:rsidR="009532A5">
        <w:rPr>
          <w:color w:val="000000" w:themeColor="text1"/>
        </w:rPr>
        <w:t>can</w:t>
      </w:r>
      <w:r w:rsidR="00BE5159">
        <w:rPr>
          <w:color w:val="000000" w:themeColor="text1"/>
        </w:rPr>
        <w:t xml:space="preserve"> </w:t>
      </w:r>
      <w:r w:rsidR="00F90B07">
        <w:rPr>
          <w:color w:val="000000" w:themeColor="text1"/>
        </w:rPr>
        <w:t xml:space="preserve">favour </w:t>
      </w:r>
      <w:r w:rsidR="006D67FA">
        <w:rPr>
          <w:color w:val="000000" w:themeColor="text1"/>
        </w:rPr>
        <w:t>domestic manufacturing at the expense of products from other countries (‘forced localisation’)</w:t>
      </w:r>
      <w:r w:rsidR="00B810C0">
        <w:rPr>
          <w:color w:val="000000" w:themeColor="text1"/>
        </w:rPr>
        <w:t>.</w:t>
      </w:r>
      <w:r w:rsidR="00187901">
        <w:rPr>
          <w:color w:val="000000" w:themeColor="text1"/>
        </w:rPr>
        <w:t xml:space="preserve"> </w:t>
      </w:r>
      <w:r w:rsidR="00D34597">
        <w:rPr>
          <w:color w:val="000000" w:themeColor="text1"/>
        </w:rPr>
        <w:t xml:space="preserve">Policies can take </w:t>
      </w:r>
      <w:r w:rsidR="00E545F8">
        <w:rPr>
          <w:color w:val="000000" w:themeColor="text1"/>
        </w:rPr>
        <w:t>multiple</w:t>
      </w:r>
      <w:r w:rsidR="00D34597">
        <w:rPr>
          <w:color w:val="000000" w:themeColor="text1"/>
        </w:rPr>
        <w:t xml:space="preserve"> forms:</w:t>
      </w:r>
      <w:r w:rsidR="00B81D2B">
        <w:rPr>
          <w:rStyle w:val="Odwoanieprzypisudolnego"/>
          <w:color w:val="000000" w:themeColor="text1"/>
        </w:rPr>
        <w:footnoteReference w:id="146"/>
      </w:r>
    </w:p>
    <w:p w14:paraId="16804CC7" w14:textId="31F8FF5C" w:rsidR="00D34597" w:rsidRPr="000A2E03" w:rsidRDefault="00D34597" w:rsidP="00AF2C95">
      <w:pPr>
        <w:pStyle w:val="Tekstpodstawowy"/>
        <w:numPr>
          <w:ilvl w:val="0"/>
          <w:numId w:val="111"/>
        </w:numPr>
        <w:rPr>
          <w:color w:val="000000" w:themeColor="text1"/>
        </w:rPr>
      </w:pPr>
      <w:r w:rsidRPr="000A2E03">
        <w:rPr>
          <w:color w:val="000000" w:themeColor="text1"/>
        </w:rPr>
        <w:t>Intellectual property</w:t>
      </w:r>
      <w:r w:rsidR="00994712" w:rsidRPr="000A2E03">
        <w:rPr>
          <w:color w:val="000000" w:themeColor="text1"/>
        </w:rPr>
        <w:t xml:space="preserve"> (IP)</w:t>
      </w:r>
      <w:r w:rsidRPr="000A2E03">
        <w:rPr>
          <w:color w:val="000000" w:themeColor="text1"/>
        </w:rPr>
        <w:t>-based rul</w:t>
      </w:r>
      <w:r w:rsidR="00994712" w:rsidRPr="000A2E03">
        <w:rPr>
          <w:color w:val="000000" w:themeColor="text1"/>
        </w:rPr>
        <w:t>es that support speed and breadth of IP protection and ability to defend it</w:t>
      </w:r>
    </w:p>
    <w:p w14:paraId="27099536" w14:textId="56A4ED3A" w:rsidR="00994712" w:rsidRPr="000A2E03" w:rsidRDefault="00994712" w:rsidP="00AF2C95">
      <w:pPr>
        <w:pStyle w:val="Tekstpodstawowy"/>
        <w:numPr>
          <w:ilvl w:val="0"/>
          <w:numId w:val="111"/>
        </w:numPr>
        <w:rPr>
          <w:color w:val="000000" w:themeColor="text1"/>
        </w:rPr>
      </w:pPr>
      <w:r w:rsidRPr="000A2E03">
        <w:rPr>
          <w:color w:val="000000" w:themeColor="text1"/>
        </w:rPr>
        <w:t xml:space="preserve">Regulatory rules that impact the speed and approval in regulatory </w:t>
      </w:r>
      <w:r w:rsidR="00525EF2" w:rsidRPr="000A2E03">
        <w:rPr>
          <w:color w:val="000000" w:themeColor="text1"/>
        </w:rPr>
        <w:t>submissions</w:t>
      </w:r>
      <w:r w:rsidR="00EB628C" w:rsidRPr="00920A25">
        <w:rPr>
          <w:color w:val="000000" w:themeColor="text1"/>
        </w:rPr>
        <w:t xml:space="preserve"> </w:t>
      </w:r>
    </w:p>
    <w:p w14:paraId="6423CD2F" w14:textId="7077C3C2" w:rsidR="00994712" w:rsidRPr="000A2E03" w:rsidRDefault="00994712" w:rsidP="00AF2C95">
      <w:pPr>
        <w:pStyle w:val="Tekstpodstawowy"/>
        <w:numPr>
          <w:ilvl w:val="0"/>
          <w:numId w:val="111"/>
        </w:numPr>
        <w:rPr>
          <w:color w:val="000000" w:themeColor="text1"/>
        </w:rPr>
      </w:pPr>
      <w:r w:rsidRPr="000A2E03">
        <w:rPr>
          <w:color w:val="000000" w:themeColor="text1"/>
        </w:rPr>
        <w:t>Reimbursement, pricing and procurement rules</w:t>
      </w:r>
    </w:p>
    <w:p w14:paraId="6A0CD8B8" w14:textId="43F87C2B" w:rsidR="00994712" w:rsidRPr="00920A25" w:rsidRDefault="00EB628C" w:rsidP="00AF2C95">
      <w:pPr>
        <w:pStyle w:val="Tekstpodstawowy"/>
        <w:numPr>
          <w:ilvl w:val="0"/>
          <w:numId w:val="111"/>
        </w:numPr>
        <w:rPr>
          <w:color w:val="000000" w:themeColor="text1"/>
        </w:rPr>
      </w:pPr>
      <w:r w:rsidRPr="00920A25">
        <w:rPr>
          <w:color w:val="000000" w:themeColor="text1"/>
        </w:rPr>
        <w:t xml:space="preserve">Absence of </w:t>
      </w:r>
      <w:r w:rsidR="00715B3F" w:rsidRPr="000A2E03">
        <w:rPr>
          <w:color w:val="000000" w:themeColor="text1"/>
        </w:rPr>
        <w:t>t</w:t>
      </w:r>
      <w:r w:rsidR="00994712" w:rsidRPr="000A2E03">
        <w:rPr>
          <w:color w:val="000000" w:themeColor="text1"/>
        </w:rPr>
        <w:t xml:space="preserve">rade barriers such as import </w:t>
      </w:r>
      <w:r w:rsidRPr="00920A25">
        <w:rPr>
          <w:color w:val="000000" w:themeColor="text1"/>
        </w:rPr>
        <w:t xml:space="preserve">or export </w:t>
      </w:r>
      <w:r w:rsidR="00994712" w:rsidRPr="000A2E03">
        <w:rPr>
          <w:color w:val="000000" w:themeColor="text1"/>
        </w:rPr>
        <w:t xml:space="preserve">bans </w:t>
      </w:r>
      <w:r w:rsidRPr="00920A25">
        <w:rPr>
          <w:color w:val="000000" w:themeColor="text1"/>
        </w:rPr>
        <w:t xml:space="preserve">for components, raw and the final material, </w:t>
      </w:r>
      <w:r w:rsidR="00994712" w:rsidRPr="00920A25">
        <w:rPr>
          <w:color w:val="000000" w:themeColor="text1"/>
        </w:rPr>
        <w:t xml:space="preserve">favour </w:t>
      </w:r>
      <w:r w:rsidR="00994712" w:rsidRPr="000A2E03">
        <w:rPr>
          <w:color w:val="000000" w:themeColor="text1"/>
        </w:rPr>
        <w:t xml:space="preserve">of a locally produced alternative </w:t>
      </w:r>
      <w:r w:rsidRPr="00920A25">
        <w:rPr>
          <w:color w:val="000000" w:themeColor="text1"/>
        </w:rPr>
        <w:t xml:space="preserve">(for generics only) </w:t>
      </w:r>
      <w:r w:rsidR="00994712" w:rsidRPr="000A2E03">
        <w:rPr>
          <w:color w:val="000000" w:themeColor="text1"/>
        </w:rPr>
        <w:t>or discriminatory taxation policies</w:t>
      </w:r>
    </w:p>
    <w:p w14:paraId="54DDEF8F" w14:textId="05491D57" w:rsidR="00A959DB" w:rsidRDefault="00B81D2B" w:rsidP="005215A9">
      <w:pPr>
        <w:pStyle w:val="Tekstpodstawowy"/>
        <w:rPr>
          <w:color w:val="000000" w:themeColor="text1"/>
        </w:rPr>
      </w:pPr>
      <w:r>
        <w:rPr>
          <w:color w:val="000000" w:themeColor="text1"/>
        </w:rPr>
        <w:t xml:space="preserve">Until recently, localisation policy debate and implementation has primarily occurred with governments aiming to </w:t>
      </w:r>
      <w:r w:rsidR="00635404">
        <w:rPr>
          <w:color w:val="000000" w:themeColor="text1"/>
        </w:rPr>
        <w:t xml:space="preserve">drive </w:t>
      </w:r>
      <w:r>
        <w:rPr>
          <w:color w:val="000000" w:themeColor="text1"/>
        </w:rPr>
        <w:t xml:space="preserve">localisation for </w:t>
      </w:r>
      <w:r w:rsidR="008C234D">
        <w:rPr>
          <w:color w:val="000000" w:themeColor="text1"/>
        </w:rPr>
        <w:t xml:space="preserve">perceived </w:t>
      </w:r>
      <w:r w:rsidDel="0053475C">
        <w:rPr>
          <w:color w:val="000000" w:themeColor="text1"/>
        </w:rPr>
        <w:t>economic</w:t>
      </w:r>
      <w:r w:rsidR="00BD4C5B">
        <w:rPr>
          <w:color w:val="000000" w:themeColor="text1"/>
        </w:rPr>
        <w:t xml:space="preserve"> </w:t>
      </w:r>
      <w:r>
        <w:rPr>
          <w:color w:val="000000" w:themeColor="text1"/>
        </w:rPr>
        <w:t>or health system benefits.</w:t>
      </w:r>
      <w:r w:rsidR="00EF05A3">
        <w:rPr>
          <w:color w:val="000000" w:themeColor="text1"/>
        </w:rPr>
        <w:t xml:space="preserve"> </w:t>
      </w:r>
      <w:r w:rsidR="00822E6E">
        <w:rPr>
          <w:color w:val="000000" w:themeColor="text1"/>
        </w:rPr>
        <w:t>T</w:t>
      </w:r>
      <w:r w:rsidR="00170DF3">
        <w:rPr>
          <w:color w:val="000000" w:themeColor="text1"/>
        </w:rPr>
        <w:t xml:space="preserve">his was applied </w:t>
      </w:r>
      <w:r w:rsidR="00822E6E">
        <w:rPr>
          <w:color w:val="000000" w:themeColor="text1"/>
        </w:rPr>
        <w:t>by</w:t>
      </w:r>
      <w:r w:rsidR="00BD4C5B">
        <w:rPr>
          <w:color w:val="000000" w:themeColor="text1"/>
        </w:rPr>
        <w:t xml:space="preserve"> </w:t>
      </w:r>
      <w:r w:rsidR="00EF05A3">
        <w:rPr>
          <w:color w:val="000000" w:themeColor="text1"/>
        </w:rPr>
        <w:t xml:space="preserve">China, </w:t>
      </w:r>
      <w:r w:rsidR="00170DF3">
        <w:rPr>
          <w:color w:val="000000" w:themeColor="text1"/>
        </w:rPr>
        <w:t xml:space="preserve">with </w:t>
      </w:r>
      <w:r w:rsidR="009639ED">
        <w:rPr>
          <w:color w:val="000000" w:themeColor="text1"/>
        </w:rPr>
        <w:t>the ‘Made in China 2025’ strategy aim</w:t>
      </w:r>
      <w:r w:rsidR="00170DF3">
        <w:rPr>
          <w:color w:val="000000" w:themeColor="text1"/>
        </w:rPr>
        <w:t>ing</w:t>
      </w:r>
      <w:r w:rsidR="009639ED">
        <w:rPr>
          <w:color w:val="000000" w:themeColor="text1"/>
        </w:rPr>
        <w:t xml:space="preserve"> </w:t>
      </w:r>
      <w:r w:rsidR="00FB057E">
        <w:rPr>
          <w:color w:val="000000" w:themeColor="text1"/>
        </w:rPr>
        <w:t xml:space="preserve">to </w:t>
      </w:r>
      <w:r w:rsidR="00FB057E" w:rsidRPr="00FB057E">
        <w:rPr>
          <w:color w:val="000000" w:themeColor="text1"/>
        </w:rPr>
        <w:t xml:space="preserve">increase local manufacturing of </w:t>
      </w:r>
      <w:r w:rsidR="00F45710">
        <w:rPr>
          <w:color w:val="000000" w:themeColor="text1"/>
        </w:rPr>
        <w:t xml:space="preserve">innovative </w:t>
      </w:r>
      <w:r w:rsidR="00FB057E" w:rsidRPr="00FB057E">
        <w:rPr>
          <w:color w:val="000000" w:themeColor="text1"/>
        </w:rPr>
        <w:t>pharmaceutical and medical devices in China, supporting a lower time to access and increased availability of innovative drugs</w:t>
      </w:r>
      <w:r w:rsidR="00FB057E">
        <w:rPr>
          <w:color w:val="000000" w:themeColor="text1"/>
        </w:rPr>
        <w:t>.</w:t>
      </w:r>
      <w:r w:rsidR="00D14EBE">
        <w:rPr>
          <w:rStyle w:val="Odwoanieprzypisudolnego"/>
          <w:color w:val="000000" w:themeColor="text1"/>
        </w:rPr>
        <w:footnoteReference w:id="147"/>
      </w:r>
      <w:r w:rsidR="00FB057E">
        <w:rPr>
          <w:color w:val="000000" w:themeColor="text1"/>
        </w:rPr>
        <w:t xml:space="preserve"> I</w:t>
      </w:r>
      <w:r w:rsidR="00F45710">
        <w:rPr>
          <w:color w:val="000000" w:themeColor="text1"/>
        </w:rPr>
        <w:t xml:space="preserve">nnovative medicines produced locally benefit from </w:t>
      </w:r>
      <w:r w:rsidR="00FB057E">
        <w:rPr>
          <w:color w:val="000000" w:themeColor="text1"/>
        </w:rPr>
        <w:t xml:space="preserve">a number of </w:t>
      </w:r>
      <w:r w:rsidR="00300FFB">
        <w:rPr>
          <w:color w:val="000000" w:themeColor="text1"/>
        </w:rPr>
        <w:t>policies, including reduced corporate tax rates</w:t>
      </w:r>
      <w:r w:rsidR="00C35D6C">
        <w:rPr>
          <w:rStyle w:val="Odwoanieprzypisudolnego"/>
          <w:color w:val="000000" w:themeColor="text1"/>
        </w:rPr>
        <w:footnoteReference w:id="148"/>
      </w:r>
      <w:r w:rsidR="00300FFB">
        <w:rPr>
          <w:color w:val="000000" w:themeColor="text1"/>
        </w:rPr>
        <w:t xml:space="preserve"> and</w:t>
      </w:r>
      <w:r w:rsidR="00F45710">
        <w:rPr>
          <w:color w:val="000000" w:themeColor="text1"/>
        </w:rPr>
        <w:t xml:space="preserve"> priority regulatory review</w:t>
      </w:r>
      <w:r w:rsidR="00D14EBE">
        <w:rPr>
          <w:color w:val="000000" w:themeColor="text1"/>
        </w:rPr>
        <w:t>.</w:t>
      </w:r>
      <w:r w:rsidR="00451B45">
        <w:rPr>
          <w:rStyle w:val="Odwoanieprzypisudolnego"/>
          <w:color w:val="000000" w:themeColor="text1"/>
        </w:rPr>
        <w:footnoteReference w:id="149"/>
      </w:r>
      <w:r w:rsidR="00123BBC">
        <w:rPr>
          <w:color w:val="000000" w:themeColor="text1"/>
        </w:rPr>
        <w:t xml:space="preserve"> W</w:t>
      </w:r>
      <w:r w:rsidR="00123BBC">
        <w:t xml:space="preserve">e can observe </w:t>
      </w:r>
      <w:r w:rsidR="002F2E22">
        <w:t>increased pressures for reshoring or</w:t>
      </w:r>
      <w:r w:rsidR="00123BBC">
        <w:t xml:space="preserve"> localisation in </w:t>
      </w:r>
      <w:r w:rsidR="00D06489">
        <w:t xml:space="preserve">the </w:t>
      </w:r>
      <w:r w:rsidR="00D42185">
        <w:t xml:space="preserve">EU </w:t>
      </w:r>
      <w:r w:rsidR="00123BBC">
        <w:t>Member States, which risk harming Europe’s global competitiveness</w:t>
      </w:r>
      <w:r w:rsidR="0053475C">
        <w:t>,</w:t>
      </w:r>
      <w:r w:rsidR="00123BBC">
        <w:t xml:space="preserve"> given the potential for retaliation </w:t>
      </w:r>
      <w:r w:rsidR="0035408F">
        <w:t>or reciprocal</w:t>
      </w:r>
      <w:r w:rsidR="00AB0AAE">
        <w:t xml:space="preserve"> measures</w:t>
      </w:r>
      <w:r w:rsidR="00123BBC">
        <w:t xml:space="preserve"> from other economies.</w:t>
      </w:r>
      <w:r w:rsidR="00123BBC">
        <w:rPr>
          <w:rStyle w:val="Odwoanieprzypisudolnego"/>
        </w:rPr>
        <w:footnoteReference w:id="150"/>
      </w:r>
      <w:r w:rsidR="00123BBC">
        <w:t xml:space="preserve"> To date, the EU has supported global supply chains, and successfully defended against </w:t>
      </w:r>
      <w:r w:rsidR="0053475C">
        <w:t xml:space="preserve">the </w:t>
      </w:r>
      <w:r w:rsidR="00123BBC">
        <w:t xml:space="preserve">implementation of </w:t>
      </w:r>
      <w:r w:rsidR="008F66BC">
        <w:t xml:space="preserve">forced localisation </w:t>
      </w:r>
      <w:r w:rsidR="00123BBC">
        <w:t>policies, most recently in Turkey</w:t>
      </w:r>
      <w:r w:rsidR="000F79EF">
        <w:t>,</w:t>
      </w:r>
      <w:r w:rsidR="00123BBC">
        <w:t xml:space="preserve"> with the World Trade </w:t>
      </w:r>
      <w:r w:rsidR="00123BBC">
        <w:lastRenderedPageBreak/>
        <w:t>Organi</w:t>
      </w:r>
      <w:r w:rsidR="001579F5">
        <w:t>z</w:t>
      </w:r>
      <w:r w:rsidR="00123BBC">
        <w:t xml:space="preserve">ation (WTO) ruling against forced localisation </w:t>
      </w:r>
      <w:r w:rsidR="00807287">
        <w:t xml:space="preserve">measures </w:t>
      </w:r>
      <w:r w:rsidR="00123BBC">
        <w:t>in July 2022</w:t>
      </w:r>
      <w:r w:rsidR="000F79EF">
        <w:t xml:space="preserve"> </w:t>
      </w:r>
      <w:r w:rsidR="001579F5">
        <w:t xml:space="preserve">being </w:t>
      </w:r>
      <w:r w:rsidR="000F79EF">
        <w:t>upheld.</w:t>
      </w:r>
      <w:r w:rsidR="00123BBC">
        <w:rPr>
          <w:rStyle w:val="Odwoanieprzypisudolnego"/>
        </w:rPr>
        <w:footnoteReference w:id="151"/>
      </w:r>
    </w:p>
    <w:p w14:paraId="1A002D35" w14:textId="53DF2679" w:rsidR="00246347" w:rsidRPr="00AC6680" w:rsidRDefault="00826B4B" w:rsidP="005215A9">
      <w:pPr>
        <w:pStyle w:val="Tekstpodstawowy"/>
        <w:rPr>
          <w:color w:val="000000" w:themeColor="text1"/>
        </w:rPr>
      </w:pPr>
      <w:r>
        <w:rPr>
          <w:color w:val="000000" w:themeColor="text1"/>
        </w:rPr>
        <w:t>Although t</w:t>
      </w:r>
      <w:r w:rsidR="00246347">
        <w:rPr>
          <w:color w:val="000000" w:themeColor="text1"/>
        </w:rPr>
        <w:t>h</w:t>
      </w:r>
      <w:r w:rsidR="001E7555">
        <w:rPr>
          <w:color w:val="000000" w:themeColor="text1"/>
        </w:rPr>
        <w:t>e localisation</w:t>
      </w:r>
      <w:r w:rsidR="00246347">
        <w:rPr>
          <w:color w:val="000000" w:themeColor="text1"/>
        </w:rPr>
        <w:t xml:space="preserve"> </w:t>
      </w:r>
      <w:r w:rsidR="001745CB">
        <w:rPr>
          <w:color w:val="000000" w:themeColor="text1"/>
        </w:rPr>
        <w:t>debate</w:t>
      </w:r>
      <w:r>
        <w:rPr>
          <w:color w:val="000000" w:themeColor="text1"/>
        </w:rPr>
        <w:t xml:space="preserve"> started </w:t>
      </w:r>
      <w:r w:rsidR="00D42185">
        <w:rPr>
          <w:color w:val="000000" w:themeColor="text1"/>
        </w:rPr>
        <w:t xml:space="preserve">in the EU </w:t>
      </w:r>
      <w:r w:rsidR="00C10016">
        <w:rPr>
          <w:color w:val="000000" w:themeColor="text1"/>
        </w:rPr>
        <w:t>with the discussion on drug shorta</w:t>
      </w:r>
      <w:r w:rsidR="00754404">
        <w:rPr>
          <w:color w:val="000000" w:themeColor="text1"/>
        </w:rPr>
        <w:t>g</w:t>
      </w:r>
      <w:r w:rsidR="00C10016">
        <w:rPr>
          <w:color w:val="000000" w:themeColor="text1"/>
        </w:rPr>
        <w:t>es</w:t>
      </w:r>
      <w:r w:rsidR="00754404">
        <w:rPr>
          <w:color w:val="000000" w:themeColor="text1"/>
        </w:rPr>
        <w:t>,</w:t>
      </w:r>
      <w:r w:rsidR="00C10016">
        <w:rPr>
          <w:color w:val="000000" w:themeColor="text1"/>
        </w:rPr>
        <w:t xml:space="preserve"> it</w:t>
      </w:r>
      <w:r w:rsidR="00246347">
        <w:rPr>
          <w:color w:val="000000" w:themeColor="text1"/>
        </w:rPr>
        <w:t xml:space="preserve"> has accelerated as a result of </w:t>
      </w:r>
      <w:r w:rsidR="00D42185">
        <w:rPr>
          <w:color w:val="000000" w:themeColor="text1"/>
        </w:rPr>
        <w:t>a crisis situation (</w:t>
      </w:r>
      <w:r w:rsidR="00C4573D">
        <w:rPr>
          <w:color w:val="000000" w:themeColor="text1"/>
        </w:rPr>
        <w:t xml:space="preserve">initially the </w:t>
      </w:r>
      <w:r w:rsidR="00D42185">
        <w:rPr>
          <w:color w:val="000000" w:themeColor="text1"/>
        </w:rPr>
        <w:t>Iceland volcano eruption,</w:t>
      </w:r>
      <w:r w:rsidR="00BD4C5B">
        <w:rPr>
          <w:color w:val="000000" w:themeColor="text1"/>
        </w:rPr>
        <w:t xml:space="preserve"> </w:t>
      </w:r>
      <w:r w:rsidR="00C4573D">
        <w:rPr>
          <w:color w:val="000000" w:themeColor="text1"/>
        </w:rPr>
        <w:t xml:space="preserve">followed by the </w:t>
      </w:r>
      <w:r w:rsidR="00246347">
        <w:rPr>
          <w:color w:val="000000" w:themeColor="text1"/>
        </w:rPr>
        <w:t>COVID-19 pandemic</w:t>
      </w:r>
      <w:r w:rsidR="00D42185">
        <w:rPr>
          <w:color w:val="000000" w:themeColor="text1"/>
        </w:rPr>
        <w:t>)</w:t>
      </w:r>
      <w:r w:rsidR="00A959DB">
        <w:rPr>
          <w:color w:val="000000" w:themeColor="text1"/>
        </w:rPr>
        <w:t>,</w:t>
      </w:r>
      <w:r w:rsidR="003E37D2">
        <w:rPr>
          <w:color w:val="000000" w:themeColor="text1"/>
        </w:rPr>
        <w:t xml:space="preserve"> as countries seek localisation as a</w:t>
      </w:r>
      <w:r w:rsidR="006A353B">
        <w:rPr>
          <w:color w:val="000000" w:themeColor="text1"/>
        </w:rPr>
        <w:t xml:space="preserve">n empirical </w:t>
      </w:r>
      <w:r w:rsidR="003E37D2">
        <w:rPr>
          <w:color w:val="000000" w:themeColor="text1"/>
        </w:rPr>
        <w:t xml:space="preserve">means to </w:t>
      </w:r>
      <w:r w:rsidR="001745CB">
        <w:rPr>
          <w:color w:val="000000" w:themeColor="text1"/>
        </w:rPr>
        <w:t xml:space="preserve">protect supply continuity in case of global supply chain disruption. </w:t>
      </w:r>
      <w:r w:rsidR="00DF5549">
        <w:rPr>
          <w:color w:val="000000" w:themeColor="text1"/>
        </w:rPr>
        <w:t>Although in</w:t>
      </w:r>
      <w:r w:rsidR="00DF5549" w:rsidRPr="00DF5549">
        <w:rPr>
          <w:color w:val="000000" w:themeColor="text1"/>
        </w:rPr>
        <w:t xml:space="preserve"> 2021 the Biden Administration withdrew</w:t>
      </w:r>
      <w:r w:rsidR="00DF5549">
        <w:rPr>
          <w:color w:val="000000" w:themeColor="text1"/>
        </w:rPr>
        <w:t xml:space="preserve"> the proposal</w:t>
      </w:r>
      <w:r w:rsidR="001579F5">
        <w:rPr>
          <w:color w:val="000000" w:themeColor="text1"/>
        </w:rPr>
        <w:t>,</w:t>
      </w:r>
      <w:r w:rsidR="004B2387">
        <w:rPr>
          <w:rStyle w:val="Odwoanieprzypisudolnego"/>
          <w:color w:val="000000" w:themeColor="text1"/>
        </w:rPr>
        <w:footnoteReference w:id="152"/>
      </w:r>
      <w:r w:rsidR="00DF5549">
        <w:rPr>
          <w:color w:val="000000" w:themeColor="text1"/>
        </w:rPr>
        <w:t xml:space="preserve"> f</w:t>
      </w:r>
      <w:r w:rsidR="00DE2FCF">
        <w:rPr>
          <w:color w:val="000000" w:themeColor="text1"/>
        </w:rPr>
        <w:t>orced localisation was politically backed in the US in 202</w:t>
      </w:r>
      <w:r w:rsidR="00CF6ABD">
        <w:rPr>
          <w:color w:val="000000" w:themeColor="text1"/>
        </w:rPr>
        <w:t>0</w:t>
      </w:r>
      <w:r w:rsidR="00DE2FCF">
        <w:rPr>
          <w:color w:val="000000" w:themeColor="text1"/>
        </w:rPr>
        <w:t xml:space="preserve"> with </w:t>
      </w:r>
      <w:r w:rsidR="00CD7C66">
        <w:rPr>
          <w:color w:val="000000" w:themeColor="text1"/>
        </w:rPr>
        <w:t xml:space="preserve">the Trump </w:t>
      </w:r>
      <w:r w:rsidR="001579F5">
        <w:rPr>
          <w:color w:val="000000" w:themeColor="text1"/>
        </w:rPr>
        <w:t>a</w:t>
      </w:r>
      <w:r w:rsidR="00CD7C66">
        <w:rPr>
          <w:color w:val="000000" w:themeColor="text1"/>
        </w:rPr>
        <w:t xml:space="preserve">dministration’s </w:t>
      </w:r>
      <w:r w:rsidR="001579F5">
        <w:rPr>
          <w:color w:val="000000" w:themeColor="text1"/>
        </w:rPr>
        <w:t>‘</w:t>
      </w:r>
      <w:r w:rsidR="00824481">
        <w:rPr>
          <w:color w:val="000000" w:themeColor="text1"/>
        </w:rPr>
        <w:t>Buy American</w:t>
      </w:r>
      <w:r w:rsidR="001579F5">
        <w:rPr>
          <w:color w:val="000000" w:themeColor="text1"/>
        </w:rPr>
        <w:t>’</w:t>
      </w:r>
      <w:r w:rsidR="00824481">
        <w:rPr>
          <w:color w:val="000000" w:themeColor="text1"/>
        </w:rPr>
        <w:t xml:space="preserve"> Executive Order for purchases of essential medicines</w:t>
      </w:r>
      <w:r w:rsidR="00031D87">
        <w:rPr>
          <w:color w:val="000000" w:themeColor="text1"/>
        </w:rPr>
        <w:t>, requiring that these be removed from the coverage of any international free trade agreements.</w:t>
      </w:r>
      <w:r w:rsidR="00F0183D">
        <w:rPr>
          <w:rStyle w:val="Odwoanieprzypisudolnego"/>
          <w:color w:val="000000" w:themeColor="text1"/>
        </w:rPr>
        <w:footnoteReference w:id="153"/>
      </w:r>
      <w:r w:rsidR="00824481">
        <w:rPr>
          <w:color w:val="000000" w:themeColor="text1"/>
        </w:rPr>
        <w:t xml:space="preserve"> </w:t>
      </w:r>
      <w:r w:rsidR="001579F5">
        <w:rPr>
          <w:color w:val="000000" w:themeColor="text1"/>
        </w:rPr>
        <w:t>S</w:t>
      </w:r>
      <w:r w:rsidR="00750342">
        <w:rPr>
          <w:color w:val="000000" w:themeColor="text1"/>
        </w:rPr>
        <w:t>imilar debate</w:t>
      </w:r>
      <w:r w:rsidR="001579F5">
        <w:rPr>
          <w:color w:val="000000" w:themeColor="text1"/>
        </w:rPr>
        <w:t>s</w:t>
      </w:r>
      <w:r w:rsidR="00750342">
        <w:rPr>
          <w:color w:val="000000" w:themeColor="text1"/>
        </w:rPr>
        <w:t xml:space="preserve"> can be observed in </w:t>
      </w:r>
      <w:r w:rsidR="006A353B">
        <w:rPr>
          <w:color w:val="000000" w:themeColor="text1"/>
        </w:rPr>
        <w:t xml:space="preserve">Russia, </w:t>
      </w:r>
      <w:r w:rsidR="00D42185">
        <w:rPr>
          <w:color w:val="000000" w:themeColor="text1"/>
        </w:rPr>
        <w:t xml:space="preserve">Brazil, </w:t>
      </w:r>
      <w:r w:rsidR="00750342">
        <w:rPr>
          <w:color w:val="000000" w:themeColor="text1"/>
        </w:rPr>
        <w:t>T</w:t>
      </w:r>
      <w:r w:rsidR="006A353B">
        <w:rPr>
          <w:color w:val="000000" w:themeColor="text1"/>
        </w:rPr>
        <w:t xml:space="preserve">urkey and China. </w:t>
      </w:r>
      <w:r w:rsidR="00D42185">
        <w:rPr>
          <w:color w:val="000000" w:themeColor="text1"/>
        </w:rPr>
        <w:t>In the EU, t</w:t>
      </w:r>
      <w:r w:rsidR="00601BB9">
        <w:rPr>
          <w:color w:val="000000" w:themeColor="text1"/>
        </w:rPr>
        <w:t>he European P</w:t>
      </w:r>
      <w:r w:rsidR="005F7C5F">
        <w:rPr>
          <w:color w:val="000000" w:themeColor="text1"/>
        </w:rPr>
        <w:t xml:space="preserve">arliament </w:t>
      </w:r>
      <w:r w:rsidR="001579F5">
        <w:rPr>
          <w:color w:val="000000" w:themeColor="text1"/>
        </w:rPr>
        <w:t xml:space="preserve">has </w:t>
      </w:r>
      <w:r w:rsidR="005F7C5F">
        <w:rPr>
          <w:color w:val="000000" w:themeColor="text1"/>
        </w:rPr>
        <w:t xml:space="preserve">highlighted the importance of </w:t>
      </w:r>
      <w:r w:rsidR="0070544D">
        <w:rPr>
          <w:color w:val="000000" w:themeColor="text1"/>
        </w:rPr>
        <w:t xml:space="preserve">a more proactive EU policy on </w:t>
      </w:r>
      <w:r w:rsidR="00036A47">
        <w:rPr>
          <w:color w:val="000000" w:themeColor="text1"/>
        </w:rPr>
        <w:t>reshoring</w:t>
      </w:r>
      <w:r w:rsidR="00F80669">
        <w:rPr>
          <w:color w:val="000000" w:themeColor="text1"/>
        </w:rPr>
        <w:t xml:space="preserve"> </w:t>
      </w:r>
      <w:r w:rsidR="00A2194D">
        <w:rPr>
          <w:color w:val="000000" w:themeColor="text1"/>
        </w:rPr>
        <w:t>the pharmaceutical industry to mitigate concerns around supply security, focusing</w:t>
      </w:r>
      <w:r w:rsidR="00A052F6">
        <w:rPr>
          <w:color w:val="000000" w:themeColor="text1"/>
        </w:rPr>
        <w:t xml:space="preserve"> on </w:t>
      </w:r>
      <w:r w:rsidR="00795D0E">
        <w:rPr>
          <w:color w:val="000000" w:themeColor="text1"/>
        </w:rPr>
        <w:t>generic API</w:t>
      </w:r>
      <w:r w:rsidR="00F80669">
        <w:rPr>
          <w:color w:val="000000" w:themeColor="text1"/>
        </w:rPr>
        <w:t>.</w:t>
      </w:r>
      <w:r w:rsidR="0039251B">
        <w:rPr>
          <w:rStyle w:val="Odwoanieprzypisudolnego"/>
          <w:color w:val="000000" w:themeColor="text1"/>
        </w:rPr>
        <w:footnoteReference w:id="154"/>
      </w:r>
      <w:r w:rsidR="00F95DDC">
        <w:rPr>
          <w:color w:val="000000" w:themeColor="text1"/>
        </w:rPr>
        <w:t xml:space="preserve"> </w:t>
      </w:r>
    </w:p>
    <w:p w14:paraId="05F02EAE" w14:textId="32D3C5E7" w:rsidR="00F64625" w:rsidRDefault="00F64625" w:rsidP="00F64625">
      <w:pPr>
        <w:pStyle w:val="Nagwek4"/>
      </w:pPr>
      <w:r>
        <w:t xml:space="preserve">The impact of new technology: </w:t>
      </w:r>
      <w:r w:rsidR="00E02ED1">
        <w:t>l</w:t>
      </w:r>
      <w:r w:rsidR="001A60E3">
        <w:t xml:space="preserve">earnings from </w:t>
      </w:r>
      <w:r w:rsidR="000750EE">
        <w:t>c</w:t>
      </w:r>
      <w:r>
        <w:t>ontinuous manufacturing</w:t>
      </w:r>
    </w:p>
    <w:p w14:paraId="5C20DAA5" w14:textId="0551C9E0" w:rsidR="00751D8C" w:rsidRDefault="00D42185" w:rsidP="00993D50">
      <w:pPr>
        <w:pStyle w:val="Tekstpodstawowy"/>
        <w:rPr>
          <w:color w:val="000000" w:themeColor="text1"/>
        </w:rPr>
      </w:pPr>
      <w:r>
        <w:rPr>
          <w:color w:val="000000" w:themeColor="text1"/>
        </w:rPr>
        <w:t xml:space="preserve">Crisis situations like the </w:t>
      </w:r>
      <w:r w:rsidR="00087B4A">
        <w:rPr>
          <w:color w:val="000000" w:themeColor="text1"/>
        </w:rPr>
        <w:t>COVID-19 pandemic ha</w:t>
      </w:r>
      <w:r>
        <w:rPr>
          <w:color w:val="000000" w:themeColor="text1"/>
        </w:rPr>
        <w:t>ve</w:t>
      </w:r>
      <w:r w:rsidR="00087B4A">
        <w:rPr>
          <w:color w:val="000000" w:themeColor="text1"/>
        </w:rPr>
        <w:t xml:space="preserve"> also accelerated other manufacturing trends.</w:t>
      </w:r>
      <w:r w:rsidR="00F273E8">
        <w:rPr>
          <w:color w:val="000000" w:themeColor="text1"/>
        </w:rPr>
        <w:t xml:space="preserve"> </w:t>
      </w:r>
      <w:r w:rsidR="00D07296">
        <w:rPr>
          <w:color w:val="000000" w:themeColor="text1"/>
        </w:rPr>
        <w:t>Well-</w:t>
      </w:r>
      <w:r w:rsidR="00FB08B2">
        <w:rPr>
          <w:color w:val="000000" w:themeColor="text1"/>
        </w:rPr>
        <w:t>established technique</w:t>
      </w:r>
      <w:r w:rsidR="00A060F0">
        <w:rPr>
          <w:color w:val="000000" w:themeColor="text1"/>
        </w:rPr>
        <w:t>s</w:t>
      </w:r>
      <w:r w:rsidR="00FB08B2">
        <w:rPr>
          <w:color w:val="000000" w:themeColor="text1"/>
        </w:rPr>
        <w:t xml:space="preserve"> in other industries (</w:t>
      </w:r>
      <w:r w:rsidR="005B5355">
        <w:rPr>
          <w:color w:val="000000" w:themeColor="text1"/>
        </w:rPr>
        <w:t>e.g.</w:t>
      </w:r>
      <w:r w:rsidR="00FB08B2">
        <w:rPr>
          <w:color w:val="000000" w:themeColor="text1"/>
        </w:rPr>
        <w:t xml:space="preserve"> food</w:t>
      </w:r>
      <w:r w:rsidR="00A060F0">
        <w:rPr>
          <w:color w:val="000000" w:themeColor="text1"/>
        </w:rPr>
        <w:t xml:space="preserve"> and</w:t>
      </w:r>
      <w:r w:rsidR="00FB08B2">
        <w:rPr>
          <w:color w:val="000000" w:themeColor="text1"/>
        </w:rPr>
        <w:t xml:space="preserve"> vitamins) </w:t>
      </w:r>
      <w:r w:rsidR="00E02ED1">
        <w:rPr>
          <w:color w:val="000000" w:themeColor="text1"/>
        </w:rPr>
        <w:t xml:space="preserve">such as </w:t>
      </w:r>
      <w:r w:rsidR="00FB08B2">
        <w:rPr>
          <w:color w:val="000000" w:themeColor="text1"/>
        </w:rPr>
        <w:t xml:space="preserve">continuous </w:t>
      </w:r>
      <w:r w:rsidR="00F273E8">
        <w:rPr>
          <w:color w:val="000000" w:themeColor="text1"/>
        </w:rPr>
        <w:t>manufacturing ha</w:t>
      </w:r>
      <w:r w:rsidR="00A060F0">
        <w:rPr>
          <w:color w:val="000000" w:themeColor="text1"/>
        </w:rPr>
        <w:t>ve</w:t>
      </w:r>
      <w:r w:rsidR="00F273E8">
        <w:rPr>
          <w:color w:val="000000" w:themeColor="text1"/>
        </w:rPr>
        <w:t xml:space="preserve"> </w:t>
      </w:r>
      <w:r w:rsidR="003161FE">
        <w:rPr>
          <w:color w:val="000000" w:themeColor="text1"/>
        </w:rPr>
        <w:t xml:space="preserve">often been cited as another solution for increasing the strength of </w:t>
      </w:r>
      <w:r w:rsidR="00FB08B2">
        <w:rPr>
          <w:color w:val="000000" w:themeColor="text1"/>
        </w:rPr>
        <w:t xml:space="preserve">pharmaceutical </w:t>
      </w:r>
      <w:r w:rsidR="003161FE">
        <w:rPr>
          <w:color w:val="000000" w:themeColor="text1"/>
        </w:rPr>
        <w:t>supply chains</w:t>
      </w:r>
      <w:r w:rsidR="00210929">
        <w:rPr>
          <w:color w:val="000000" w:themeColor="text1"/>
        </w:rPr>
        <w:t xml:space="preserve">, </w:t>
      </w:r>
      <w:r w:rsidR="00553CB7">
        <w:rPr>
          <w:color w:val="000000" w:themeColor="text1"/>
        </w:rPr>
        <w:t>and th</w:t>
      </w:r>
      <w:r w:rsidR="00D07296">
        <w:rPr>
          <w:color w:val="000000" w:themeColor="text1"/>
        </w:rPr>
        <w:t>e pandemic has reinvigorated this</w:t>
      </w:r>
      <w:r w:rsidR="009427AC">
        <w:rPr>
          <w:color w:val="000000" w:themeColor="text1"/>
        </w:rPr>
        <w:t>.</w:t>
      </w:r>
      <w:r w:rsidR="00AE065B">
        <w:rPr>
          <w:rStyle w:val="Odwoanieprzypisudolnego"/>
          <w:color w:val="000000" w:themeColor="text1"/>
        </w:rPr>
        <w:footnoteReference w:id="155"/>
      </w:r>
      <w:r w:rsidR="00BD4C5B">
        <w:rPr>
          <w:color w:val="000000" w:themeColor="text1"/>
        </w:rPr>
        <w:t xml:space="preserve"> </w:t>
      </w:r>
      <w:r>
        <w:rPr>
          <w:color w:val="000000" w:themeColor="text1"/>
        </w:rPr>
        <w:t>Furthermore</w:t>
      </w:r>
      <w:r w:rsidR="00FB08B2">
        <w:rPr>
          <w:color w:val="000000" w:themeColor="text1"/>
        </w:rPr>
        <w:t>,</w:t>
      </w:r>
      <w:r>
        <w:rPr>
          <w:color w:val="000000" w:themeColor="text1"/>
        </w:rPr>
        <w:t xml:space="preserve"> there is the development of the harmonised standard for filing under the International Council </w:t>
      </w:r>
      <w:r w:rsidR="00E02ED1">
        <w:rPr>
          <w:color w:val="000000" w:themeColor="text1"/>
        </w:rPr>
        <w:t xml:space="preserve">for </w:t>
      </w:r>
      <w:r>
        <w:rPr>
          <w:color w:val="000000" w:themeColor="text1"/>
        </w:rPr>
        <w:t xml:space="preserve">Harmonisation (ICH Q13 guideline). </w:t>
      </w:r>
      <w:r w:rsidR="008D73B9">
        <w:rPr>
          <w:color w:val="000000" w:themeColor="text1"/>
        </w:rPr>
        <w:t xml:space="preserve">Continuous manufacturing </w:t>
      </w:r>
      <w:r w:rsidR="002C35C4">
        <w:rPr>
          <w:color w:val="000000" w:themeColor="text1"/>
        </w:rPr>
        <w:t xml:space="preserve">contrasts </w:t>
      </w:r>
      <w:r w:rsidR="00D14E9E">
        <w:rPr>
          <w:color w:val="000000" w:themeColor="text1"/>
        </w:rPr>
        <w:t xml:space="preserve">with </w:t>
      </w:r>
      <w:r w:rsidR="002C35C4">
        <w:rPr>
          <w:color w:val="000000" w:themeColor="text1"/>
        </w:rPr>
        <w:t xml:space="preserve">traditional batch manufacturing in that </w:t>
      </w:r>
      <w:r w:rsidR="00F376CE">
        <w:rPr>
          <w:color w:val="000000" w:themeColor="text1"/>
        </w:rPr>
        <w:t xml:space="preserve">the production of </w:t>
      </w:r>
      <w:r>
        <w:rPr>
          <w:color w:val="000000" w:themeColor="text1"/>
        </w:rPr>
        <w:t xml:space="preserve">APIs or </w:t>
      </w:r>
      <w:r w:rsidR="00F376CE">
        <w:rPr>
          <w:color w:val="000000" w:themeColor="text1"/>
        </w:rPr>
        <w:t xml:space="preserve">drugs occurs in a continuous flow rather than in stop-start </w:t>
      </w:r>
      <w:r w:rsidR="00D14E9E">
        <w:rPr>
          <w:color w:val="000000" w:themeColor="text1"/>
        </w:rPr>
        <w:t xml:space="preserve">multi-step </w:t>
      </w:r>
      <w:r w:rsidR="00F376CE">
        <w:rPr>
          <w:color w:val="000000" w:themeColor="text1"/>
        </w:rPr>
        <w:t>batches.</w:t>
      </w:r>
      <w:r w:rsidR="00895EC1">
        <w:rPr>
          <w:rStyle w:val="Odwoanieprzypisudolnego"/>
          <w:color w:val="000000" w:themeColor="text1"/>
        </w:rPr>
        <w:footnoteReference w:id="156"/>
      </w:r>
      <w:r w:rsidR="009427AC">
        <w:rPr>
          <w:color w:val="000000" w:themeColor="text1"/>
        </w:rPr>
        <w:t xml:space="preserve"> </w:t>
      </w:r>
      <w:r>
        <w:rPr>
          <w:color w:val="000000" w:themeColor="text1"/>
        </w:rPr>
        <w:t>Furthermore</w:t>
      </w:r>
      <w:r w:rsidR="00B301B2">
        <w:rPr>
          <w:color w:val="000000" w:themeColor="text1"/>
        </w:rPr>
        <w:t>,</w:t>
      </w:r>
      <w:r>
        <w:rPr>
          <w:color w:val="000000" w:themeColor="text1"/>
        </w:rPr>
        <w:t xml:space="preserve"> it</w:t>
      </w:r>
      <w:r w:rsidR="006217FB">
        <w:rPr>
          <w:color w:val="000000" w:themeColor="text1"/>
        </w:rPr>
        <w:t xml:space="preserve"> can</w:t>
      </w:r>
      <w:r>
        <w:rPr>
          <w:color w:val="000000" w:themeColor="text1"/>
        </w:rPr>
        <w:t xml:space="preserve"> decreas</w:t>
      </w:r>
      <w:r w:rsidR="006217FB">
        <w:rPr>
          <w:color w:val="000000" w:themeColor="text1"/>
        </w:rPr>
        <w:t>e</w:t>
      </w:r>
      <w:r>
        <w:rPr>
          <w:color w:val="000000" w:themeColor="text1"/>
        </w:rPr>
        <w:t xml:space="preserve"> the environmental footprint </w:t>
      </w:r>
      <w:r w:rsidR="006217FB">
        <w:rPr>
          <w:color w:val="000000" w:themeColor="text1"/>
        </w:rPr>
        <w:t>by enabling</w:t>
      </w:r>
      <w:r>
        <w:rPr>
          <w:color w:val="000000" w:themeColor="text1"/>
        </w:rPr>
        <w:t xml:space="preserve"> </w:t>
      </w:r>
      <w:r w:rsidR="00FB08B2">
        <w:rPr>
          <w:color w:val="000000" w:themeColor="text1"/>
        </w:rPr>
        <w:t>smaller factory size</w:t>
      </w:r>
      <w:r w:rsidR="006217FB">
        <w:rPr>
          <w:color w:val="000000" w:themeColor="text1"/>
        </w:rPr>
        <w:t>s</w:t>
      </w:r>
      <w:r w:rsidR="00FB08B2">
        <w:rPr>
          <w:color w:val="000000" w:themeColor="text1"/>
        </w:rPr>
        <w:t xml:space="preserve">, using </w:t>
      </w:r>
      <w:r>
        <w:rPr>
          <w:color w:val="000000" w:themeColor="text1"/>
        </w:rPr>
        <w:t>less territory and energy</w:t>
      </w:r>
      <w:r w:rsidR="00E02ED1">
        <w:rPr>
          <w:color w:val="000000" w:themeColor="text1"/>
        </w:rPr>
        <w:t>,</w:t>
      </w:r>
      <w:r>
        <w:rPr>
          <w:color w:val="000000" w:themeColor="text1"/>
        </w:rPr>
        <w:t xml:space="preserve"> </w:t>
      </w:r>
      <w:r w:rsidR="00FB08B2">
        <w:rPr>
          <w:color w:val="000000" w:themeColor="text1"/>
        </w:rPr>
        <w:t>as well as</w:t>
      </w:r>
      <w:r>
        <w:rPr>
          <w:color w:val="000000" w:themeColor="text1"/>
        </w:rPr>
        <w:t xml:space="preserve"> </w:t>
      </w:r>
      <w:r w:rsidR="006217FB">
        <w:rPr>
          <w:color w:val="000000" w:themeColor="text1"/>
        </w:rPr>
        <w:t xml:space="preserve">reducing </w:t>
      </w:r>
      <w:r>
        <w:rPr>
          <w:color w:val="000000" w:themeColor="text1"/>
        </w:rPr>
        <w:t xml:space="preserve">unproductive cleaning </w:t>
      </w:r>
      <w:r w:rsidR="006217FB">
        <w:rPr>
          <w:color w:val="000000" w:themeColor="text1"/>
        </w:rPr>
        <w:t>cycles</w:t>
      </w:r>
      <w:r>
        <w:rPr>
          <w:color w:val="000000" w:themeColor="text1"/>
        </w:rPr>
        <w:t>. Even smaller qua</w:t>
      </w:r>
      <w:r w:rsidR="006217FB">
        <w:rPr>
          <w:color w:val="000000" w:themeColor="text1"/>
        </w:rPr>
        <w:t>n</w:t>
      </w:r>
      <w:r>
        <w:rPr>
          <w:color w:val="000000" w:themeColor="text1"/>
        </w:rPr>
        <w:t>t</w:t>
      </w:r>
      <w:r w:rsidR="006217FB">
        <w:rPr>
          <w:color w:val="000000" w:themeColor="text1"/>
        </w:rPr>
        <w:t>it</w:t>
      </w:r>
      <w:r>
        <w:rPr>
          <w:color w:val="000000" w:themeColor="text1"/>
        </w:rPr>
        <w:t xml:space="preserve">ies can be </w:t>
      </w:r>
      <w:r w:rsidR="00A32716">
        <w:rPr>
          <w:color w:val="000000" w:themeColor="text1"/>
        </w:rPr>
        <w:t>manufactured,</w:t>
      </w:r>
      <w:r w:rsidR="00FB08B2">
        <w:rPr>
          <w:color w:val="000000" w:themeColor="text1"/>
        </w:rPr>
        <w:t xml:space="preserve"> and alternative facility setups can be used</w:t>
      </w:r>
      <w:r w:rsidR="006217FB">
        <w:rPr>
          <w:color w:val="000000" w:themeColor="text1"/>
        </w:rPr>
        <w:t>, such as containers</w:t>
      </w:r>
      <w:r>
        <w:rPr>
          <w:color w:val="000000" w:themeColor="text1"/>
        </w:rPr>
        <w:t xml:space="preserve">. </w:t>
      </w:r>
    </w:p>
    <w:p w14:paraId="1B84566B" w14:textId="2DBA4A60" w:rsidR="0038783D" w:rsidRPr="00CE1FD4" w:rsidRDefault="00D17506" w:rsidP="00993D50">
      <w:pPr>
        <w:pStyle w:val="Tekstpodstawowy"/>
        <w:rPr>
          <w:color w:val="000000" w:themeColor="text1"/>
        </w:rPr>
      </w:pPr>
      <w:r>
        <w:rPr>
          <w:color w:val="000000" w:themeColor="text1"/>
        </w:rPr>
        <w:lastRenderedPageBreak/>
        <w:t xml:space="preserve">The pandemic </w:t>
      </w:r>
      <w:r w:rsidR="00CC4D28">
        <w:rPr>
          <w:color w:val="000000" w:themeColor="text1"/>
        </w:rPr>
        <w:t>increased the debate on continuous manufacturing</w:t>
      </w:r>
      <w:r w:rsidR="003B176A">
        <w:rPr>
          <w:color w:val="000000" w:themeColor="text1"/>
        </w:rPr>
        <w:t>, although a trend was already evident</w:t>
      </w:r>
      <w:r w:rsidR="00ED3E2E">
        <w:rPr>
          <w:color w:val="000000" w:themeColor="text1"/>
        </w:rPr>
        <w:t xml:space="preserve"> with major pharmaceutical companies such as Novartis, Johnson &amp; Johnson</w:t>
      </w:r>
      <w:r w:rsidR="00FB08B2">
        <w:rPr>
          <w:color w:val="000000" w:themeColor="text1"/>
        </w:rPr>
        <w:t>,</w:t>
      </w:r>
      <w:r w:rsidR="00ED3E2E">
        <w:rPr>
          <w:color w:val="000000" w:themeColor="text1"/>
        </w:rPr>
        <w:t xml:space="preserve"> </w:t>
      </w:r>
      <w:r w:rsidR="00FB08B2">
        <w:rPr>
          <w:color w:val="000000" w:themeColor="text1"/>
        </w:rPr>
        <w:t>Amgen</w:t>
      </w:r>
      <w:r w:rsidR="00E02ED1">
        <w:rPr>
          <w:color w:val="000000" w:themeColor="text1"/>
        </w:rPr>
        <w:t>,</w:t>
      </w:r>
      <w:r w:rsidR="00ED3E2E">
        <w:rPr>
          <w:color w:val="000000" w:themeColor="text1"/>
        </w:rPr>
        <w:t xml:space="preserve"> and Eli L</w:t>
      </w:r>
      <w:r w:rsidR="0046300B">
        <w:rPr>
          <w:color w:val="000000" w:themeColor="text1"/>
        </w:rPr>
        <w:t>illy</w:t>
      </w:r>
      <w:r w:rsidR="00690F41">
        <w:rPr>
          <w:color w:val="000000" w:themeColor="text1"/>
        </w:rPr>
        <w:t xml:space="preserve"> making use of the technology</w:t>
      </w:r>
      <w:r w:rsidR="00C65DB6">
        <w:rPr>
          <w:color w:val="000000" w:themeColor="text1"/>
        </w:rPr>
        <w:t xml:space="preserve"> for parts of their manufacturing processes</w:t>
      </w:r>
      <w:r w:rsidR="003B176A">
        <w:rPr>
          <w:color w:val="000000" w:themeColor="text1"/>
        </w:rPr>
        <w:t>.</w:t>
      </w:r>
      <w:bookmarkStart w:id="134" w:name="_Ref106291198"/>
      <w:r w:rsidR="00592C18">
        <w:rPr>
          <w:rStyle w:val="Odwoanieprzypisudolnego"/>
          <w:color w:val="000000" w:themeColor="text1"/>
        </w:rPr>
        <w:footnoteReference w:id="157"/>
      </w:r>
      <w:bookmarkEnd w:id="134"/>
      <w:r w:rsidR="003B176A">
        <w:rPr>
          <w:color w:val="000000" w:themeColor="text1"/>
        </w:rPr>
        <w:t xml:space="preserve"> </w:t>
      </w:r>
      <w:r w:rsidR="00993D50">
        <w:rPr>
          <w:color w:val="000000" w:themeColor="text1"/>
        </w:rPr>
        <w:t xml:space="preserve">Although this may not affect location decisions for some companies </w:t>
      </w:r>
      <w:r w:rsidR="00E02ED1">
        <w:rPr>
          <w:rFonts w:cs="Arial"/>
          <w:color w:val="000000" w:themeColor="text1"/>
        </w:rPr>
        <w:t>–</w:t>
      </w:r>
      <w:r w:rsidR="00993D50">
        <w:rPr>
          <w:color w:val="000000" w:themeColor="text1"/>
        </w:rPr>
        <w:t xml:space="preserve"> </w:t>
      </w:r>
      <w:r w:rsidR="00387423">
        <w:rPr>
          <w:color w:val="000000" w:themeColor="text1"/>
        </w:rPr>
        <w:t>Pfizer</w:t>
      </w:r>
      <w:r w:rsidR="00A831B0">
        <w:rPr>
          <w:color w:val="000000" w:themeColor="text1"/>
        </w:rPr>
        <w:t>,</w:t>
      </w:r>
      <w:r w:rsidR="00A601D8">
        <w:rPr>
          <w:color w:val="000000" w:themeColor="text1"/>
        </w:rPr>
        <w:t xml:space="preserve"> being one of the first companies to venture into continuous manufacturing technology</w:t>
      </w:r>
      <w:r w:rsidR="00A831B0">
        <w:rPr>
          <w:color w:val="000000" w:themeColor="text1"/>
        </w:rPr>
        <w:t>,</w:t>
      </w:r>
      <w:r w:rsidR="00A601D8">
        <w:rPr>
          <w:color w:val="000000" w:themeColor="text1"/>
        </w:rPr>
        <w:t xml:space="preserve"> chose to upgrade </w:t>
      </w:r>
      <w:r w:rsidR="00984455">
        <w:rPr>
          <w:color w:val="000000" w:themeColor="text1"/>
        </w:rPr>
        <w:t>their existing site in Germany rather than adopt a different location strategy</w:t>
      </w:r>
      <w:r w:rsidR="00575613">
        <w:rPr>
          <w:color w:val="000000" w:themeColor="text1"/>
        </w:rPr>
        <w:t xml:space="preserve"> (</w:t>
      </w:r>
      <w:r w:rsidR="00E41955" w:rsidRPr="000A2E03">
        <w:rPr>
          <w:color w:val="000000" w:themeColor="text1"/>
        </w:rPr>
        <w:fldChar w:fldCharType="begin"/>
      </w:r>
      <w:r w:rsidR="00E41955">
        <w:rPr>
          <w:color w:val="000000" w:themeColor="text1"/>
        </w:rPr>
        <w:instrText xml:space="preserve"> REF _Ref106289851 \h </w:instrText>
      </w:r>
      <w:r w:rsidR="00E41955" w:rsidRPr="000A2E03">
        <w:rPr>
          <w:color w:val="000000" w:themeColor="text1"/>
        </w:rPr>
      </w:r>
      <w:r w:rsidR="00E41955" w:rsidRPr="000A2E03">
        <w:rPr>
          <w:color w:val="000000" w:themeColor="text1"/>
        </w:rPr>
        <w:fldChar w:fldCharType="separate"/>
      </w:r>
      <w:r w:rsidR="0059296D">
        <w:t xml:space="preserve">Box </w:t>
      </w:r>
      <w:r w:rsidR="0059296D">
        <w:rPr>
          <w:noProof/>
        </w:rPr>
        <w:t>6</w:t>
      </w:r>
      <w:r w:rsidR="00E41955" w:rsidRPr="000A2E03">
        <w:rPr>
          <w:color w:val="000000" w:themeColor="text1"/>
        </w:rPr>
        <w:fldChar w:fldCharType="end"/>
      </w:r>
      <w:r w:rsidR="00E41955">
        <w:rPr>
          <w:color w:val="000000" w:themeColor="text1"/>
        </w:rPr>
        <w:t>)</w:t>
      </w:r>
      <w:r w:rsidR="00993D50">
        <w:rPr>
          <w:color w:val="000000" w:themeColor="text1"/>
        </w:rPr>
        <w:t xml:space="preserve"> – for others </w:t>
      </w:r>
      <w:r w:rsidR="000D4113" w:rsidRPr="00937674">
        <w:rPr>
          <w:color w:val="000000" w:themeColor="text1"/>
        </w:rPr>
        <w:t xml:space="preserve">continuous manufacturing </w:t>
      </w:r>
      <w:r w:rsidR="00251C90" w:rsidRPr="00D76538">
        <w:rPr>
          <w:color w:val="000000" w:themeColor="text1"/>
        </w:rPr>
        <w:t xml:space="preserve">enables all stages of the </w:t>
      </w:r>
      <w:r w:rsidR="00251C90" w:rsidRPr="009A4224">
        <w:rPr>
          <w:color w:val="000000" w:themeColor="text1"/>
        </w:rPr>
        <w:t>production chain (</w:t>
      </w:r>
      <w:r w:rsidR="00251C90" w:rsidRPr="000A2E03">
        <w:rPr>
          <w:color w:val="000000" w:themeColor="text1"/>
        </w:rPr>
        <w:fldChar w:fldCharType="begin"/>
      </w:r>
      <w:r w:rsidR="00251C90" w:rsidRPr="009A4224">
        <w:rPr>
          <w:color w:val="000000" w:themeColor="text1"/>
        </w:rPr>
        <w:instrText xml:space="preserve"> REF _Ref106279773 \h </w:instrText>
      </w:r>
      <w:r w:rsidR="00251C90" w:rsidRPr="000A2E03">
        <w:rPr>
          <w:color w:val="000000" w:themeColor="text1"/>
        </w:rPr>
      </w:r>
      <w:r w:rsidR="00251C90" w:rsidRPr="000A2E03">
        <w:rPr>
          <w:color w:val="000000" w:themeColor="text1"/>
        </w:rPr>
        <w:fldChar w:fldCharType="separate"/>
      </w:r>
      <w:r w:rsidR="0059296D">
        <w:t xml:space="preserve">Figure </w:t>
      </w:r>
      <w:r w:rsidR="0059296D">
        <w:rPr>
          <w:noProof/>
        </w:rPr>
        <w:t>14</w:t>
      </w:r>
      <w:r w:rsidR="00251C90" w:rsidRPr="000A2E03">
        <w:rPr>
          <w:color w:val="000000" w:themeColor="text1"/>
        </w:rPr>
        <w:fldChar w:fldCharType="end"/>
      </w:r>
      <w:r w:rsidR="00251C90" w:rsidRPr="00CE1FD4">
        <w:rPr>
          <w:color w:val="000000" w:themeColor="text1"/>
        </w:rPr>
        <w:t xml:space="preserve">) </w:t>
      </w:r>
      <w:r w:rsidR="005B62C3" w:rsidRPr="00937674">
        <w:rPr>
          <w:color w:val="000000" w:themeColor="text1"/>
        </w:rPr>
        <w:t xml:space="preserve">from raw material through to packaging </w:t>
      </w:r>
      <w:r w:rsidR="00251C90" w:rsidRPr="00D76538">
        <w:rPr>
          <w:color w:val="000000" w:themeColor="text1"/>
        </w:rPr>
        <w:t>to o</w:t>
      </w:r>
      <w:r w:rsidR="00251C90" w:rsidRPr="009A4224">
        <w:rPr>
          <w:color w:val="000000" w:themeColor="text1"/>
        </w:rPr>
        <w:t xml:space="preserve">ccur at a single site, </w:t>
      </w:r>
      <w:r w:rsidR="00993D50">
        <w:rPr>
          <w:color w:val="000000" w:themeColor="text1"/>
        </w:rPr>
        <w:t xml:space="preserve">so we would </w:t>
      </w:r>
      <w:r w:rsidR="00984455" w:rsidRPr="00E321D8">
        <w:rPr>
          <w:color w:val="000000" w:themeColor="text1"/>
        </w:rPr>
        <w:t xml:space="preserve">expect </w:t>
      </w:r>
      <w:r w:rsidR="00993D50">
        <w:rPr>
          <w:color w:val="000000" w:themeColor="text1"/>
        </w:rPr>
        <w:t xml:space="preserve">this to influence </w:t>
      </w:r>
      <w:r w:rsidR="006E02B4" w:rsidRPr="00E321D8">
        <w:rPr>
          <w:color w:val="000000" w:themeColor="text1"/>
        </w:rPr>
        <w:t>invest</w:t>
      </w:r>
      <w:r w:rsidR="00993D50">
        <w:rPr>
          <w:color w:val="000000" w:themeColor="text1"/>
        </w:rPr>
        <w:t>ment decisions</w:t>
      </w:r>
      <w:r w:rsidR="00F92DBD" w:rsidRPr="00E321D8">
        <w:rPr>
          <w:color w:val="000000" w:themeColor="text1"/>
        </w:rPr>
        <w:t>.</w:t>
      </w:r>
      <w:r w:rsidR="009A4224" w:rsidRPr="00E321D8">
        <w:rPr>
          <w:rStyle w:val="Odwoanieprzypisudolnego"/>
        </w:rPr>
        <w:fldChar w:fldCharType="begin"/>
      </w:r>
      <w:r w:rsidR="009A4224" w:rsidRPr="00E321D8">
        <w:rPr>
          <w:rStyle w:val="Odwoanieprzypisudolnego"/>
        </w:rPr>
        <w:instrText xml:space="preserve"> NOTEREF _Ref106291198 \h </w:instrText>
      </w:r>
      <w:r w:rsidR="009A4224">
        <w:rPr>
          <w:rStyle w:val="Odwoanieprzypisudolnego"/>
        </w:rPr>
        <w:instrText xml:space="preserve"> \* MERGEFORMAT </w:instrText>
      </w:r>
      <w:r w:rsidR="009A4224" w:rsidRPr="00E321D8">
        <w:rPr>
          <w:rStyle w:val="Odwoanieprzypisudolnego"/>
        </w:rPr>
      </w:r>
      <w:r w:rsidR="009A4224" w:rsidRPr="00E321D8">
        <w:rPr>
          <w:rStyle w:val="Odwoanieprzypisudolnego"/>
        </w:rPr>
        <w:fldChar w:fldCharType="separate"/>
      </w:r>
      <w:r w:rsidR="00922DBF">
        <w:rPr>
          <w:rStyle w:val="Odwoanieprzypisudolnego"/>
        </w:rPr>
        <w:t>108</w:t>
      </w:r>
      <w:r w:rsidR="009A4224" w:rsidRPr="00E321D8">
        <w:rPr>
          <w:rStyle w:val="Odwoanieprzypisudolnego"/>
        </w:rPr>
        <w:fldChar w:fldCharType="end"/>
      </w:r>
    </w:p>
    <w:p w14:paraId="7A71AF0C" w14:textId="484F467F" w:rsidR="00575613" w:rsidRDefault="00575613" w:rsidP="009D17D7">
      <w:pPr>
        <w:pStyle w:val="Legenda"/>
      </w:pPr>
      <w:bookmarkStart w:id="135" w:name="_Ref106289851"/>
      <w:r>
        <w:t xml:space="preserve">Box </w:t>
      </w:r>
      <w:r>
        <w:fldChar w:fldCharType="begin"/>
      </w:r>
      <w:r>
        <w:instrText xml:space="preserve"> SEQ Box \* ARABIC </w:instrText>
      </w:r>
      <w:r>
        <w:fldChar w:fldCharType="separate"/>
      </w:r>
      <w:r w:rsidR="002D7E04">
        <w:rPr>
          <w:noProof/>
        </w:rPr>
        <w:t>6</w:t>
      </w:r>
      <w:r>
        <w:fldChar w:fldCharType="end"/>
      </w:r>
      <w:bookmarkEnd w:id="135"/>
      <w:r>
        <w:t xml:space="preserve">: Case study | </w:t>
      </w:r>
      <w:r w:rsidR="00324A18">
        <w:t>Investment in</w:t>
      </w:r>
      <w:r>
        <w:t xml:space="preserve"> continuous manufacturing plant in Germany</w:t>
      </w:r>
    </w:p>
    <w:tbl>
      <w:tblPr>
        <w:tblStyle w:val="Tabela-Siatka"/>
        <w:tblW w:w="0" w:type="auto"/>
        <w:tblBorders>
          <w:top w:val="single" w:sz="12" w:space="0" w:color="C0C0C0" w:themeColor="text2"/>
          <w:left w:val="single" w:sz="12" w:space="0" w:color="C0C0C0" w:themeColor="text2"/>
          <w:bottom w:val="single" w:sz="12" w:space="0" w:color="C0C0C0" w:themeColor="text2"/>
          <w:right w:val="single" w:sz="12" w:space="0" w:color="C0C0C0" w:themeColor="text2"/>
          <w:insideH w:val="none" w:sz="0" w:space="0" w:color="auto"/>
          <w:insideV w:val="none" w:sz="0" w:space="0" w:color="auto"/>
        </w:tblBorders>
        <w:shd w:val="clear" w:color="auto" w:fill="EBF4FB" w:themeFill="accent2" w:themeFillTint="33"/>
        <w:tblLook w:val="04A0" w:firstRow="1" w:lastRow="0" w:firstColumn="1" w:lastColumn="0" w:noHBand="0" w:noVBand="1"/>
      </w:tblPr>
      <w:tblGrid>
        <w:gridCol w:w="7920"/>
      </w:tblGrid>
      <w:tr w:rsidR="00575613" w14:paraId="76AEB69B" w14:textId="77777777" w:rsidTr="009D17D7">
        <w:tc>
          <w:tcPr>
            <w:tcW w:w="7920" w:type="dxa"/>
            <w:shd w:val="clear" w:color="auto" w:fill="EBF4FB" w:themeFill="accent2" w:themeFillTint="33"/>
          </w:tcPr>
          <w:p w14:paraId="4E964A56" w14:textId="5EC420F6" w:rsidR="00575613" w:rsidRDefault="008758CC" w:rsidP="009D17D7">
            <w:pPr>
              <w:pStyle w:val="Tekstpodstawowy"/>
              <w:spacing w:before="60" w:after="60" w:line="264" w:lineRule="auto"/>
            </w:pPr>
            <w:bookmarkStart w:id="136" w:name="_Hlk109394728"/>
            <w:r>
              <w:t xml:space="preserve">Pfizer </w:t>
            </w:r>
            <w:r w:rsidR="00E02ED1">
              <w:t xml:space="preserve">was an </w:t>
            </w:r>
            <w:r>
              <w:t xml:space="preserve">early adopter of continuous manufacturing technology, opening </w:t>
            </w:r>
            <w:r w:rsidR="007F3E93">
              <w:t xml:space="preserve">the world’s first continuous manufacturing facility for the </w:t>
            </w:r>
            <w:r w:rsidR="00CD44A6">
              <w:t>pharmaceutical</w:t>
            </w:r>
            <w:r w:rsidR="007F3E93">
              <w:t xml:space="preserve"> industry in Freiburg, Germany</w:t>
            </w:r>
            <w:r w:rsidR="00430EC6">
              <w:t>,</w:t>
            </w:r>
            <w:r w:rsidR="007F3E93">
              <w:t xml:space="preserve"> in 2017.</w:t>
            </w:r>
            <w:r w:rsidR="007F3E93">
              <w:rPr>
                <w:rStyle w:val="Odwoanieprzypisudolnego"/>
              </w:rPr>
              <w:footnoteReference w:id="158"/>
            </w:r>
            <w:r w:rsidR="007F4E96">
              <w:t xml:space="preserve"> The </w:t>
            </w:r>
            <w:r w:rsidR="00E4660A">
              <w:t>main</w:t>
            </w:r>
            <w:r w:rsidR="007F4E96">
              <w:t xml:space="preserve"> decision </w:t>
            </w:r>
            <w:r w:rsidR="00AE6491">
              <w:t xml:space="preserve">for the company </w:t>
            </w:r>
            <w:r w:rsidR="007F4E96">
              <w:t xml:space="preserve">to make was whether to </w:t>
            </w:r>
            <w:r w:rsidR="00E22EA2">
              <w:t>invest in this type of technology or not</w:t>
            </w:r>
            <w:r w:rsidR="00E4660A">
              <w:t xml:space="preserve">, rather than where would be a viable place to </w:t>
            </w:r>
            <w:r w:rsidR="00AE6491">
              <w:t>do so</w:t>
            </w:r>
            <w:r w:rsidR="00E4660A">
              <w:t>. As continuous manufacturing sites</w:t>
            </w:r>
            <w:r w:rsidR="00E22EA2">
              <w:t xml:space="preserve"> </w:t>
            </w:r>
            <w:r w:rsidR="00A21F10">
              <w:t>produce finished pr</w:t>
            </w:r>
            <w:r w:rsidR="00051066">
              <w:t>oducts</w:t>
            </w:r>
            <w:r w:rsidR="009E7110">
              <w:t xml:space="preserve">, </w:t>
            </w:r>
            <w:r w:rsidR="007434C8">
              <w:t xml:space="preserve">existing </w:t>
            </w:r>
            <w:r w:rsidR="00701164">
              <w:t xml:space="preserve">reliable </w:t>
            </w:r>
            <w:r w:rsidR="007434C8">
              <w:t>Pfizer</w:t>
            </w:r>
            <w:r w:rsidR="00701164">
              <w:t xml:space="preserve"> manufacturing</w:t>
            </w:r>
            <w:r w:rsidR="007434C8">
              <w:t xml:space="preserve"> sites with the capabilities of launching new products </w:t>
            </w:r>
            <w:r w:rsidR="05CF616F">
              <w:t xml:space="preserve">and in locations where there would be unrestricted access to global markets </w:t>
            </w:r>
            <w:r w:rsidR="00186C01">
              <w:t xml:space="preserve">were </w:t>
            </w:r>
            <w:r w:rsidR="00AB55DB">
              <w:t xml:space="preserve">the </w:t>
            </w:r>
            <w:r w:rsidR="00C24C5D">
              <w:t xml:space="preserve">main contenders for </w:t>
            </w:r>
            <w:r w:rsidR="00AE6491">
              <w:t>locating</w:t>
            </w:r>
            <w:r w:rsidR="00C24C5D">
              <w:t xml:space="preserve"> the new technology. </w:t>
            </w:r>
            <w:r w:rsidR="00D77321">
              <w:t>By avoiding a greenfield investment</w:t>
            </w:r>
            <w:r w:rsidR="00474CA8">
              <w:t xml:space="preserve">, efficiencies </w:t>
            </w:r>
            <w:r w:rsidR="00347621">
              <w:t>were</w:t>
            </w:r>
            <w:r w:rsidR="00474CA8">
              <w:t xml:space="preserve"> gained from leveraging the </w:t>
            </w:r>
            <w:r w:rsidR="00CB1DD1">
              <w:t xml:space="preserve">utilities, infrastructure and </w:t>
            </w:r>
            <w:r w:rsidR="00A62EF0">
              <w:t xml:space="preserve">labour </w:t>
            </w:r>
            <w:r w:rsidR="00DD7918">
              <w:t xml:space="preserve">skill at the </w:t>
            </w:r>
            <w:r w:rsidR="00756388">
              <w:t>existing site</w:t>
            </w:r>
            <w:r w:rsidR="00625D68">
              <w:t>.</w:t>
            </w:r>
            <w:r w:rsidR="006017AD">
              <w:rPr>
                <w:rStyle w:val="Odwoanieprzypisudolnego"/>
              </w:rPr>
              <w:footnoteReference w:id="159"/>
            </w:r>
            <w:r w:rsidR="00625D68">
              <w:t xml:space="preserve"> </w:t>
            </w:r>
          </w:p>
        </w:tc>
      </w:tr>
    </w:tbl>
    <w:bookmarkEnd w:id="136"/>
    <w:p w14:paraId="0409BF5F" w14:textId="553FCD05" w:rsidR="002C06F9" w:rsidRPr="00F02DD7" w:rsidRDefault="00060C75" w:rsidP="00E321D8">
      <w:pPr>
        <w:pStyle w:val="Tekstpodstawowy"/>
      </w:pPr>
      <w:r>
        <w:t>Therefore,</w:t>
      </w:r>
      <w:r w:rsidR="00993D50">
        <w:t xml:space="preserve"> some shortening of the industry value </w:t>
      </w:r>
      <w:r w:rsidR="008250AB">
        <w:t>c</w:t>
      </w:r>
      <w:r w:rsidR="00993D50">
        <w:t>hain appears inevitable.</w:t>
      </w:r>
    </w:p>
    <w:p w14:paraId="17BA33D1" w14:textId="45C98687" w:rsidR="00164D27" w:rsidRDefault="00164D27" w:rsidP="00164D27">
      <w:pPr>
        <w:pStyle w:val="Nagwek4"/>
      </w:pPr>
      <w:r>
        <w:t>Th</w:t>
      </w:r>
      <w:r w:rsidR="002C06F9">
        <w:t>e impact of new technology:</w:t>
      </w:r>
      <w:r w:rsidR="00A772BB">
        <w:t xml:space="preserve"> </w:t>
      </w:r>
      <w:r w:rsidR="00271D5B">
        <w:t>l</w:t>
      </w:r>
      <w:r w:rsidR="00A772BB">
        <w:t xml:space="preserve">earnings from </w:t>
      </w:r>
      <w:r w:rsidR="006E3000">
        <w:t>ATMP</w:t>
      </w:r>
      <w:r w:rsidR="004F18EF">
        <w:t xml:space="preserve"> manufacturing</w:t>
      </w:r>
    </w:p>
    <w:p w14:paraId="1DA95D32" w14:textId="15FF7BF6" w:rsidR="00D52D76" w:rsidRDefault="005B5821" w:rsidP="00D52D76">
      <w:pPr>
        <w:pStyle w:val="Tekstpodstawowy"/>
      </w:pPr>
      <w:r>
        <w:t xml:space="preserve">Relative to </w:t>
      </w:r>
      <w:r w:rsidR="00532F80">
        <w:t>oth</w:t>
      </w:r>
      <w:r w:rsidR="00D3082C">
        <w:t>er</w:t>
      </w:r>
      <w:r w:rsidR="00532F80">
        <w:t xml:space="preserve"> </w:t>
      </w:r>
      <w:r>
        <w:t xml:space="preserve">technologies, </w:t>
      </w:r>
      <w:r w:rsidR="00AB5F4E">
        <w:t>manufacturing of</w:t>
      </w:r>
      <w:r w:rsidR="00D3082C">
        <w:t xml:space="preserve"> certain new therapeutic solutions, particularly</w:t>
      </w:r>
      <w:r w:rsidR="00AB5F4E">
        <w:t xml:space="preserve"> </w:t>
      </w:r>
      <w:r w:rsidR="00C923DD">
        <w:t>ATMPs</w:t>
      </w:r>
      <w:r w:rsidR="00D3082C">
        <w:t>,</w:t>
      </w:r>
      <w:r w:rsidR="007D3307">
        <w:t xml:space="preserve"> </w:t>
      </w:r>
      <w:r w:rsidR="00AC1129">
        <w:t xml:space="preserve">is complex, high-risk, </w:t>
      </w:r>
      <w:r w:rsidR="00EB2E74">
        <w:t xml:space="preserve">more time-sensitive, </w:t>
      </w:r>
      <w:r w:rsidR="00AC1129">
        <w:t>and smaller-scale</w:t>
      </w:r>
      <w:r w:rsidR="00553C85">
        <w:t xml:space="preserve">. This is particularly the case for </w:t>
      </w:r>
      <w:r w:rsidR="00553C85" w:rsidRPr="002823BC">
        <w:t>ex</w:t>
      </w:r>
      <w:r w:rsidR="00271D5B" w:rsidRPr="002823BC">
        <w:t xml:space="preserve"> </w:t>
      </w:r>
      <w:r w:rsidR="00553C85" w:rsidRPr="002823BC">
        <w:t>vivo</w:t>
      </w:r>
      <w:r w:rsidR="00553C85">
        <w:t xml:space="preserve"> products</w:t>
      </w:r>
      <w:r w:rsidR="00271D5B">
        <w:t>,</w:t>
      </w:r>
      <w:r w:rsidR="00553C85">
        <w:t xml:space="preserve"> given the need</w:t>
      </w:r>
      <w:r w:rsidR="00E40429">
        <w:t xml:space="preserve"> </w:t>
      </w:r>
      <w:r w:rsidR="006B6660">
        <w:t>to manufactur</w:t>
      </w:r>
      <w:r w:rsidR="00553C85">
        <w:t>e</w:t>
      </w:r>
      <w:r w:rsidR="006B6660">
        <w:t xml:space="preserve"> for individual patients</w:t>
      </w:r>
      <w:r w:rsidR="00EC0521">
        <w:t xml:space="preserve"> using their source material</w:t>
      </w:r>
      <w:r w:rsidR="00AC1129">
        <w:t xml:space="preserve">, leading to additional </w:t>
      </w:r>
      <w:r w:rsidR="005B0E46">
        <w:t xml:space="preserve">cost and </w:t>
      </w:r>
      <w:r w:rsidR="00840177">
        <w:t xml:space="preserve">a </w:t>
      </w:r>
      <w:r w:rsidR="005B0E46">
        <w:t xml:space="preserve">need for </w:t>
      </w:r>
      <w:r w:rsidR="00014F1D">
        <w:t>advanced</w:t>
      </w:r>
      <w:r w:rsidR="005B0E46">
        <w:t xml:space="preserve"> technical expertise</w:t>
      </w:r>
      <w:r w:rsidR="00014F1D">
        <w:t xml:space="preserve"> and support</w:t>
      </w:r>
      <w:r w:rsidR="005B0E46">
        <w:t>.</w:t>
      </w:r>
      <w:r w:rsidR="00135DF2">
        <w:t xml:space="preserve"> The consistency of manufacturing </w:t>
      </w:r>
      <w:r w:rsidR="00690FA4">
        <w:t>quality</w:t>
      </w:r>
      <w:r w:rsidR="00135DF2">
        <w:t xml:space="preserve"> is also more critical: </w:t>
      </w:r>
      <w:r w:rsidR="006E069A">
        <w:t>while</w:t>
      </w:r>
      <w:r w:rsidR="005C5958">
        <w:t xml:space="preserve"> new drug reviews by regulators </w:t>
      </w:r>
      <w:r w:rsidR="00271D5B">
        <w:t xml:space="preserve">typically </w:t>
      </w:r>
      <w:r w:rsidR="005C5958">
        <w:t xml:space="preserve">focus 80% on clinical factors and 20% on </w:t>
      </w:r>
      <w:r w:rsidR="00F41050">
        <w:t>c</w:t>
      </w:r>
      <w:r w:rsidR="005C5958">
        <w:t xml:space="preserve">hemistry, </w:t>
      </w:r>
      <w:r w:rsidR="00F41050">
        <w:t>m</w:t>
      </w:r>
      <w:r w:rsidR="005C5958">
        <w:t xml:space="preserve">anufacturing and </w:t>
      </w:r>
      <w:r w:rsidR="00F41050">
        <w:t>c</w:t>
      </w:r>
      <w:r w:rsidR="005C5958">
        <w:t>ontrols (CMC)</w:t>
      </w:r>
      <w:r w:rsidR="00014F1D">
        <w:t xml:space="preserve"> factors, for ATMPs this ratio is rever</w:t>
      </w:r>
      <w:r w:rsidR="002A4EEA">
        <w:t>s</w:t>
      </w:r>
      <w:r w:rsidR="00014F1D">
        <w:t>ed</w:t>
      </w:r>
      <w:r w:rsidR="00C300B7">
        <w:t>.</w:t>
      </w:r>
      <w:r w:rsidR="006B6660">
        <w:t xml:space="preserve"> </w:t>
      </w:r>
      <w:r w:rsidR="00C300B7">
        <w:t>C</w:t>
      </w:r>
      <w:r w:rsidR="006B6660">
        <w:t>urrently</w:t>
      </w:r>
      <w:r w:rsidR="00C436A3">
        <w:t xml:space="preserve">, this </w:t>
      </w:r>
      <w:r w:rsidR="00440533">
        <w:t xml:space="preserve">may be driven in part </w:t>
      </w:r>
      <w:r w:rsidR="006346E3">
        <w:t>by</w:t>
      </w:r>
      <w:r w:rsidR="006B6660">
        <w:t xml:space="preserve"> the unknown</w:t>
      </w:r>
      <w:r w:rsidR="006346E3">
        <w:t>s</w:t>
      </w:r>
      <w:r w:rsidR="006B6660">
        <w:t xml:space="preserve"> in the new technology</w:t>
      </w:r>
      <w:r w:rsidR="00014F1D">
        <w:t>.</w:t>
      </w:r>
      <w:r w:rsidR="00014F1D">
        <w:rPr>
          <w:rStyle w:val="Odwoanieprzypisudolnego"/>
        </w:rPr>
        <w:footnoteReference w:id="160"/>
      </w:r>
      <w:r w:rsidR="00B32E66">
        <w:t xml:space="preserve"> For these</w:t>
      </w:r>
      <w:r w:rsidR="006962D1">
        <w:t xml:space="preserve"> and other</w:t>
      </w:r>
      <w:r w:rsidR="009F2F4A">
        <w:t xml:space="preserve"> new technologies</w:t>
      </w:r>
      <w:r w:rsidR="0067737A">
        <w:t>,</w:t>
      </w:r>
      <w:r w:rsidR="0081418A">
        <w:t xml:space="preserve"> </w:t>
      </w:r>
      <w:r w:rsidR="008250AB">
        <w:t xml:space="preserve">the concept of </w:t>
      </w:r>
      <w:r w:rsidR="0081418A">
        <w:t xml:space="preserve">“the process </w:t>
      </w:r>
      <w:r w:rsidR="008250AB">
        <w:t>being</w:t>
      </w:r>
      <w:r w:rsidR="0081418A">
        <w:t xml:space="preserve"> the product” </w:t>
      </w:r>
      <w:r w:rsidR="008250AB">
        <w:t>is even more true</w:t>
      </w:r>
      <w:r w:rsidR="00271D5B">
        <w:t>,</w:t>
      </w:r>
      <w:r w:rsidR="008250AB">
        <w:t xml:space="preserve"> </w:t>
      </w:r>
      <w:r w:rsidR="0081418A">
        <w:t xml:space="preserve">and </w:t>
      </w:r>
      <w:r w:rsidR="009744A9">
        <w:t xml:space="preserve">therefore manufacturing quality </w:t>
      </w:r>
      <w:r w:rsidR="00905814">
        <w:t>needs to stay consistent from Phase 1 through to commercial rollout.</w:t>
      </w:r>
      <w:r w:rsidR="000849F7">
        <w:t xml:space="preserve"> The location of t</w:t>
      </w:r>
      <w:r w:rsidR="00EA159D">
        <w:t xml:space="preserve">he source of raw materials for ATMPs must also be considered, as the value chains </w:t>
      </w:r>
      <w:r w:rsidR="008955E1">
        <w:t>need to be</w:t>
      </w:r>
      <w:r w:rsidR="00EA159D">
        <w:t xml:space="preserve"> structured differently:</w:t>
      </w:r>
    </w:p>
    <w:p w14:paraId="300B7F8F" w14:textId="536FAF80" w:rsidR="00EA159D" w:rsidRDefault="003A3C30" w:rsidP="000A2E03">
      <w:pPr>
        <w:pStyle w:val="Tekstpodstawowy"/>
        <w:numPr>
          <w:ilvl w:val="0"/>
          <w:numId w:val="112"/>
        </w:numPr>
      </w:pPr>
      <w:r>
        <w:lastRenderedPageBreak/>
        <w:t xml:space="preserve">For </w:t>
      </w:r>
      <w:r w:rsidRPr="002823BC">
        <w:t>e</w:t>
      </w:r>
      <w:r w:rsidR="00EA159D" w:rsidRPr="002823BC">
        <w:t>x vivo</w:t>
      </w:r>
      <w:r w:rsidR="00EA159D">
        <w:t xml:space="preserve"> therapies</w:t>
      </w:r>
      <w:r w:rsidR="00C101D5">
        <w:t xml:space="preserve">, such as </w:t>
      </w:r>
      <w:r w:rsidR="00766CB0">
        <w:t xml:space="preserve">autologous cell therapies, </w:t>
      </w:r>
      <w:r>
        <w:t>the patient is the source of raw materials.</w:t>
      </w:r>
    </w:p>
    <w:p w14:paraId="020CEC9C" w14:textId="2CBC253A" w:rsidR="003A3C30" w:rsidRDefault="003A3C30" w:rsidP="000A2E03">
      <w:pPr>
        <w:pStyle w:val="Tekstpodstawowy"/>
        <w:numPr>
          <w:ilvl w:val="0"/>
          <w:numId w:val="112"/>
        </w:numPr>
      </w:pPr>
      <w:r>
        <w:t xml:space="preserve">For </w:t>
      </w:r>
      <w:r w:rsidRPr="002823BC">
        <w:t>in vivo</w:t>
      </w:r>
      <w:r>
        <w:t xml:space="preserve"> therapies, such as viral vector gene therapies, raw materials are not required from patients.</w:t>
      </w:r>
    </w:p>
    <w:p w14:paraId="4CE53005" w14:textId="05434983" w:rsidR="0020094D" w:rsidRDefault="0007515F" w:rsidP="00270E1D">
      <w:pPr>
        <w:pStyle w:val="Tekstpodstawowy"/>
      </w:pPr>
      <w:r>
        <w:t xml:space="preserve">For </w:t>
      </w:r>
      <w:r w:rsidRPr="002823BC">
        <w:t>ex vivo</w:t>
      </w:r>
      <w:r>
        <w:t xml:space="preserve"> therapies, </w:t>
      </w:r>
      <w:r w:rsidR="00FB4029">
        <w:t xml:space="preserve">there is therefore a need for manufacturing to occur in closer proximity or with ease of transport </w:t>
      </w:r>
      <w:r w:rsidR="0041119E">
        <w:t>to where the therapy is been administered</w:t>
      </w:r>
      <w:r w:rsidR="00527E65">
        <w:t xml:space="preserve"> to patients</w:t>
      </w:r>
      <w:r w:rsidR="0041119E">
        <w:t>.</w:t>
      </w:r>
      <w:r w:rsidR="005A6640">
        <w:t xml:space="preserve"> </w:t>
      </w:r>
      <w:r w:rsidR="00A50740">
        <w:t xml:space="preserve">The </w:t>
      </w:r>
      <w:r w:rsidR="006962D1">
        <w:t>limited</w:t>
      </w:r>
      <w:r w:rsidR="00A50740">
        <w:t xml:space="preserve"> stability of the material, once collected, </w:t>
      </w:r>
      <w:r w:rsidR="00D43C8C">
        <w:t xml:space="preserve">will reduce over time post-collection, and therefore manufacturing location must be chosen in part based on availability of </w:t>
      </w:r>
      <w:r w:rsidR="000B3304">
        <w:t>appropriate resources for shipping and processing starting materials.</w:t>
      </w:r>
      <w:r w:rsidR="000B3304">
        <w:rPr>
          <w:rStyle w:val="Odwoanieprzypisudolnego"/>
        </w:rPr>
        <w:footnoteReference w:id="161"/>
      </w:r>
      <w:r w:rsidR="000B3304">
        <w:t xml:space="preserve"> </w:t>
      </w:r>
      <w:r w:rsidR="003150FE">
        <w:t xml:space="preserve">The </w:t>
      </w:r>
      <w:r w:rsidR="006962D1">
        <w:t>current</w:t>
      </w:r>
      <w:r w:rsidR="003150FE">
        <w:t xml:space="preserve"> concentration of ATMP manufacturing </w:t>
      </w:r>
      <w:r w:rsidR="00F1244F">
        <w:t>on the US East Coast can in part be attributed to the strong transport and logistics infrastructure</w:t>
      </w:r>
      <w:r w:rsidR="00F1244F">
        <w:rPr>
          <w:rStyle w:val="Odwoanieprzypisudolnego"/>
        </w:rPr>
        <w:footnoteReference w:id="162"/>
      </w:r>
      <w:r w:rsidR="00F1244F">
        <w:t xml:space="preserve"> </w:t>
      </w:r>
      <w:r w:rsidR="006962D1">
        <w:t xml:space="preserve">and the innovation centres linked to </w:t>
      </w:r>
      <w:r w:rsidR="0064518A">
        <w:t>a</w:t>
      </w:r>
      <w:r w:rsidR="006962D1">
        <w:t xml:space="preserve"> strong landscape of universities. </w:t>
      </w:r>
      <w:r w:rsidR="003503AF">
        <w:t>T</w:t>
      </w:r>
      <w:r w:rsidR="00E6746E">
        <w:t xml:space="preserve">he critical need for effective </w:t>
      </w:r>
      <w:r w:rsidR="00B835DB">
        <w:t>transportation</w:t>
      </w:r>
      <w:r w:rsidR="003503AF">
        <w:t xml:space="preserve"> routes </w:t>
      </w:r>
      <w:r w:rsidR="00E6746E">
        <w:t>was highlighted during</w:t>
      </w:r>
      <w:r w:rsidR="00115160">
        <w:t xml:space="preserve"> the</w:t>
      </w:r>
      <w:r w:rsidR="00E6746E">
        <w:t xml:space="preserve"> COVID-19 pandemic when two</w:t>
      </w:r>
      <w:r w:rsidR="00271D5B">
        <w:t xml:space="preserve"> </w:t>
      </w:r>
      <w:r w:rsidR="00E6746E">
        <w:t xml:space="preserve">thirds of cell therapy companies </w:t>
      </w:r>
      <w:r w:rsidR="00115160">
        <w:t xml:space="preserve">reported supply chain disruptions caused by </w:t>
      </w:r>
      <w:r w:rsidR="006962D1">
        <w:t>transport and travel restrictions of regulators to approve these products</w:t>
      </w:r>
      <w:r w:rsidR="00115160">
        <w:t>.</w:t>
      </w:r>
      <w:r w:rsidR="00115160">
        <w:rPr>
          <w:rStyle w:val="Odwoanieprzypisudolnego"/>
        </w:rPr>
        <w:footnoteReference w:id="163"/>
      </w:r>
      <w:r w:rsidR="00115160">
        <w:t xml:space="preserve"> </w:t>
      </w:r>
    </w:p>
    <w:p w14:paraId="52BFFB1F" w14:textId="375F7C2C" w:rsidR="00270E1D" w:rsidRDefault="000B3304" w:rsidP="00270E1D">
      <w:pPr>
        <w:pStyle w:val="Tekstpodstawowy"/>
      </w:pPr>
      <w:r>
        <w:t>To</w:t>
      </w:r>
      <w:r w:rsidR="00D6197D">
        <w:t xml:space="preserve"> </w:t>
      </w:r>
      <w:r w:rsidR="005420BB">
        <w:t>ensure</w:t>
      </w:r>
      <w:r w:rsidR="00D6197D">
        <w:t xml:space="preserve"> an</w:t>
      </w:r>
      <w:r w:rsidR="005420BB">
        <w:t xml:space="preserve"> efficient manufacturing</w:t>
      </w:r>
      <w:r w:rsidR="00F13DD1">
        <w:t xml:space="preserve"> process</w:t>
      </w:r>
      <w:r>
        <w:t>, t</w:t>
      </w:r>
      <w:r w:rsidR="0041119E">
        <w:t>here is</w:t>
      </w:r>
      <w:r w:rsidR="00115160">
        <w:t xml:space="preserve"> also</w:t>
      </w:r>
      <w:r w:rsidR="0041119E">
        <w:t xml:space="preserve"> a greater</w:t>
      </w:r>
      <w:r w:rsidR="00270E1D">
        <w:t xml:space="preserve"> need </w:t>
      </w:r>
      <w:r w:rsidR="00527E65">
        <w:t xml:space="preserve">versus traditional therapies </w:t>
      </w:r>
      <w:r w:rsidR="0041119E">
        <w:t>for high flexibility</w:t>
      </w:r>
      <w:r w:rsidR="00527E65">
        <w:t xml:space="preserve"> and</w:t>
      </w:r>
      <w:r w:rsidR="00270E1D">
        <w:t xml:space="preserve"> to be ready to start manufacturing when a patient enrols onto the therapy: p</w:t>
      </w:r>
      <w:r w:rsidR="00270E1D" w:rsidRPr="0077678F">
        <w:t>ersonnel</w:t>
      </w:r>
      <w:r w:rsidR="00270E1D">
        <w:t>, cold rooms</w:t>
      </w:r>
      <w:r w:rsidR="00270E1D" w:rsidRPr="0077678F">
        <w:t xml:space="preserve"> </w:t>
      </w:r>
      <w:r w:rsidR="00BA4EAF">
        <w:t xml:space="preserve">(needed to guarantee stability) </w:t>
      </w:r>
      <w:r w:rsidR="00270E1D" w:rsidRPr="0077678F">
        <w:t xml:space="preserve">and </w:t>
      </w:r>
      <w:r w:rsidR="00F54A22">
        <w:t>innovative</w:t>
      </w:r>
      <w:r w:rsidR="00270E1D" w:rsidRPr="0077678F">
        <w:t xml:space="preserve"> equipment must be ready at any time</w:t>
      </w:r>
      <w:r w:rsidR="00270E1D">
        <w:t>, meaning clean rooms will run below capacity for a significant proportion of time.</w:t>
      </w:r>
      <w:r w:rsidR="00270E1D">
        <w:rPr>
          <w:rStyle w:val="Odwoanieprzypisudolnego"/>
        </w:rPr>
        <w:footnoteReference w:id="164"/>
      </w:r>
      <w:r w:rsidR="00270E1D">
        <w:t xml:space="preserve"> </w:t>
      </w:r>
      <w:r w:rsidR="00246825">
        <w:t>Hospital or bed</w:t>
      </w:r>
      <w:r w:rsidR="005A6640">
        <w:t>side manufactu</w:t>
      </w:r>
      <w:r w:rsidR="006D3EE5">
        <w:t>r</w:t>
      </w:r>
      <w:r w:rsidR="005A6640">
        <w:t>ing might be anticipated</w:t>
      </w:r>
      <w:r w:rsidR="009E3136">
        <w:t xml:space="preserve"> </w:t>
      </w:r>
      <w:r w:rsidR="00AE09FA">
        <w:t xml:space="preserve">in the future; </w:t>
      </w:r>
      <w:r w:rsidR="001D2C8F">
        <w:t>this is currently in a pilot</w:t>
      </w:r>
      <w:r w:rsidR="00D6197D">
        <w:t xml:space="preserve"> </w:t>
      </w:r>
      <w:r w:rsidR="00F54A22">
        <w:t>phase</w:t>
      </w:r>
      <w:r w:rsidR="005A6640">
        <w:t>.</w:t>
      </w:r>
    </w:p>
    <w:p w14:paraId="5849D410" w14:textId="3073C603" w:rsidR="00C84332" w:rsidRDefault="007D3307" w:rsidP="00270E1D">
      <w:pPr>
        <w:pStyle w:val="Tekstpodstawowy"/>
      </w:pPr>
      <w:r>
        <w:t>The manufacturing of both</w:t>
      </w:r>
      <w:r w:rsidR="009C4F95">
        <w:t xml:space="preserve"> </w:t>
      </w:r>
      <w:r w:rsidR="009C4F95" w:rsidRPr="002823BC">
        <w:t>ex vivo</w:t>
      </w:r>
      <w:r w:rsidR="009C4F95">
        <w:t xml:space="preserve"> and </w:t>
      </w:r>
      <w:r w:rsidR="009C4F95" w:rsidRPr="002823BC">
        <w:t>in vivo</w:t>
      </w:r>
      <w:r w:rsidR="009C4F95">
        <w:t xml:space="preserve"> ATMPs </w:t>
      </w:r>
      <w:r w:rsidR="00B24ADE">
        <w:t xml:space="preserve">relies </w:t>
      </w:r>
      <w:r w:rsidR="009C4F95">
        <w:t xml:space="preserve">on access to highly qualified staff, given the complexity of the manufacturing processes. </w:t>
      </w:r>
      <w:r w:rsidR="000A25CF">
        <w:t xml:space="preserve">With the increasing number of ATMPs being developed globally, demand for talent is high and </w:t>
      </w:r>
      <w:r w:rsidR="006A534F">
        <w:t xml:space="preserve">can limit </w:t>
      </w:r>
      <w:r w:rsidR="008B281E">
        <w:t xml:space="preserve">the </w:t>
      </w:r>
      <w:r w:rsidR="006A534F">
        <w:t xml:space="preserve">expansion of manufacturing capacity. </w:t>
      </w:r>
      <w:r>
        <w:t>C</w:t>
      </w:r>
      <w:r w:rsidR="000414C5">
        <w:t>ompanies so far have launched most of the</w:t>
      </w:r>
      <w:r w:rsidR="004676F8">
        <w:t xml:space="preserve"> world’s ATMPs </w:t>
      </w:r>
      <w:r>
        <w:t>out of the US</w:t>
      </w:r>
      <w:r w:rsidR="004676F8">
        <w:t xml:space="preserve"> and have focused on building manufacturing capacity in the US first before expanding to Europe. Indeed</w:t>
      </w:r>
      <w:r w:rsidR="00271D5B">
        <w:t>,</w:t>
      </w:r>
      <w:r w:rsidR="004676F8">
        <w:t xml:space="preserve"> </w:t>
      </w:r>
      <w:r w:rsidR="002972B5">
        <w:t>estimates suggest that two of the largest ATMP manufacturing plants in the US will soon match Europe’s total manufacturing capacity.</w:t>
      </w:r>
      <w:bookmarkStart w:id="137" w:name="_Ref109314362"/>
      <w:r w:rsidR="002972B5">
        <w:rPr>
          <w:rStyle w:val="Odwoanieprzypisudolnego"/>
        </w:rPr>
        <w:footnoteReference w:id="165"/>
      </w:r>
      <w:bookmarkEnd w:id="137"/>
      <w:r w:rsidR="002972B5">
        <w:t xml:space="preserve"> European scientists are therefore being drawn to the US for job opportunities</w:t>
      </w:r>
      <w:r w:rsidR="00B073A9">
        <w:t>, creating a talent gap in Europe.</w:t>
      </w:r>
      <w:r w:rsidR="00B073A9" w:rsidRPr="00D53D69">
        <w:rPr>
          <w:rStyle w:val="Odwoanieprzypisudolnego"/>
        </w:rPr>
        <w:fldChar w:fldCharType="begin"/>
      </w:r>
      <w:r w:rsidR="00B073A9" w:rsidRPr="00D53D69">
        <w:rPr>
          <w:rStyle w:val="Odwoanieprzypisudolnego"/>
        </w:rPr>
        <w:instrText xml:space="preserve"> NOTEREF _Ref109314362 \h </w:instrText>
      </w:r>
      <w:r w:rsidR="00115160">
        <w:rPr>
          <w:rStyle w:val="Odwoanieprzypisudolnego"/>
        </w:rPr>
        <w:instrText xml:space="preserve"> \* MERGEFORMAT </w:instrText>
      </w:r>
      <w:r w:rsidR="00B073A9" w:rsidRPr="00D53D69">
        <w:rPr>
          <w:rStyle w:val="Odwoanieprzypisudolnego"/>
        </w:rPr>
      </w:r>
      <w:r w:rsidR="00B073A9" w:rsidRPr="00D53D69">
        <w:rPr>
          <w:rStyle w:val="Odwoanieprzypisudolnego"/>
        </w:rPr>
        <w:fldChar w:fldCharType="separate"/>
      </w:r>
      <w:r w:rsidR="00F35578">
        <w:rPr>
          <w:rStyle w:val="Odwoanieprzypisudolnego"/>
        </w:rPr>
        <w:t>163</w:t>
      </w:r>
      <w:r w:rsidR="00B073A9" w:rsidRPr="00D53D69">
        <w:rPr>
          <w:rStyle w:val="Odwoanieprzypisudolnego"/>
        </w:rPr>
        <w:fldChar w:fldCharType="end"/>
      </w:r>
      <w:r w:rsidR="00115160">
        <w:t xml:space="preserve"> </w:t>
      </w:r>
      <w:r w:rsidR="00693311">
        <w:t xml:space="preserve">The US is also investing heavily in the skill of its workforce: for </w:t>
      </w:r>
      <w:r w:rsidR="00693311">
        <w:lastRenderedPageBreak/>
        <w:t xml:space="preserve">example, the New Jersey Institute of Technology </w:t>
      </w:r>
      <w:r w:rsidR="00240C04">
        <w:t xml:space="preserve">and the New Jersey Innovation Institute </w:t>
      </w:r>
      <w:r w:rsidR="00390668">
        <w:t>ha</w:t>
      </w:r>
      <w:r w:rsidR="00240C04">
        <w:t>ve</w:t>
      </w:r>
      <w:r w:rsidR="00390668">
        <w:t xml:space="preserve"> recently launched the US’s first </w:t>
      </w:r>
      <w:r w:rsidR="00BC180D">
        <w:t>m</w:t>
      </w:r>
      <w:r w:rsidR="00390668">
        <w:t>aster’s degree programme and professional graduate certificate in</w:t>
      </w:r>
      <w:r w:rsidR="00E54B17">
        <w:t xml:space="preserve"> cell and gene therapies</w:t>
      </w:r>
      <w:r w:rsidR="00390668">
        <w:t>, and a</w:t>
      </w:r>
      <w:r w:rsidR="00240C04">
        <w:t>n apprenticeship programme for bio-manufacturing.</w:t>
      </w:r>
      <w:r w:rsidR="00240C04">
        <w:rPr>
          <w:rStyle w:val="Odwoanieprzypisudolnego"/>
        </w:rPr>
        <w:footnoteReference w:id="166"/>
      </w:r>
      <w:r w:rsidR="00BC27CC">
        <w:t xml:space="preserve"> Similar programs are </w:t>
      </w:r>
      <w:r w:rsidR="00EB5EC5">
        <w:t>observed</w:t>
      </w:r>
      <w:r w:rsidR="00BC27CC">
        <w:t xml:space="preserve"> in Ireland</w:t>
      </w:r>
      <w:r w:rsidR="00085782">
        <w:t xml:space="preserve"> with </w:t>
      </w:r>
      <w:r w:rsidR="00085782" w:rsidRPr="00085782">
        <w:t xml:space="preserve">the expansion of </w:t>
      </w:r>
      <w:r w:rsidR="00BC180D">
        <w:t>c</w:t>
      </w:r>
      <w:r w:rsidR="00085782" w:rsidRPr="00085782">
        <w:t xml:space="preserve">ell </w:t>
      </w:r>
      <w:r w:rsidR="00BC180D">
        <w:t>and</w:t>
      </w:r>
      <w:r w:rsidR="00085782" w:rsidRPr="00085782">
        <w:t xml:space="preserve"> </w:t>
      </w:r>
      <w:r w:rsidR="00BC180D">
        <w:t>g</w:t>
      </w:r>
      <w:r w:rsidR="00085782" w:rsidRPr="00085782">
        <w:t xml:space="preserve">ene </w:t>
      </w:r>
      <w:r w:rsidR="00BC180D">
        <w:t>t</w:t>
      </w:r>
      <w:r w:rsidR="00085782" w:rsidRPr="00085782">
        <w:t>herapy manufacturing training at Ireland’s National Institute for Bioprocessing Research</w:t>
      </w:r>
      <w:r w:rsidR="00BC180D">
        <w:t xml:space="preserve"> and Training</w:t>
      </w:r>
      <w:r w:rsidR="00085782" w:rsidRPr="00085782">
        <w:t xml:space="preserve"> (NIBRT)</w:t>
      </w:r>
      <w:r w:rsidR="00960519">
        <w:t>.</w:t>
      </w:r>
      <w:r w:rsidR="00825211">
        <w:rPr>
          <w:rStyle w:val="Odwoanieprzypisudolnego"/>
        </w:rPr>
        <w:footnoteReference w:id="167"/>
      </w:r>
      <w:r w:rsidR="00085782" w:rsidRPr="00085782">
        <w:t xml:space="preserve"> </w:t>
      </w:r>
      <w:r w:rsidR="00F01FBF">
        <w:t xml:space="preserve">Countries with a large existing footprint of pharmaceutical activity are also often more attractive to manufacturers, as </w:t>
      </w:r>
      <w:r w:rsidR="000F738F">
        <w:t>the existing talent pool can be used and upskilled to meet the needs of new technologies.</w:t>
      </w:r>
      <w:r w:rsidR="000F738F">
        <w:rPr>
          <w:rStyle w:val="Odwoanieprzypisudolnego"/>
        </w:rPr>
        <w:footnoteReference w:id="168"/>
      </w:r>
      <w:r w:rsidR="00BD6F3D">
        <w:t xml:space="preserve"> For example, UCB’s new </w:t>
      </w:r>
      <w:r w:rsidR="005038B1">
        <w:t xml:space="preserve">gene therapy </w:t>
      </w:r>
      <w:r w:rsidR="004614BD">
        <w:t xml:space="preserve">process development and clinical </w:t>
      </w:r>
      <w:r w:rsidR="005038B1">
        <w:t xml:space="preserve">manufacturing facility </w:t>
      </w:r>
      <w:r w:rsidR="00C411A0">
        <w:t xml:space="preserve">is </w:t>
      </w:r>
      <w:r w:rsidR="005038B1">
        <w:t xml:space="preserve">under construction </w:t>
      </w:r>
      <w:r w:rsidR="00C411A0">
        <w:t xml:space="preserve">on the site of </w:t>
      </w:r>
      <w:r w:rsidR="004614BD">
        <w:t>their</w:t>
      </w:r>
      <w:r w:rsidR="00C411A0">
        <w:t xml:space="preserve"> existing campus in</w:t>
      </w:r>
      <w:r w:rsidR="005038B1">
        <w:t xml:space="preserve"> Braine</w:t>
      </w:r>
      <w:r w:rsidR="00BC180D">
        <w:t>-</w:t>
      </w:r>
      <w:proofErr w:type="spellStart"/>
      <w:r w:rsidR="005038B1">
        <w:t>l’Alleud</w:t>
      </w:r>
      <w:proofErr w:type="spellEnd"/>
      <w:r w:rsidR="005038B1">
        <w:t>, Belgium</w:t>
      </w:r>
      <w:r w:rsidR="00C411A0">
        <w:t xml:space="preserve">. The campus is already </w:t>
      </w:r>
      <w:r w:rsidR="009D79A9">
        <w:t>home to a community of engineers and manufacturing personnel skilled in biologic manufacturing</w:t>
      </w:r>
      <w:r w:rsidR="00C11352">
        <w:t>,</w:t>
      </w:r>
      <w:r w:rsidR="000640EB">
        <w:rPr>
          <w:rStyle w:val="Odwoanieprzypisudolnego"/>
        </w:rPr>
        <w:footnoteReference w:id="169"/>
      </w:r>
      <w:r w:rsidR="00C11352">
        <w:t xml:space="preserve"> which has overlaps with the processes needed for viral vector gene therapies.</w:t>
      </w:r>
      <w:r w:rsidR="00C11352">
        <w:rPr>
          <w:rStyle w:val="Odwoanieprzypisudolnego"/>
        </w:rPr>
        <w:footnoteReference w:id="170"/>
      </w:r>
    </w:p>
    <w:p w14:paraId="118E4EFB" w14:textId="64801D55" w:rsidR="009A55DF" w:rsidRDefault="009A55DF" w:rsidP="00270E1D">
      <w:pPr>
        <w:pStyle w:val="Tekstpodstawowy"/>
      </w:pPr>
      <w:r w:rsidRPr="009A55DF">
        <w:t xml:space="preserve">IMP manufacturing </w:t>
      </w:r>
      <w:r w:rsidR="003939EE">
        <w:t xml:space="preserve">for ATMPs </w:t>
      </w:r>
      <w:r w:rsidRPr="009A55DF">
        <w:t xml:space="preserve">is </w:t>
      </w:r>
      <w:r w:rsidR="00790CF0">
        <w:t xml:space="preserve">also </w:t>
      </w:r>
      <w:r w:rsidRPr="009A55DF">
        <w:t>more likely to be co-located with</w:t>
      </w:r>
      <w:r w:rsidR="00790CF0">
        <w:t xml:space="preserve"> </w:t>
      </w:r>
      <w:r w:rsidR="00052A37">
        <w:t>commercial</w:t>
      </w:r>
      <w:r w:rsidR="00790CF0">
        <w:t xml:space="preserve"> manufacturing and/or</w:t>
      </w:r>
      <w:r w:rsidRPr="009A55DF">
        <w:t xml:space="preserve"> R&amp;D for knowledge transfer and scalability reasons</w:t>
      </w:r>
      <w:r w:rsidR="000C1EB8">
        <w:t xml:space="preserve"> (</w:t>
      </w:r>
      <w:r w:rsidR="005B5355">
        <w:t>e.g.</w:t>
      </w:r>
      <w:r w:rsidR="000C1EB8">
        <w:t xml:space="preserve"> </w:t>
      </w:r>
      <w:r w:rsidR="0046412E" w:rsidRPr="000A2E03">
        <w:fldChar w:fldCharType="begin"/>
      </w:r>
      <w:r w:rsidR="0046412E">
        <w:instrText xml:space="preserve"> REF _Ref109396460 \h </w:instrText>
      </w:r>
      <w:r w:rsidR="0046412E" w:rsidRPr="000A2E03">
        <w:fldChar w:fldCharType="separate"/>
      </w:r>
      <w:r w:rsidR="007E3A65">
        <w:t xml:space="preserve">Box </w:t>
      </w:r>
      <w:r w:rsidR="007E3A65">
        <w:rPr>
          <w:noProof/>
        </w:rPr>
        <w:t>7</w:t>
      </w:r>
      <w:r w:rsidR="0046412E" w:rsidRPr="000A2E03">
        <w:fldChar w:fldCharType="end"/>
      </w:r>
      <w:r w:rsidR="0046412E">
        <w:t>)</w:t>
      </w:r>
      <w:r w:rsidR="00790CF0">
        <w:t>.</w:t>
      </w:r>
      <w:r w:rsidR="00425813">
        <w:t xml:space="preserve"> </w:t>
      </w:r>
      <w:r w:rsidR="003D22E9">
        <w:t xml:space="preserve">There are efficiencies to be gained in doing so for many types of therapy, but particularly for </w:t>
      </w:r>
      <w:r w:rsidR="00326E25">
        <w:t>new therapeutic solutions</w:t>
      </w:r>
      <w:r w:rsidR="00494C20">
        <w:t xml:space="preserve"> for which</w:t>
      </w:r>
      <w:r w:rsidR="003D22E9">
        <w:t xml:space="preserve"> </w:t>
      </w:r>
      <w:r w:rsidR="000E5244">
        <w:t>accelerating</w:t>
      </w:r>
      <w:r w:rsidR="00494C20">
        <w:t xml:space="preserve"> internal</w:t>
      </w:r>
      <w:r w:rsidR="000E5244">
        <w:t xml:space="preserve"> competencies and </w:t>
      </w:r>
      <w:r w:rsidR="000211C3">
        <w:t xml:space="preserve">shortening </w:t>
      </w:r>
      <w:r w:rsidR="000E5244">
        <w:t>time-to-market is a key driver and affects where and how investment happens.</w:t>
      </w:r>
      <w:r w:rsidR="000E5244">
        <w:rPr>
          <w:rStyle w:val="Odwoanieprzypisudolnego"/>
        </w:rPr>
        <w:footnoteReference w:id="171"/>
      </w:r>
      <w:r w:rsidR="00A84892">
        <w:t xml:space="preserve"> </w:t>
      </w:r>
    </w:p>
    <w:p w14:paraId="0147B0B3" w14:textId="2242B711" w:rsidR="00C84332" w:rsidRDefault="00C84332" w:rsidP="00D53D69">
      <w:pPr>
        <w:pStyle w:val="Legenda"/>
      </w:pPr>
      <w:bookmarkStart w:id="138" w:name="_Ref109396460"/>
      <w:r>
        <w:t xml:space="preserve">Box </w:t>
      </w:r>
      <w:r>
        <w:fldChar w:fldCharType="begin"/>
      </w:r>
      <w:r>
        <w:instrText xml:space="preserve"> SEQ Box \* ARABIC </w:instrText>
      </w:r>
      <w:r>
        <w:fldChar w:fldCharType="separate"/>
      </w:r>
      <w:r w:rsidR="002D7E04">
        <w:rPr>
          <w:noProof/>
        </w:rPr>
        <w:t>7</w:t>
      </w:r>
      <w:r>
        <w:fldChar w:fldCharType="end"/>
      </w:r>
      <w:bookmarkEnd w:id="138"/>
      <w:r>
        <w:t xml:space="preserve">: </w:t>
      </w:r>
      <w:r w:rsidR="004A106C">
        <w:t xml:space="preserve">Case studies | </w:t>
      </w:r>
      <w:r>
        <w:t>Co-location of the value chain</w:t>
      </w:r>
      <w:r w:rsidR="00F32C33">
        <w:t xml:space="preserve"> for </w:t>
      </w:r>
      <w:r w:rsidR="009D4E37">
        <w:t>new therapeutic solutions</w:t>
      </w:r>
    </w:p>
    <w:tbl>
      <w:tblPr>
        <w:tblStyle w:val="Tabela-Siatka"/>
        <w:tblW w:w="0" w:type="auto"/>
        <w:tblBorders>
          <w:top w:val="single" w:sz="12" w:space="0" w:color="C0C0C0" w:themeColor="text2"/>
          <w:left w:val="single" w:sz="12" w:space="0" w:color="C0C0C0" w:themeColor="text2"/>
          <w:bottom w:val="single" w:sz="12" w:space="0" w:color="C0C0C0" w:themeColor="text2"/>
          <w:right w:val="single" w:sz="12" w:space="0" w:color="C0C0C0" w:themeColor="text2"/>
          <w:insideH w:val="none" w:sz="0" w:space="0" w:color="auto"/>
          <w:insideV w:val="none" w:sz="0" w:space="0" w:color="auto"/>
        </w:tblBorders>
        <w:shd w:val="clear" w:color="auto" w:fill="EBF4FB" w:themeFill="accent2" w:themeFillTint="33"/>
        <w:tblLook w:val="04A0" w:firstRow="1" w:lastRow="0" w:firstColumn="1" w:lastColumn="0" w:noHBand="0" w:noVBand="1"/>
      </w:tblPr>
      <w:tblGrid>
        <w:gridCol w:w="7920"/>
      </w:tblGrid>
      <w:tr w:rsidR="00C84332" w14:paraId="50763451" w14:textId="77777777">
        <w:tc>
          <w:tcPr>
            <w:tcW w:w="7920" w:type="dxa"/>
            <w:shd w:val="clear" w:color="auto" w:fill="EBF4FB" w:themeFill="accent2" w:themeFillTint="33"/>
          </w:tcPr>
          <w:p w14:paraId="2F820AB6" w14:textId="21F22138" w:rsidR="0083116B" w:rsidRDefault="006E794E" w:rsidP="000A2E03">
            <w:pPr>
              <w:pStyle w:val="Tekstpodstawowy"/>
              <w:spacing w:line="264" w:lineRule="auto"/>
            </w:pPr>
            <w:r>
              <w:t>In February 2022</w:t>
            </w:r>
            <w:r w:rsidR="002F091D">
              <w:t xml:space="preserve">, Eli Lilly and Company announced an investment of $700 million </w:t>
            </w:r>
            <w:r w:rsidR="00D66815">
              <w:t xml:space="preserve">in a new facility in Boston which, once complete, will house the Lilly Institute </w:t>
            </w:r>
            <w:r w:rsidR="00730BF3">
              <w:t xml:space="preserve">for </w:t>
            </w:r>
            <w:r w:rsidR="00D66815">
              <w:t>Genetic Medicine.</w:t>
            </w:r>
            <w:r w:rsidR="00321522">
              <w:rPr>
                <w:rStyle w:val="Odwoanieprzypisudolnego"/>
              </w:rPr>
              <w:footnoteReference w:id="172"/>
            </w:r>
            <w:r w:rsidR="00D66815">
              <w:t xml:space="preserve"> </w:t>
            </w:r>
            <w:r w:rsidR="00810A9B">
              <w:t xml:space="preserve">The aim of the Institute is </w:t>
            </w:r>
            <w:r w:rsidR="00F63AAF">
              <w:t xml:space="preserve">research and </w:t>
            </w:r>
            <w:r w:rsidR="00810A9B">
              <w:t>develop</w:t>
            </w:r>
            <w:r w:rsidR="00F63AAF">
              <w:t>ment of</w:t>
            </w:r>
            <w:r w:rsidR="00810A9B">
              <w:t xml:space="preserve"> innovative RNA</w:t>
            </w:r>
            <w:r w:rsidR="00730BF3">
              <w:t>-</w:t>
            </w:r>
            <w:r w:rsidR="00810A9B">
              <w:t xml:space="preserve"> and DNA-based therapies to treat and prevent diseases. </w:t>
            </w:r>
            <w:r w:rsidR="009C2D92">
              <w:t xml:space="preserve">For Lilly, this is the first </w:t>
            </w:r>
            <w:r w:rsidR="00051675">
              <w:t xml:space="preserve">instance in which </w:t>
            </w:r>
            <w:r w:rsidR="00C443FB">
              <w:t xml:space="preserve">research, IMP manufacturing and commercial manufacturing </w:t>
            </w:r>
            <w:r w:rsidR="00F64F9D">
              <w:t>will occur in one facility</w:t>
            </w:r>
            <w:r w:rsidR="00051675">
              <w:t>.</w:t>
            </w:r>
            <w:r w:rsidR="0077153D">
              <w:rPr>
                <w:rStyle w:val="Odwoanieprzypisudolnego"/>
              </w:rPr>
              <w:footnoteReference w:id="173"/>
            </w:r>
            <w:r w:rsidR="00051675">
              <w:t xml:space="preserve"> </w:t>
            </w:r>
            <w:r w:rsidR="002F085D">
              <w:t>Depending on where a drug candidate or product is in its life</w:t>
            </w:r>
            <w:r w:rsidR="00730BF3">
              <w:t xml:space="preserve"> </w:t>
            </w:r>
            <w:r w:rsidR="002F085D">
              <w:t xml:space="preserve">cycle, it will be able to be transferred </w:t>
            </w:r>
            <w:r w:rsidR="00321522">
              <w:t xml:space="preserve">around to the relevant section of the facility rather than being moved to a separate site. </w:t>
            </w:r>
            <w:r w:rsidR="00D553BE">
              <w:t xml:space="preserve">In </w:t>
            </w:r>
            <w:r w:rsidR="00CD580F">
              <w:t>May 2022</w:t>
            </w:r>
            <w:r w:rsidR="00D553BE">
              <w:t xml:space="preserve">, Lilly </w:t>
            </w:r>
            <w:r w:rsidR="00CD580F">
              <w:t xml:space="preserve">also </w:t>
            </w:r>
            <w:r w:rsidR="00D553BE">
              <w:t xml:space="preserve">invested </w:t>
            </w:r>
            <w:r w:rsidR="00CD580F" w:rsidRPr="00CD580F">
              <w:t xml:space="preserve">$2.1 billion in two new </w:t>
            </w:r>
            <w:r w:rsidR="00CD580F" w:rsidRPr="00CD580F">
              <w:lastRenderedPageBreak/>
              <w:t>manufacturing sites</w:t>
            </w:r>
            <w:r w:rsidR="00CD580F">
              <w:t xml:space="preserve"> in Indiana</w:t>
            </w:r>
            <w:r w:rsidR="000059E4">
              <w:t>,</w:t>
            </w:r>
            <w:r w:rsidR="00056735">
              <w:t xml:space="preserve"> which will expand </w:t>
            </w:r>
            <w:r w:rsidR="000059E4">
              <w:t xml:space="preserve">the </w:t>
            </w:r>
            <w:r w:rsidR="00694EDF">
              <w:t xml:space="preserve">company’s manufacturing network </w:t>
            </w:r>
            <w:r w:rsidR="000D5C6E">
              <w:t>for active ingredients and new therapeutic modalities, such as genetic medicines.</w:t>
            </w:r>
            <w:r w:rsidR="002C1EE8">
              <w:rPr>
                <w:rStyle w:val="Odwoanieprzypisudolnego"/>
              </w:rPr>
              <w:footnoteReference w:id="174"/>
            </w:r>
          </w:p>
          <w:p w14:paraId="25267C2B" w14:textId="60F124ED" w:rsidR="0083116B" w:rsidRDefault="0083116B" w:rsidP="000A2E03">
            <w:pPr>
              <w:pStyle w:val="Tekstpodstawowy"/>
              <w:spacing w:line="264" w:lineRule="auto"/>
            </w:pPr>
            <w:r>
              <w:t xml:space="preserve">In 2021, </w:t>
            </w:r>
            <w:r w:rsidRPr="0083116B">
              <w:t>Sanofi announced that a €400 million annual investment would be made in an mRNA vaccine centre of excellence</w:t>
            </w:r>
            <w:r>
              <w:t xml:space="preserve"> in Cambridge, </w:t>
            </w:r>
            <w:r w:rsidR="00E06E9B">
              <w:t>Massachusetts</w:t>
            </w:r>
            <w:r>
              <w:t xml:space="preserve"> (US) and Lyon, France.</w:t>
            </w:r>
            <w:r w:rsidR="00257E68">
              <w:rPr>
                <w:rStyle w:val="Odwoanieprzypisudolnego"/>
              </w:rPr>
              <w:footnoteReference w:id="175"/>
            </w:r>
            <w:r>
              <w:t xml:space="preserve"> </w:t>
            </w:r>
            <w:r w:rsidR="00E47904">
              <w:t>The site</w:t>
            </w:r>
            <w:r w:rsidR="00980F35">
              <w:t>s</w:t>
            </w:r>
            <w:r w:rsidR="00E47904">
              <w:t xml:space="preserve"> will bring together R&amp;D, digital, and chemistry, manufacturing and controls (CMC) teams</w:t>
            </w:r>
            <w:r w:rsidR="00980F35">
              <w:t xml:space="preserve">, allowing end-to-end development </w:t>
            </w:r>
            <w:r w:rsidR="00FC307E">
              <w:t xml:space="preserve">and accelerating the mRNA vaccines pipeline. In Lyon, Sanofi already </w:t>
            </w:r>
            <w:r w:rsidR="00730BF3">
              <w:t xml:space="preserve">has </w:t>
            </w:r>
            <w:r w:rsidR="00FC307E">
              <w:t xml:space="preserve">both an R&amp;D and </w:t>
            </w:r>
            <w:r w:rsidR="00730BF3">
              <w:t xml:space="preserve">a </w:t>
            </w:r>
            <w:r w:rsidR="00FC307E">
              <w:t>manufacturing presence, so the</w:t>
            </w:r>
            <w:r w:rsidR="00E13B1E">
              <w:t xml:space="preserve"> existing internal</w:t>
            </w:r>
            <w:r w:rsidR="00FC307E">
              <w:t xml:space="preserve"> capabilities and infrastructure</w:t>
            </w:r>
            <w:r w:rsidR="00315E09">
              <w:t xml:space="preserve"> can be utilised. </w:t>
            </w:r>
          </w:p>
        </w:tc>
      </w:tr>
    </w:tbl>
    <w:p w14:paraId="1B1C0E90" w14:textId="155AA245" w:rsidR="00686AF0" w:rsidRDefault="00164FBE" w:rsidP="00164FBE">
      <w:pPr>
        <w:pStyle w:val="Nagwek2"/>
      </w:pPr>
      <w:bookmarkStart w:id="139" w:name="_Toc115717788"/>
      <w:r>
        <w:lastRenderedPageBreak/>
        <w:t>Summary</w:t>
      </w:r>
      <w:bookmarkEnd w:id="139"/>
    </w:p>
    <w:p w14:paraId="4B7D88B5" w14:textId="1E229229" w:rsidR="000012F4" w:rsidRDefault="000C2D67" w:rsidP="00D5263E">
      <w:pPr>
        <w:pStyle w:val="Tekstpodstawowy"/>
      </w:pPr>
      <w:r>
        <w:t xml:space="preserve">As described in Chapter 2, Europe’s relative </w:t>
      </w:r>
      <w:r w:rsidR="00430BF2">
        <w:t xml:space="preserve">global </w:t>
      </w:r>
      <w:r>
        <w:t xml:space="preserve">performance in attracting </w:t>
      </w:r>
      <w:r w:rsidR="00A73629">
        <w:t>research, clinical trial</w:t>
      </w:r>
      <w:r w:rsidR="003D10F5">
        <w:t>s</w:t>
      </w:r>
      <w:r w:rsidR="00A73629">
        <w:t xml:space="preserve"> and IMP and commercial manufacturing </w:t>
      </w:r>
      <w:r w:rsidR="00430BF2">
        <w:t>investments</w:t>
      </w:r>
      <w:r>
        <w:t xml:space="preserve"> </w:t>
      </w:r>
      <w:r w:rsidR="00C94ECD">
        <w:t xml:space="preserve">differs </w:t>
      </w:r>
      <w:r w:rsidR="00430BF2">
        <w:t>substantial</w:t>
      </w:r>
      <w:r w:rsidR="00730BF3">
        <w:t>ly</w:t>
      </w:r>
      <w:r w:rsidR="00430BF2">
        <w:t xml:space="preserve"> </w:t>
      </w:r>
      <w:r w:rsidR="004961FD">
        <w:t xml:space="preserve">for each activity. </w:t>
      </w:r>
      <w:r w:rsidR="003210EB">
        <w:t>U</w:t>
      </w:r>
      <w:r w:rsidR="00AE3F40">
        <w:t xml:space="preserve">nderstanding the drivers </w:t>
      </w:r>
      <w:r w:rsidR="00345F8C">
        <w:t xml:space="preserve">impacting the location of </w:t>
      </w:r>
      <w:r w:rsidR="008015D7">
        <w:t xml:space="preserve">these activities </w:t>
      </w:r>
      <w:r w:rsidR="00425F64">
        <w:t xml:space="preserve">(summarised in </w:t>
      </w:r>
      <w:r w:rsidR="00425F64" w:rsidRPr="000A2E03">
        <w:fldChar w:fldCharType="begin"/>
      </w:r>
      <w:r w:rsidR="00425F64">
        <w:instrText xml:space="preserve"> REF _Ref110000857 \h </w:instrText>
      </w:r>
      <w:r w:rsidR="00425F64" w:rsidRPr="000A2E03">
        <w:fldChar w:fldCharType="separate"/>
      </w:r>
      <w:r w:rsidR="000012F4">
        <w:t xml:space="preserve">Figure </w:t>
      </w:r>
      <w:r w:rsidR="000012F4">
        <w:rPr>
          <w:noProof/>
        </w:rPr>
        <w:t>15</w:t>
      </w:r>
      <w:r w:rsidR="00425F64" w:rsidRPr="000A2E03">
        <w:fldChar w:fldCharType="end"/>
      </w:r>
      <w:r w:rsidR="00425F64">
        <w:t xml:space="preserve">) </w:t>
      </w:r>
      <w:r w:rsidR="008015D7">
        <w:t xml:space="preserve">helps us </w:t>
      </w:r>
      <w:r w:rsidR="00730BF3">
        <w:t xml:space="preserve">to </w:t>
      </w:r>
      <w:r w:rsidR="003210EB">
        <w:t>explain</w:t>
      </w:r>
      <w:r w:rsidR="008015D7">
        <w:t xml:space="preserve"> this trend</w:t>
      </w:r>
      <w:r w:rsidR="003210EB">
        <w:t xml:space="preserve"> and identify </w:t>
      </w:r>
      <w:r w:rsidR="00B43D46">
        <w:t>Europe’s areas of strength and weakness.</w:t>
      </w:r>
    </w:p>
    <w:p w14:paraId="3F040D09" w14:textId="08DBAC7B" w:rsidR="000012F4" w:rsidRDefault="00B43D46" w:rsidP="000A2E03">
      <w:pPr>
        <w:pStyle w:val="Tekstpodstawowy"/>
        <w:numPr>
          <w:ilvl w:val="0"/>
          <w:numId w:val="163"/>
        </w:numPr>
      </w:pPr>
      <w:r w:rsidRPr="00E8220B">
        <w:rPr>
          <w:i/>
          <w:iCs/>
        </w:rPr>
        <w:t>Research hubs</w:t>
      </w:r>
      <w:r>
        <w:t xml:space="preserve">: </w:t>
      </w:r>
      <w:r w:rsidR="006B337A">
        <w:t xml:space="preserve">Companies are primarily driven to locate their research activities in </w:t>
      </w:r>
      <w:r w:rsidR="00730BF3">
        <w:t xml:space="preserve">places </w:t>
      </w:r>
      <w:r w:rsidR="005D0431">
        <w:t xml:space="preserve">with access to world-leading research staff. </w:t>
      </w:r>
      <w:r w:rsidR="00A35058">
        <w:t>Given Europe</w:t>
      </w:r>
      <w:r w:rsidR="00730BF3">
        <w:t>’s</w:t>
      </w:r>
      <w:r w:rsidR="00A35058">
        <w:t xml:space="preserve"> a</w:t>
      </w:r>
      <w:r w:rsidR="008F3B2C">
        <w:t>nd the US</w:t>
      </w:r>
      <w:r w:rsidR="009009B2">
        <w:t>’s stre</w:t>
      </w:r>
      <w:r w:rsidR="00A9170B">
        <w:t xml:space="preserve">ngth in producing highly qualified researchers, this explains their historical dominance in </w:t>
      </w:r>
      <w:r w:rsidR="00B80DA4">
        <w:t>attracting R&amp;D investment</w:t>
      </w:r>
      <w:r w:rsidR="00730BF3">
        <w:t>;</w:t>
      </w:r>
      <w:r w:rsidR="00B80DA4">
        <w:t xml:space="preserve"> and China’s </w:t>
      </w:r>
      <w:r w:rsidR="00F7238B">
        <w:t xml:space="preserve">recent heavy investments in </w:t>
      </w:r>
      <w:r w:rsidR="00CA0A84">
        <w:t xml:space="preserve">higher education and scientific infrastructure </w:t>
      </w:r>
      <w:r w:rsidR="003F2D43">
        <w:t xml:space="preserve">have </w:t>
      </w:r>
      <w:r w:rsidR="00CA0A84">
        <w:t>seen corresponding increase</w:t>
      </w:r>
      <w:r w:rsidR="003F2D43">
        <w:t>s</w:t>
      </w:r>
      <w:r w:rsidR="00CA0A84">
        <w:t xml:space="preserve"> in private investment. </w:t>
      </w:r>
      <w:r w:rsidR="0021292D">
        <w:t>Where the US leads and China is catching up, is in the strength of the overall innovation ecosystem</w:t>
      </w:r>
      <w:r w:rsidR="00187CE5">
        <w:t xml:space="preserve">, meaning access to </w:t>
      </w:r>
      <w:r w:rsidR="00753C56">
        <w:t>research funding, public-private partnerships and other collaboration</w:t>
      </w:r>
      <w:r w:rsidR="004A7CE2">
        <w:t xml:space="preserve"> opportunities</w:t>
      </w:r>
      <w:r w:rsidR="00753C56">
        <w:t>.</w:t>
      </w:r>
      <w:r w:rsidR="00E66F5C">
        <w:t xml:space="preserve"> Europe has historically lagged in this domain</w:t>
      </w:r>
      <w:r w:rsidR="00CD3715">
        <w:t>.</w:t>
      </w:r>
      <w:r w:rsidR="00753C56">
        <w:t xml:space="preserve"> </w:t>
      </w:r>
      <w:r w:rsidR="00FD7AF3">
        <w:t>However, it is also seen as important to have a research hub in leading pharmaceutical market</w:t>
      </w:r>
      <w:r w:rsidR="00A738B6">
        <w:t>s</w:t>
      </w:r>
      <w:r w:rsidR="00FD7AF3">
        <w:t xml:space="preserve">, </w:t>
      </w:r>
      <w:r w:rsidR="00730BF3">
        <w:t xml:space="preserve">and </w:t>
      </w:r>
      <w:r w:rsidR="00FD7AF3">
        <w:t xml:space="preserve">the opening of hubs in China needs to be seen in this light (rather than </w:t>
      </w:r>
      <w:r w:rsidR="00730BF3">
        <w:t xml:space="preserve">as </w:t>
      </w:r>
      <w:r w:rsidR="00FD7AF3">
        <w:t>a movement away from Europe).</w:t>
      </w:r>
    </w:p>
    <w:p w14:paraId="5053ADE0" w14:textId="6E74A44D" w:rsidR="000012F4" w:rsidRDefault="000C77CC" w:rsidP="000A2E03">
      <w:pPr>
        <w:pStyle w:val="Tekstpodstawowy"/>
        <w:numPr>
          <w:ilvl w:val="0"/>
          <w:numId w:val="163"/>
        </w:numPr>
      </w:pPr>
      <w:r w:rsidRPr="000012F4">
        <w:rPr>
          <w:i/>
          <w:iCs/>
        </w:rPr>
        <w:t>Clinical trials</w:t>
      </w:r>
      <w:r w:rsidRPr="00E8220B">
        <w:t>:</w:t>
      </w:r>
      <w:r>
        <w:t xml:space="preserve"> </w:t>
      </w:r>
      <w:r w:rsidR="0034444F">
        <w:t xml:space="preserve">Europe continues to perform strongly in attracting clinical trial </w:t>
      </w:r>
      <w:r w:rsidR="00CC3628">
        <w:t>investments. However, we observed in Chapter 2 that this is not the case for</w:t>
      </w:r>
      <w:r w:rsidR="00511EB4">
        <w:t xml:space="preserve"> some new </w:t>
      </w:r>
      <w:r w:rsidR="009D4E37">
        <w:t>therapeutic solutions</w:t>
      </w:r>
      <w:r w:rsidR="00511EB4">
        <w:t>, such as</w:t>
      </w:r>
      <w:r w:rsidR="00CC3628">
        <w:t xml:space="preserve"> ATMPs. </w:t>
      </w:r>
      <w:r w:rsidR="009C08B7">
        <w:t xml:space="preserve">The reasons for </w:t>
      </w:r>
      <w:r w:rsidR="00531ED6">
        <w:t>China’s dominance in ATMP clinical research</w:t>
      </w:r>
      <w:r w:rsidR="00F82A12">
        <w:t xml:space="preserve"> appear multi</w:t>
      </w:r>
      <w:r w:rsidR="00D73FD7">
        <w:t>faceted and</w:t>
      </w:r>
      <w:r w:rsidR="00806039">
        <w:t xml:space="preserve"> may include</w:t>
      </w:r>
      <w:r w:rsidR="00B84CC2">
        <w:t xml:space="preserve"> the </w:t>
      </w:r>
      <w:r w:rsidR="00531ED6">
        <w:t xml:space="preserve">strong government support for </w:t>
      </w:r>
      <w:r w:rsidR="009A1EB4">
        <w:t>ATMP clinical trials, the focus on improving regulatory pathways</w:t>
      </w:r>
      <w:r w:rsidR="006D478F">
        <w:t xml:space="preserve">, and the existence of </w:t>
      </w:r>
      <w:r w:rsidR="00890EE8">
        <w:t xml:space="preserve">leading specialist centres. </w:t>
      </w:r>
      <w:r w:rsidR="00A11B34">
        <w:t xml:space="preserve">The US’s attractiveness as a location for ATMP clinical trials appears driven by </w:t>
      </w:r>
      <w:r w:rsidR="003A74F5">
        <w:t>many of the</w:t>
      </w:r>
      <w:r w:rsidR="00FD7AF3">
        <w:t xml:space="preserve"> world’s leading academic centres, </w:t>
      </w:r>
      <w:r w:rsidR="00A11B34">
        <w:t>the overall strength of the innovation ecosystem, and the commercial attractiveness of the US ATMP market.</w:t>
      </w:r>
    </w:p>
    <w:p w14:paraId="44A75014" w14:textId="7F693E72" w:rsidR="000012F4" w:rsidRDefault="00861230" w:rsidP="000A2E03">
      <w:pPr>
        <w:pStyle w:val="Tekstpodstawowy"/>
        <w:numPr>
          <w:ilvl w:val="0"/>
          <w:numId w:val="163"/>
        </w:numPr>
      </w:pPr>
      <w:r w:rsidRPr="000012F4">
        <w:rPr>
          <w:i/>
          <w:iCs/>
        </w:rPr>
        <w:t>IMP manufacturing</w:t>
      </w:r>
      <w:r w:rsidRPr="00E8220B">
        <w:t>:</w:t>
      </w:r>
      <w:r>
        <w:t xml:space="preserve"> </w:t>
      </w:r>
      <w:r w:rsidR="005378F9">
        <w:t xml:space="preserve">IMP manufacturing location should be considered </w:t>
      </w:r>
      <w:r w:rsidR="007D3307">
        <w:t xml:space="preserve">mostly </w:t>
      </w:r>
      <w:r w:rsidR="005378F9">
        <w:t xml:space="preserve">separately to </w:t>
      </w:r>
      <w:r w:rsidR="00E92F29">
        <w:t xml:space="preserve">commercial-scale manufacturing, as </w:t>
      </w:r>
      <w:r w:rsidR="008A1C75">
        <w:t>the drivers of investment location more closely mirror those of research hubs</w:t>
      </w:r>
      <w:r w:rsidR="0000409E">
        <w:t>. They are</w:t>
      </w:r>
      <w:r w:rsidR="007D3307">
        <w:t xml:space="preserve"> related </w:t>
      </w:r>
      <w:r w:rsidR="00EC3792">
        <w:t xml:space="preserve">to </w:t>
      </w:r>
      <w:r w:rsidR="007D3307">
        <w:t xml:space="preserve">a smaller </w:t>
      </w:r>
      <w:r w:rsidR="007D3307">
        <w:lastRenderedPageBreak/>
        <w:t>scale and better demand planning</w:t>
      </w:r>
      <w:r w:rsidR="008A1C75">
        <w:t xml:space="preserve">: companies look for areas where they can conduct </w:t>
      </w:r>
      <w:r w:rsidR="002E38D1">
        <w:t>high-</w:t>
      </w:r>
      <w:r w:rsidR="008A1C75">
        <w:t>quality</w:t>
      </w:r>
      <w:r w:rsidR="009E025F">
        <w:t xml:space="preserve"> manufacturing </w:t>
      </w:r>
      <w:r w:rsidR="007D3307">
        <w:t xml:space="preserve">and innovation in manufacturing facilities and techniques </w:t>
      </w:r>
      <w:r w:rsidR="009E025F">
        <w:t xml:space="preserve">to support the clinical development process, supported by access to knowledgeable staff and quality infrastructure. </w:t>
      </w:r>
      <w:r w:rsidR="0015182A">
        <w:t>F</w:t>
      </w:r>
      <w:r w:rsidR="009E025F">
        <w:t xml:space="preserve">or </w:t>
      </w:r>
      <w:r w:rsidR="00643D00">
        <w:t>many</w:t>
      </w:r>
      <w:r w:rsidR="00147B45">
        <w:t xml:space="preserve"> new therapeutic solutions</w:t>
      </w:r>
      <w:r w:rsidR="009A5302">
        <w:t>,</w:t>
      </w:r>
      <w:r w:rsidR="007D3307">
        <w:t xml:space="preserve"> </w:t>
      </w:r>
      <w:r w:rsidR="00C82C20">
        <w:t>decisions</w:t>
      </w:r>
      <w:r w:rsidR="009E025F">
        <w:t xml:space="preserve"> may also involve more co-location with late-stage R&amp;D</w:t>
      </w:r>
      <w:r w:rsidR="006A7E3F">
        <w:t xml:space="preserve"> to en</w:t>
      </w:r>
      <w:r w:rsidR="00C82C20">
        <w:t xml:space="preserve">sure </w:t>
      </w:r>
      <w:r w:rsidR="001052D2">
        <w:t>knowledge transfer.</w:t>
      </w:r>
      <w:r w:rsidR="0015182A">
        <w:t xml:space="preserve"> We find this is a critical decision factor for ATMPs.</w:t>
      </w:r>
    </w:p>
    <w:p w14:paraId="4FA8787D" w14:textId="5D17EB5D" w:rsidR="00FD7AF3" w:rsidRDefault="00861230" w:rsidP="000A2E03">
      <w:pPr>
        <w:pStyle w:val="Tekstpodstawowy"/>
        <w:numPr>
          <w:ilvl w:val="0"/>
          <w:numId w:val="163"/>
        </w:numPr>
      </w:pPr>
      <w:r w:rsidRPr="000012F4">
        <w:rPr>
          <w:i/>
          <w:iCs/>
        </w:rPr>
        <w:t>Commercial manufacturing</w:t>
      </w:r>
      <w:r w:rsidRPr="00E8220B">
        <w:t>:</w:t>
      </w:r>
      <w:r w:rsidR="001052D2">
        <w:t xml:space="preserve"> Commercial manufacturing is driven largely by</w:t>
      </w:r>
      <w:r w:rsidR="00122033">
        <w:t xml:space="preserve"> the </w:t>
      </w:r>
      <w:r w:rsidR="001052D2">
        <w:t xml:space="preserve">financial viability of investment in a given location, which </w:t>
      </w:r>
      <w:r w:rsidR="00122033">
        <w:t xml:space="preserve">can </w:t>
      </w:r>
      <w:r w:rsidR="001052D2">
        <w:t>explain</w:t>
      </w:r>
      <w:r w:rsidR="00122033" w:rsidRPr="00122033">
        <w:t xml:space="preserve"> </w:t>
      </w:r>
      <w:r w:rsidR="00BD0EAA">
        <w:rPr>
          <w:rFonts w:cs="Arial"/>
        </w:rPr>
        <w:t>–</w:t>
      </w:r>
      <w:r w:rsidR="00122033">
        <w:t xml:space="preserve"> particularly for generic medicines</w:t>
      </w:r>
      <w:r w:rsidR="006D7C43">
        <w:t xml:space="preserve"> </w:t>
      </w:r>
      <w:r w:rsidR="00BD0EAA">
        <w:rPr>
          <w:rFonts w:cs="Arial"/>
        </w:rPr>
        <w:t>–</w:t>
      </w:r>
      <w:r w:rsidR="006D7C43">
        <w:t xml:space="preserve"> the increasing outsourcing of API to lower</w:t>
      </w:r>
      <w:r w:rsidR="00147F69">
        <w:t>-</w:t>
      </w:r>
      <w:r w:rsidR="006D7C43">
        <w:t>cost jurisdictions such as Asia</w:t>
      </w:r>
      <w:r w:rsidR="00793AB2">
        <w:t>.</w:t>
      </w:r>
      <w:r w:rsidR="00232F5F">
        <w:t xml:space="preserve"> </w:t>
      </w:r>
      <w:r w:rsidR="008437E2">
        <w:t xml:space="preserve">More recently, </w:t>
      </w:r>
      <w:r w:rsidR="009A22D3">
        <w:t>accelerated</w:t>
      </w:r>
      <w:r w:rsidR="008437E2">
        <w:t xml:space="preserve"> by the COVID-19 pandemic, there </w:t>
      </w:r>
      <w:r w:rsidR="009A22D3">
        <w:t xml:space="preserve">have been calls </w:t>
      </w:r>
      <w:r w:rsidR="00603BEF">
        <w:t xml:space="preserve">in the US, China and some European </w:t>
      </w:r>
      <w:r w:rsidR="00AF1434">
        <w:t>M</w:t>
      </w:r>
      <w:r w:rsidR="00603BEF">
        <w:t xml:space="preserve">ember </w:t>
      </w:r>
      <w:r w:rsidR="00AF1434">
        <w:t>S</w:t>
      </w:r>
      <w:r w:rsidR="00603BEF">
        <w:t xml:space="preserve">tates for </w:t>
      </w:r>
      <w:r w:rsidR="009A22D3">
        <w:t xml:space="preserve">localisation of commercial manufacturing </w:t>
      </w:r>
      <w:r w:rsidR="002D39A9">
        <w:t xml:space="preserve">of products and components </w:t>
      </w:r>
      <w:r w:rsidR="009A22D3">
        <w:t xml:space="preserve">to improve security of pharmaceutical supply chains, </w:t>
      </w:r>
      <w:r w:rsidR="00BD0EAA">
        <w:t xml:space="preserve">and this </w:t>
      </w:r>
      <w:r w:rsidR="009A22D3">
        <w:t xml:space="preserve">may disrupt the trend towards outsourcing in the future. </w:t>
      </w:r>
      <w:r w:rsidR="00793AB2">
        <w:t xml:space="preserve">We expect </w:t>
      </w:r>
      <w:r w:rsidR="00232F5F">
        <w:t>trends</w:t>
      </w:r>
      <w:r w:rsidR="00793AB2">
        <w:t xml:space="preserve"> to differ slightly for</w:t>
      </w:r>
      <w:r w:rsidR="00F40811">
        <w:t xml:space="preserve"> </w:t>
      </w:r>
      <w:r w:rsidR="00C61E58">
        <w:t>some new therapeutic solutions</w:t>
      </w:r>
      <w:r w:rsidR="00F40811">
        <w:t xml:space="preserve">, specifically for </w:t>
      </w:r>
      <w:r w:rsidR="00793AB2">
        <w:t xml:space="preserve">ATMPs as </w:t>
      </w:r>
      <w:r w:rsidR="002D39A9">
        <w:t xml:space="preserve">lower </w:t>
      </w:r>
      <w:r w:rsidR="009B4750">
        <w:t>shelf</w:t>
      </w:r>
      <w:r w:rsidR="00BD0EAA">
        <w:t xml:space="preserve"> </w:t>
      </w:r>
      <w:r w:rsidR="009B4750">
        <w:t>life</w:t>
      </w:r>
      <w:r w:rsidR="002D39A9">
        <w:t xml:space="preserve"> drives</w:t>
      </w:r>
      <w:r w:rsidR="008871FD">
        <w:t xml:space="preserve"> more</w:t>
      </w:r>
      <w:r w:rsidR="002D39A9">
        <w:t xml:space="preserve"> local manu</w:t>
      </w:r>
      <w:r w:rsidR="00552D19">
        <w:t>f</w:t>
      </w:r>
      <w:r w:rsidR="002D39A9">
        <w:t>actu</w:t>
      </w:r>
      <w:r w:rsidR="00552D19">
        <w:t>r</w:t>
      </w:r>
      <w:r w:rsidR="002D39A9">
        <w:t xml:space="preserve">ing. This </w:t>
      </w:r>
      <w:r w:rsidR="00D0687C">
        <w:t>is seen to be occurring in markets with high</w:t>
      </w:r>
      <w:r w:rsidR="007745C9">
        <w:t>er</w:t>
      </w:r>
      <w:r w:rsidR="00D0687C">
        <w:t xml:space="preserve"> </w:t>
      </w:r>
      <w:r w:rsidR="002D39A9">
        <w:t>affordability and ability to reimburse innovative products</w:t>
      </w:r>
      <w:r w:rsidR="007C2C5F">
        <w:t xml:space="preserve">. This is </w:t>
      </w:r>
      <w:r w:rsidR="002D39A9">
        <w:t>also driven by</w:t>
      </w:r>
      <w:r w:rsidR="007C2C5F">
        <w:t xml:space="preserve"> </w:t>
      </w:r>
      <w:r w:rsidR="00BD0EAA">
        <w:t xml:space="preserve">the </w:t>
      </w:r>
      <w:r w:rsidR="007C2C5F">
        <w:t xml:space="preserve">quality of the manufacturing processes </w:t>
      </w:r>
      <w:r w:rsidR="003D1FE8">
        <w:t xml:space="preserve">as it </w:t>
      </w:r>
      <w:r w:rsidR="008256E1">
        <w:t>is</w:t>
      </w:r>
      <w:r w:rsidR="007C2C5F">
        <w:t xml:space="preserve"> imperative to their success, so companies look for the areas in which they have greatest confidence in being able to access the right workforce </w:t>
      </w:r>
      <w:r w:rsidR="00BD0EAA">
        <w:t xml:space="preserve">in order </w:t>
      </w:r>
      <w:r w:rsidR="007C2C5F">
        <w:t>to deliver the product.</w:t>
      </w:r>
    </w:p>
    <w:p w14:paraId="031E0425" w14:textId="16D0DA31" w:rsidR="00250774" w:rsidRPr="00D5263E" w:rsidRDefault="005F74B5" w:rsidP="00FD7AF3">
      <w:pPr>
        <w:pStyle w:val="Tekstpodstawowy"/>
      </w:pPr>
      <w:r>
        <w:t>In Chapter 4, w</w:t>
      </w:r>
      <w:r w:rsidR="00D57823">
        <w:t>e use this assessment to identify</w:t>
      </w:r>
      <w:r w:rsidR="00540EA4">
        <w:t xml:space="preserve"> </w:t>
      </w:r>
      <w:r w:rsidR="00C83F7E">
        <w:t xml:space="preserve">potential areas for </w:t>
      </w:r>
      <w:r w:rsidR="00111E53">
        <w:t xml:space="preserve">improvement in the European </w:t>
      </w:r>
      <w:r>
        <w:t>industrial policy environment that would serve to attract greater pharmaceutical investments in the future.</w:t>
      </w:r>
    </w:p>
    <w:p w14:paraId="062EF565" w14:textId="55EC43A0" w:rsidR="009D0EEC" w:rsidRDefault="009D0EEC" w:rsidP="000A2E03">
      <w:pPr>
        <w:pStyle w:val="Legenda"/>
      </w:pPr>
      <w:r>
        <w:t xml:space="preserve">Box </w:t>
      </w:r>
      <w:r>
        <w:fldChar w:fldCharType="begin"/>
      </w:r>
      <w:r>
        <w:instrText xml:space="preserve"> SEQ Box \* ARABIC </w:instrText>
      </w:r>
      <w:r>
        <w:fldChar w:fldCharType="separate"/>
      </w:r>
      <w:r>
        <w:rPr>
          <w:noProof/>
        </w:rPr>
        <w:t>8</w:t>
      </w:r>
      <w:r>
        <w:fldChar w:fldCharType="end"/>
      </w:r>
      <w:r>
        <w:t xml:space="preserve">: </w:t>
      </w:r>
      <w:r w:rsidR="007205A6">
        <w:t>Summary of key</w:t>
      </w:r>
      <w:r>
        <w:t xml:space="preserve"> findings</w:t>
      </w:r>
    </w:p>
    <w:tbl>
      <w:tblPr>
        <w:tblStyle w:val="Tabela-Siatka"/>
        <w:tblW w:w="0" w:type="auto"/>
        <w:tblLook w:val="04A0" w:firstRow="1" w:lastRow="0" w:firstColumn="1" w:lastColumn="0" w:noHBand="0" w:noVBand="1"/>
      </w:tblPr>
      <w:tblGrid>
        <w:gridCol w:w="7920"/>
      </w:tblGrid>
      <w:tr w:rsidR="00AB71E1" w14:paraId="0886AB1F" w14:textId="77777777" w:rsidTr="00836B4F">
        <w:tc>
          <w:tcPr>
            <w:tcW w:w="7920" w:type="dxa"/>
            <w:tcBorders>
              <w:top w:val="single" w:sz="12" w:space="0" w:color="C0C0C0" w:themeColor="text2"/>
              <w:left w:val="single" w:sz="12" w:space="0" w:color="C0C0C0" w:themeColor="text2"/>
              <w:bottom w:val="single" w:sz="12" w:space="0" w:color="C0C0C0" w:themeColor="text2"/>
              <w:right w:val="single" w:sz="12" w:space="0" w:color="C0C0C0" w:themeColor="text2"/>
            </w:tcBorders>
            <w:shd w:val="clear" w:color="auto" w:fill="EBF4FB" w:themeFill="accent2" w:themeFillTint="33"/>
          </w:tcPr>
          <w:p w14:paraId="009746F8" w14:textId="79AD36C8" w:rsidR="00AB71E1" w:rsidRDefault="009D4E37" w:rsidP="00AB71E1">
            <w:pPr>
              <w:pStyle w:val="Tekstpodstawowy"/>
              <w:numPr>
                <w:ilvl w:val="0"/>
                <w:numId w:val="146"/>
              </w:numPr>
            </w:pPr>
            <w:r>
              <w:t>The factor</w:t>
            </w:r>
            <w:r w:rsidR="0084752E">
              <w:t>s</w:t>
            </w:r>
            <w:r>
              <w:t xml:space="preserve"> driving </w:t>
            </w:r>
            <w:r w:rsidR="002B7A78" w:rsidRPr="002B7A78">
              <w:t>Europe’s relative global performance in attracting research, clinical trials and IMP and commercial manufacturing investments differ substantial</w:t>
            </w:r>
            <w:r w:rsidR="007B1E44">
              <w:t>ly</w:t>
            </w:r>
            <w:r w:rsidR="002B7A78" w:rsidRPr="002B7A78">
              <w:t xml:space="preserve"> for each activity</w:t>
            </w:r>
            <w:r w:rsidR="00C340F0">
              <w:t>.</w:t>
            </w:r>
          </w:p>
          <w:p w14:paraId="10D69EE7" w14:textId="0F23BFEA" w:rsidR="008B29CC" w:rsidRDefault="0067008A" w:rsidP="00AB71E1">
            <w:pPr>
              <w:pStyle w:val="Tekstpodstawowy"/>
              <w:numPr>
                <w:ilvl w:val="0"/>
                <w:numId w:val="146"/>
              </w:numPr>
            </w:pPr>
            <w:r>
              <w:t xml:space="preserve">The location of talent and </w:t>
            </w:r>
            <w:r w:rsidR="00BD0EAA">
              <w:t xml:space="preserve">the </w:t>
            </w:r>
            <w:r>
              <w:t xml:space="preserve">strength of clusters is important for R&amp;D. </w:t>
            </w:r>
            <w:r w:rsidR="008B29CC" w:rsidRPr="008B29CC">
              <w:t>Europe</w:t>
            </w:r>
            <w:r w:rsidR="00BD0EAA">
              <w:t>’s</w:t>
            </w:r>
            <w:r w:rsidR="008B29CC" w:rsidRPr="008B29CC">
              <w:t xml:space="preserve"> and the US’s strength in producing highly qualified researchers </w:t>
            </w:r>
            <w:r>
              <w:t xml:space="preserve">helps </w:t>
            </w:r>
            <w:r w:rsidR="008B29CC" w:rsidRPr="008B29CC">
              <w:t>explain their historical dominance in attracting R&amp;D investment</w:t>
            </w:r>
            <w:r>
              <w:t xml:space="preserve">. However, </w:t>
            </w:r>
            <w:r w:rsidR="008B29CC" w:rsidRPr="008B29CC">
              <w:t xml:space="preserve">China’s </w:t>
            </w:r>
            <w:r>
              <w:t>large</w:t>
            </w:r>
            <w:r w:rsidR="008B29CC" w:rsidRPr="008B29CC">
              <w:t xml:space="preserve"> investments in higher education and scientific infrastructure have seen corresponding increases in private investment</w:t>
            </w:r>
            <w:r w:rsidR="00C340F0">
              <w:t>.</w:t>
            </w:r>
          </w:p>
          <w:p w14:paraId="5FA39D0A" w14:textId="591043F4" w:rsidR="0022216A" w:rsidRDefault="0022216A" w:rsidP="00AB71E1">
            <w:pPr>
              <w:pStyle w:val="Tekstpodstawowy"/>
              <w:numPr>
                <w:ilvl w:val="0"/>
                <w:numId w:val="146"/>
              </w:numPr>
            </w:pPr>
            <w:r w:rsidRPr="0022216A">
              <w:t>Europe continues to attract clinical trial investments</w:t>
            </w:r>
            <w:r w:rsidR="00143787">
              <w:t>;</w:t>
            </w:r>
            <w:r w:rsidR="002B3B76">
              <w:t xml:space="preserve"> </w:t>
            </w:r>
            <w:r w:rsidR="00143787">
              <w:t xml:space="preserve">this is </w:t>
            </w:r>
            <w:r w:rsidR="002B3B76">
              <w:t>primar</w:t>
            </w:r>
            <w:r w:rsidR="00224FBE">
              <w:t>i</w:t>
            </w:r>
            <w:r w:rsidR="002B3B76">
              <w:t xml:space="preserve">ly due to </w:t>
            </w:r>
            <w:r w:rsidR="0067008A">
              <w:t xml:space="preserve">long-term </w:t>
            </w:r>
            <w:r w:rsidR="002B3B76" w:rsidRPr="002B3B76">
              <w:t xml:space="preserve">competitive advantages </w:t>
            </w:r>
            <w:r w:rsidR="005A7E8F">
              <w:t xml:space="preserve">regarding the </w:t>
            </w:r>
            <w:r w:rsidR="002B3B76" w:rsidRPr="002B3B76">
              <w:t xml:space="preserve">national healthcare systems, with hospitals, competences and </w:t>
            </w:r>
            <w:r w:rsidR="00610725">
              <w:t>k</w:t>
            </w:r>
            <w:r w:rsidR="001C0D2B">
              <w:t>nowledge</w:t>
            </w:r>
            <w:r w:rsidR="002B3B76" w:rsidRPr="002B3B76">
              <w:t xml:space="preserve"> for </w:t>
            </w:r>
            <w:r w:rsidR="001C0D2B">
              <w:t>conducting</w:t>
            </w:r>
            <w:r w:rsidR="002B3B76" w:rsidRPr="002B3B76">
              <w:t xml:space="preserve"> clinical </w:t>
            </w:r>
            <w:r w:rsidR="001C0D2B">
              <w:t>trials</w:t>
            </w:r>
            <w:r w:rsidR="00C340F0">
              <w:t>.</w:t>
            </w:r>
            <w:r w:rsidR="008767A5">
              <w:t xml:space="preserve"> However</w:t>
            </w:r>
            <w:r w:rsidR="0067008A">
              <w:t>, this appears to be changing</w:t>
            </w:r>
            <w:r w:rsidR="00143787">
              <w:t>,</w:t>
            </w:r>
            <w:r w:rsidR="0067008A">
              <w:t xml:space="preserve"> with the</w:t>
            </w:r>
            <w:r w:rsidR="00BD4C5B">
              <w:t xml:space="preserve"> </w:t>
            </w:r>
            <w:r w:rsidR="008767A5" w:rsidRPr="008767A5">
              <w:t xml:space="preserve">commercial environment </w:t>
            </w:r>
            <w:r w:rsidR="0067008A">
              <w:t xml:space="preserve">attracting an increasing </w:t>
            </w:r>
            <w:r w:rsidR="00EF31B6">
              <w:t xml:space="preserve">number of clinical trials </w:t>
            </w:r>
            <w:r w:rsidR="0067008A">
              <w:t xml:space="preserve">outside of </w:t>
            </w:r>
            <w:r w:rsidR="00EF31B6">
              <w:t>Europe</w:t>
            </w:r>
            <w:r w:rsidR="0036783E">
              <w:t>.</w:t>
            </w:r>
          </w:p>
          <w:p w14:paraId="76A5E544" w14:textId="70B785B7" w:rsidR="00757470" w:rsidRDefault="0067008A" w:rsidP="00AB71E1">
            <w:pPr>
              <w:pStyle w:val="Tekstpodstawowy"/>
              <w:numPr>
                <w:ilvl w:val="0"/>
                <w:numId w:val="146"/>
              </w:numPr>
            </w:pPr>
            <w:r>
              <w:t xml:space="preserve">The </w:t>
            </w:r>
            <w:r w:rsidR="00224FBE">
              <w:t>drivers</w:t>
            </w:r>
            <w:r>
              <w:t xml:space="preserve"> of </w:t>
            </w:r>
            <w:r w:rsidR="00757470" w:rsidRPr="00757470">
              <w:t>IMP manufacturing location more closely mirror those of research hubs</w:t>
            </w:r>
            <w:r w:rsidR="00F66424">
              <w:t xml:space="preserve">. </w:t>
            </w:r>
            <w:r w:rsidR="005E6F32">
              <w:t xml:space="preserve">IMP manufacturing is often co-located with late-stage R&amp;D to ensure </w:t>
            </w:r>
            <w:r w:rsidR="005E6F32" w:rsidRPr="005E6F32">
              <w:t>knowledge transfer</w:t>
            </w:r>
            <w:r w:rsidR="00C340F0">
              <w:t>.</w:t>
            </w:r>
          </w:p>
          <w:p w14:paraId="3AE1EE7B" w14:textId="5BE65104" w:rsidR="00AB71E1" w:rsidRDefault="002413CE" w:rsidP="00AB71E1">
            <w:pPr>
              <w:pStyle w:val="Tekstpodstawowy"/>
              <w:numPr>
                <w:ilvl w:val="0"/>
                <w:numId w:val="146"/>
              </w:numPr>
            </w:pPr>
            <w:r w:rsidRPr="002413CE">
              <w:t xml:space="preserve">Commercial manufacturing is driven </w:t>
            </w:r>
            <w:r w:rsidR="0067008A">
              <w:t xml:space="preserve">by </w:t>
            </w:r>
            <w:r w:rsidRPr="002413CE">
              <w:t>financial viability of investment in a given location</w:t>
            </w:r>
            <w:r w:rsidR="00C40EE3">
              <w:t xml:space="preserve">. However, </w:t>
            </w:r>
            <w:r w:rsidR="00C40EE3" w:rsidRPr="00C40EE3">
              <w:t xml:space="preserve">for </w:t>
            </w:r>
            <w:r w:rsidR="0067008A">
              <w:t>new therapeutic solu</w:t>
            </w:r>
            <w:r w:rsidR="00224FBE">
              <w:t>t</w:t>
            </w:r>
            <w:r w:rsidR="0067008A">
              <w:t>ions</w:t>
            </w:r>
            <w:r w:rsidR="00C40EE3" w:rsidRPr="00C40EE3">
              <w:t xml:space="preserve">, </w:t>
            </w:r>
            <w:r w:rsidR="0067008A">
              <w:t xml:space="preserve">such as </w:t>
            </w:r>
            <w:r w:rsidR="00C40EE3" w:rsidRPr="00C40EE3">
              <w:t>ATMPs</w:t>
            </w:r>
            <w:r w:rsidR="00B44236">
              <w:t>,</w:t>
            </w:r>
            <w:r w:rsidR="00446624">
              <w:t xml:space="preserve"> companies look for the areas in which they have greatest confidence in </w:t>
            </w:r>
            <w:r w:rsidR="00E1695C">
              <w:t>qua</w:t>
            </w:r>
            <w:r w:rsidR="00654B1E">
              <w:t>lity but also</w:t>
            </w:r>
            <w:r w:rsidR="00446624">
              <w:t xml:space="preserve"> in </w:t>
            </w:r>
            <w:r w:rsidR="00446624">
              <w:lastRenderedPageBreak/>
              <w:t xml:space="preserve">being able to access the right workforce and patients </w:t>
            </w:r>
            <w:r w:rsidR="00143787">
              <w:t xml:space="preserve">in order </w:t>
            </w:r>
            <w:r w:rsidR="00446624">
              <w:t>to deliver the product.</w:t>
            </w:r>
          </w:p>
        </w:tc>
      </w:tr>
    </w:tbl>
    <w:p w14:paraId="572C862C" w14:textId="77777777" w:rsidR="00AB71E1" w:rsidRPr="00087BBB" w:rsidRDefault="00AB71E1" w:rsidP="00FD7AF3">
      <w:pPr>
        <w:pStyle w:val="Tekstpodstawowy"/>
      </w:pPr>
    </w:p>
    <w:p w14:paraId="070636A0" w14:textId="63B0AD39" w:rsidR="00F64CC5" w:rsidRDefault="00F64CC5" w:rsidP="00F64CC5">
      <w:pPr>
        <w:pStyle w:val="Legenda"/>
      </w:pPr>
      <w:bookmarkStart w:id="140" w:name="_Ref110000857"/>
      <w:bookmarkStart w:id="141" w:name="_Toc115717808"/>
      <w:r>
        <w:t xml:space="preserve">Figure </w:t>
      </w:r>
      <w:r w:rsidRPr="000A2E03">
        <w:fldChar w:fldCharType="begin"/>
      </w:r>
      <w:r>
        <w:instrText xml:space="preserve"> SEQ Figure \* ARABIC </w:instrText>
      </w:r>
      <w:r w:rsidRPr="000A2E03">
        <w:fldChar w:fldCharType="separate"/>
      </w:r>
      <w:r w:rsidR="001639FE">
        <w:rPr>
          <w:noProof/>
        </w:rPr>
        <w:t>15</w:t>
      </w:r>
      <w:r w:rsidRPr="000A2E03">
        <w:fldChar w:fldCharType="end"/>
      </w:r>
      <w:bookmarkEnd w:id="140"/>
      <w:r>
        <w:t>: Summary of factors driving the location of biopharmaceutical investments</w:t>
      </w:r>
      <w:bookmarkEnd w:id="141"/>
    </w:p>
    <w:p w14:paraId="28C0FA4F" w14:textId="47FECDE9" w:rsidR="00164FBE" w:rsidRPr="00164FBE" w:rsidRDefault="003C0F61" w:rsidP="00164FBE">
      <w:pPr>
        <w:pStyle w:val="Tekstpodstawowy"/>
      </w:pPr>
      <w:r>
        <w:rPr>
          <w:noProof/>
        </w:rPr>
        <w:drawing>
          <wp:inline distT="0" distB="0" distL="0" distR="0" wp14:anchorId="57026200" wp14:editId="22D301B7">
            <wp:extent cx="5048250" cy="726059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048250" cy="7260590"/>
                    </a:xfrm>
                    <a:prstGeom prst="rect">
                      <a:avLst/>
                    </a:prstGeom>
                  </pic:spPr>
                </pic:pic>
              </a:graphicData>
            </a:graphic>
          </wp:inline>
        </w:drawing>
      </w:r>
    </w:p>
    <w:p w14:paraId="71368D95" w14:textId="6347B1E2" w:rsidR="009F185E" w:rsidRDefault="009F185E" w:rsidP="006529FF">
      <w:pPr>
        <w:pStyle w:val="Nagwek1"/>
        <w:ind w:left="0"/>
      </w:pPr>
      <w:bookmarkStart w:id="142" w:name="_Toc106382048"/>
      <w:bookmarkStart w:id="143" w:name="_Toc106382049"/>
      <w:bookmarkStart w:id="144" w:name="_Toc106382050"/>
      <w:bookmarkStart w:id="145" w:name="_Toc106382051"/>
      <w:bookmarkStart w:id="146" w:name="_Toc106382052"/>
      <w:bookmarkStart w:id="147" w:name="_Toc106382053"/>
      <w:bookmarkStart w:id="148" w:name="_Toc106382054"/>
      <w:bookmarkStart w:id="149" w:name="_Toc106382055"/>
      <w:bookmarkStart w:id="150" w:name="_Toc106382056"/>
      <w:bookmarkStart w:id="151" w:name="_Toc106382057"/>
      <w:bookmarkStart w:id="152" w:name="_Toc106382058"/>
      <w:bookmarkStart w:id="153" w:name="_Toc106382059"/>
      <w:bookmarkStart w:id="154" w:name="_Toc106382060"/>
      <w:bookmarkStart w:id="155" w:name="_Toc106382061"/>
      <w:bookmarkStart w:id="156" w:name="_Toc106382062"/>
      <w:bookmarkStart w:id="157" w:name="_Toc106382063"/>
      <w:bookmarkStart w:id="158" w:name="_Toc106382064"/>
      <w:bookmarkStart w:id="159" w:name="_Toc106382065"/>
      <w:bookmarkStart w:id="160" w:name="_Toc106382066"/>
      <w:bookmarkStart w:id="161" w:name="_Toc106382067"/>
      <w:bookmarkStart w:id="162" w:name="_Toc106382074"/>
      <w:bookmarkStart w:id="163" w:name="_Toc106382075"/>
      <w:bookmarkStart w:id="164" w:name="_Toc106382076"/>
      <w:bookmarkStart w:id="165" w:name="_Toc106382077"/>
      <w:bookmarkStart w:id="166" w:name="_Toc106382078"/>
      <w:bookmarkStart w:id="167" w:name="_Toc106382079"/>
      <w:bookmarkStart w:id="168" w:name="_Toc106382080"/>
      <w:bookmarkStart w:id="169" w:name="_Toc106382081"/>
      <w:bookmarkStart w:id="170" w:name="_Toc106382082"/>
      <w:bookmarkStart w:id="171" w:name="_Toc106382083"/>
      <w:bookmarkStart w:id="172" w:name="_Toc106382084"/>
      <w:bookmarkStart w:id="173" w:name="_Toc106382085"/>
      <w:bookmarkStart w:id="174" w:name="_Toc106382086"/>
      <w:bookmarkStart w:id="175" w:name="_Toc106382087"/>
      <w:bookmarkStart w:id="176" w:name="_Toc106382088"/>
      <w:bookmarkStart w:id="177" w:name="_Toc106382089"/>
      <w:bookmarkStart w:id="178" w:name="_Toc106382090"/>
      <w:bookmarkStart w:id="179" w:name="_Toc106382091"/>
      <w:bookmarkStart w:id="180" w:name="_Toc106382092"/>
      <w:bookmarkStart w:id="181" w:name="_Toc106382093"/>
      <w:bookmarkStart w:id="182" w:name="_Toc106382094"/>
      <w:bookmarkStart w:id="183" w:name="_Toc106382095"/>
      <w:bookmarkStart w:id="184" w:name="_Toc106382096"/>
      <w:bookmarkStart w:id="185" w:name="_Toc106382097"/>
      <w:bookmarkStart w:id="186" w:name="_Toc106382098"/>
      <w:bookmarkStart w:id="187" w:name="_Toc106382099"/>
      <w:bookmarkStart w:id="188" w:name="_Toc106382100"/>
      <w:bookmarkStart w:id="189" w:name="_Toc106382101"/>
      <w:bookmarkStart w:id="190" w:name="_Toc106382103"/>
      <w:bookmarkStart w:id="191" w:name="_Toc106382104"/>
      <w:bookmarkStart w:id="192" w:name="_Toc106104541"/>
      <w:bookmarkStart w:id="193" w:name="_Toc11571778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lastRenderedPageBreak/>
        <w:t>Attracting greater biopharmaceutical inward investment in Europe</w:t>
      </w:r>
      <w:bookmarkEnd w:id="192"/>
      <w:bookmarkEnd w:id="193"/>
    </w:p>
    <w:p w14:paraId="7C54EF51" w14:textId="3ED0B46F" w:rsidR="002154A6" w:rsidRDefault="00C12474" w:rsidP="009D7A25">
      <w:pPr>
        <w:pStyle w:val="Tekstpodstawowy"/>
      </w:pPr>
      <w:r>
        <w:t xml:space="preserve">The European Commission has </w:t>
      </w:r>
      <w:r w:rsidR="006A1C23">
        <w:t>note</w:t>
      </w:r>
      <w:r w:rsidR="00A31729">
        <w:t>d</w:t>
      </w:r>
      <w:r w:rsidR="006A1C23">
        <w:t xml:space="preserve"> </w:t>
      </w:r>
      <w:r>
        <w:t>the pharmaceutical industry as one of the most important industries in Europe.</w:t>
      </w:r>
      <w:bookmarkStart w:id="194" w:name="_Ref109847715"/>
      <w:r w:rsidR="00940C8A">
        <w:rPr>
          <w:rStyle w:val="Odwoanieprzypisudolnego"/>
        </w:rPr>
        <w:footnoteReference w:id="176"/>
      </w:r>
      <w:bookmarkEnd w:id="194"/>
      <w:r w:rsidR="00036A68">
        <w:t xml:space="preserve"> This </w:t>
      </w:r>
      <w:r w:rsidR="00F359D8">
        <w:t xml:space="preserve">was </w:t>
      </w:r>
      <w:r w:rsidR="00713E75">
        <w:t>repeated</w:t>
      </w:r>
      <w:r w:rsidR="00036A68">
        <w:t xml:space="preserve"> in the Pharmaceutical Strategy for Europe, where the industry is recognised as being “of key importance for the EU’s economy in terms of creation of highly skilled jobs and investment in innovation”.</w:t>
      </w:r>
      <w:r w:rsidR="00E23C5A">
        <w:t xml:space="preserve"> </w:t>
      </w:r>
      <w:r w:rsidR="000A5405">
        <w:t xml:space="preserve">Previous analysis </w:t>
      </w:r>
      <w:r w:rsidR="00711771">
        <w:t>estimates</w:t>
      </w:r>
      <w:r w:rsidR="000A5405">
        <w:t xml:space="preserve"> the pharmaceutical industry contributed </w:t>
      </w:r>
      <w:r w:rsidR="006A1C23">
        <w:t xml:space="preserve">over </w:t>
      </w:r>
      <w:r w:rsidR="000A5405">
        <w:t>€20</w:t>
      </w:r>
      <w:r w:rsidR="006A1C23">
        <w:t>0</w:t>
      </w:r>
      <w:r w:rsidR="000A5405">
        <w:t xml:space="preserve"> billion in Gross Value A</w:t>
      </w:r>
      <w:r w:rsidR="006917DE">
        <w:t>dded (GVA)</w:t>
      </w:r>
      <w:r w:rsidR="00EF2DF2">
        <w:t xml:space="preserve"> and 2.5 million jobs</w:t>
      </w:r>
      <w:r w:rsidR="00713E75">
        <w:t xml:space="preserve"> in Europe</w:t>
      </w:r>
      <w:r w:rsidR="00EF2DF2">
        <w:t>.</w:t>
      </w:r>
      <w:bookmarkStart w:id="195" w:name="_Ref109848521"/>
      <w:r w:rsidR="009D3E87">
        <w:t xml:space="preserve"> Per employee, this equates to a higher GVA than </w:t>
      </w:r>
      <w:r w:rsidR="002154A6">
        <w:t>other major European industries such as automotive manufacturing, aerospace manufacturing and computer programming.</w:t>
      </w:r>
      <w:r w:rsidR="00EF2DF2">
        <w:rPr>
          <w:rStyle w:val="Odwoanieprzypisudolnego"/>
        </w:rPr>
        <w:footnoteReference w:id="177"/>
      </w:r>
      <w:bookmarkEnd w:id="195"/>
      <w:r w:rsidR="00B75D96">
        <w:t xml:space="preserve"> Looking at the </w:t>
      </w:r>
      <w:r w:rsidR="005E4451">
        <w:t>EU R&amp;D Scoreboard, the pharmaceutical industry also emerges as the industry with the highest R&amp;D intensity in the EU.</w:t>
      </w:r>
      <w:r w:rsidR="00EB77FB" w:rsidRPr="00D53D69">
        <w:rPr>
          <w:rStyle w:val="Odwoanieprzypisudolnego"/>
        </w:rPr>
        <w:fldChar w:fldCharType="begin"/>
      </w:r>
      <w:r w:rsidR="00EB77FB" w:rsidRPr="00D53D69">
        <w:rPr>
          <w:rStyle w:val="Odwoanieprzypisudolnego"/>
        </w:rPr>
        <w:instrText xml:space="preserve"> NOTEREF _Ref109847715 \h </w:instrText>
      </w:r>
      <w:r w:rsidR="005F3259">
        <w:rPr>
          <w:rStyle w:val="Odwoanieprzypisudolnego"/>
        </w:rPr>
        <w:instrText xml:space="preserve"> \* MERGEFORMAT </w:instrText>
      </w:r>
      <w:r w:rsidR="00EB77FB" w:rsidRPr="00D53D69">
        <w:rPr>
          <w:rStyle w:val="Odwoanieprzypisudolnego"/>
        </w:rPr>
      </w:r>
      <w:r w:rsidR="00EB77FB" w:rsidRPr="00D53D69">
        <w:rPr>
          <w:rStyle w:val="Odwoanieprzypisudolnego"/>
        </w:rPr>
        <w:fldChar w:fldCharType="separate"/>
      </w:r>
      <w:r w:rsidR="00EB77FB" w:rsidRPr="00D53D69">
        <w:rPr>
          <w:rStyle w:val="Odwoanieprzypisudolnego"/>
        </w:rPr>
        <w:t>128</w:t>
      </w:r>
      <w:r w:rsidR="00EB77FB" w:rsidRPr="00D53D69">
        <w:rPr>
          <w:rStyle w:val="Odwoanieprzypisudolnego"/>
        </w:rPr>
        <w:fldChar w:fldCharType="end"/>
      </w:r>
      <w:r w:rsidR="005F3259">
        <w:t xml:space="preserve"> </w:t>
      </w:r>
    </w:p>
    <w:p w14:paraId="5778DCB1" w14:textId="793D4CCB" w:rsidR="00936269" w:rsidRPr="009F4D0F" w:rsidRDefault="006A1C23" w:rsidP="00D53D69">
      <w:pPr>
        <w:pStyle w:val="Tekstpodstawowy"/>
      </w:pPr>
      <w:r>
        <w:t xml:space="preserve">The previous chapters have shown how </w:t>
      </w:r>
      <w:r w:rsidR="007F303E" w:rsidRPr="009F4D0F">
        <w:t>Europe</w:t>
      </w:r>
      <w:r>
        <w:t xml:space="preserve"> is falling behind other regions</w:t>
      </w:r>
      <w:r w:rsidR="00CA021B">
        <w:t>,</w:t>
      </w:r>
      <w:r>
        <w:t xml:space="preserve"> and </w:t>
      </w:r>
      <w:r w:rsidR="00710864">
        <w:rPr>
          <w:color w:val="000000" w:themeColor="text1"/>
        </w:rPr>
        <w:t>even</w:t>
      </w:r>
      <w:r w:rsidR="00936269" w:rsidRPr="00D53D69">
        <w:rPr>
          <w:color w:val="000000" w:themeColor="text1"/>
        </w:rPr>
        <w:t xml:space="preserve"> maintaining </w:t>
      </w:r>
      <w:r>
        <w:rPr>
          <w:color w:val="000000" w:themeColor="text1"/>
        </w:rPr>
        <w:t xml:space="preserve">Europe’s share of </w:t>
      </w:r>
      <w:r w:rsidR="00936269" w:rsidRPr="00D53D69">
        <w:rPr>
          <w:color w:val="000000" w:themeColor="text1"/>
        </w:rPr>
        <w:t xml:space="preserve">current </w:t>
      </w:r>
      <w:r w:rsidRPr="00D53D69">
        <w:rPr>
          <w:color w:val="000000" w:themeColor="text1"/>
        </w:rPr>
        <w:t>investment</w:t>
      </w:r>
      <w:r>
        <w:rPr>
          <w:color w:val="000000" w:themeColor="text1"/>
        </w:rPr>
        <w:t>s</w:t>
      </w:r>
      <w:r w:rsidR="001C57B3" w:rsidRPr="00D53D69">
        <w:rPr>
          <w:color w:val="000000" w:themeColor="text1"/>
        </w:rPr>
        <w:t xml:space="preserve"> will likely becom</w:t>
      </w:r>
      <w:r w:rsidR="00FB17D5">
        <w:rPr>
          <w:color w:val="000000" w:themeColor="text1"/>
        </w:rPr>
        <w:t>e</w:t>
      </w:r>
      <w:r w:rsidR="001C57B3" w:rsidRPr="00D53D69">
        <w:rPr>
          <w:color w:val="000000" w:themeColor="text1"/>
        </w:rPr>
        <w:t xml:space="preserve"> increasingly challenging </w:t>
      </w:r>
      <w:r w:rsidR="000C2002">
        <w:rPr>
          <w:color w:val="000000" w:themeColor="text1"/>
        </w:rPr>
        <w:t>over time</w:t>
      </w:r>
      <w:r w:rsidR="001C57B3" w:rsidRPr="00D53D69">
        <w:rPr>
          <w:color w:val="000000" w:themeColor="text1"/>
        </w:rPr>
        <w:t xml:space="preserve">, given the </w:t>
      </w:r>
      <w:r w:rsidR="008B1228" w:rsidRPr="00D53D69">
        <w:rPr>
          <w:color w:val="000000" w:themeColor="text1"/>
        </w:rPr>
        <w:t xml:space="preserve">factors drawing companies towards </w:t>
      </w:r>
      <w:r w:rsidR="00710864">
        <w:rPr>
          <w:color w:val="000000" w:themeColor="text1"/>
        </w:rPr>
        <w:t>locating their activit</w:t>
      </w:r>
      <w:r w:rsidR="00C14242">
        <w:rPr>
          <w:color w:val="000000" w:themeColor="text1"/>
        </w:rPr>
        <w:t xml:space="preserve">ies in </w:t>
      </w:r>
      <w:r w:rsidR="008B1228" w:rsidRPr="00D53D69">
        <w:rPr>
          <w:color w:val="000000" w:themeColor="text1"/>
        </w:rPr>
        <w:t>the US and China</w:t>
      </w:r>
      <w:r w:rsidR="00C14242">
        <w:rPr>
          <w:color w:val="000000" w:themeColor="text1"/>
        </w:rPr>
        <w:t>,</w:t>
      </w:r>
      <w:r w:rsidR="008B1228" w:rsidRPr="00D53D69">
        <w:rPr>
          <w:color w:val="000000" w:themeColor="text1"/>
        </w:rPr>
        <w:t xml:space="preserve"> </w:t>
      </w:r>
      <w:r w:rsidR="00FB17D5">
        <w:rPr>
          <w:color w:val="000000" w:themeColor="text1"/>
        </w:rPr>
        <w:t xml:space="preserve">as </w:t>
      </w:r>
      <w:r w:rsidR="008B1228" w:rsidRPr="00D53D69">
        <w:rPr>
          <w:color w:val="000000" w:themeColor="text1"/>
        </w:rPr>
        <w:t xml:space="preserve">outlined in Chapter 3. </w:t>
      </w:r>
      <w:r w:rsidR="001218CE">
        <w:rPr>
          <w:color w:val="000000" w:themeColor="text1"/>
        </w:rPr>
        <w:t xml:space="preserve">If investments into Europe are to return to a </w:t>
      </w:r>
      <w:r w:rsidR="006E4147">
        <w:rPr>
          <w:color w:val="000000" w:themeColor="text1"/>
        </w:rPr>
        <w:t xml:space="preserve">stronger growth pattern, there is a need to critically assess policy </w:t>
      </w:r>
      <w:r w:rsidR="00F21DE9">
        <w:rPr>
          <w:color w:val="000000" w:themeColor="text1"/>
        </w:rPr>
        <w:t xml:space="preserve">factors </w:t>
      </w:r>
      <w:r w:rsidR="00A6724A">
        <w:rPr>
          <w:color w:val="000000" w:themeColor="text1"/>
        </w:rPr>
        <w:t xml:space="preserve">in Europe </w:t>
      </w:r>
      <w:r w:rsidR="00F21DE9">
        <w:rPr>
          <w:color w:val="000000" w:themeColor="text1"/>
        </w:rPr>
        <w:t xml:space="preserve">relative to those on offer from other competitive regions. </w:t>
      </w:r>
      <w:r>
        <w:t>However, there are relatively few policies highlighted in the Pharmaceutical Strategy that aim</w:t>
      </w:r>
      <w:r w:rsidR="006B616F" w:rsidRPr="009F4D0F">
        <w:t xml:space="preserve"> to </w:t>
      </w:r>
      <w:r>
        <w:t xml:space="preserve">improve the </w:t>
      </w:r>
      <w:r w:rsidR="006B616F" w:rsidRPr="009F4D0F">
        <w:t xml:space="preserve">attractiveness </w:t>
      </w:r>
      <w:r>
        <w:t>of Europe</w:t>
      </w:r>
      <w:r w:rsidR="006B616F" w:rsidRPr="009F4D0F">
        <w:t>.</w:t>
      </w:r>
    </w:p>
    <w:p w14:paraId="5FCF4966" w14:textId="02F71A66" w:rsidR="006A1C23" w:rsidRPr="000A2E03" w:rsidRDefault="000032BB" w:rsidP="003D486A">
      <w:pPr>
        <w:pStyle w:val="Tekstpodstawowy"/>
        <w:rPr>
          <w:b/>
          <w:bCs/>
          <w:color w:val="0073AE" w:themeColor="accent1"/>
        </w:rPr>
      </w:pPr>
      <w:r>
        <w:t>The purpose of this paper is not to repeat the many existing reports calling for strong venture capital</w:t>
      </w:r>
      <w:r w:rsidR="00FA3510">
        <w:t xml:space="preserve"> or</w:t>
      </w:r>
      <w:r>
        <w:t xml:space="preserve"> better investment in STEM</w:t>
      </w:r>
      <w:r w:rsidR="00FA3510">
        <w:t xml:space="preserve"> education</w:t>
      </w:r>
      <w:r w:rsidR="00C412CA">
        <w:t>. I</w:t>
      </w:r>
      <w:r>
        <w:t>nstead, d</w:t>
      </w:r>
      <w:r w:rsidR="006A1C23">
        <w:t>rawing from the review of statistics, the literature review and the interviews, we have developed</w:t>
      </w:r>
      <w:r w:rsidR="00A31729">
        <w:t xml:space="preserve"> </w:t>
      </w:r>
      <w:r>
        <w:t>seven new</w:t>
      </w:r>
      <w:r w:rsidR="00A31729">
        <w:t xml:space="preserve"> areas where </w:t>
      </w:r>
      <w:r>
        <w:t>policymaking should focus.</w:t>
      </w:r>
      <w:r w:rsidR="009E0CE2">
        <w:t xml:space="preserve"> We evaluate the extent to which current EU policy priorities are </w:t>
      </w:r>
      <w:r w:rsidR="00CB14E2">
        <w:t xml:space="preserve">in line with </w:t>
      </w:r>
      <w:r w:rsidR="00BD763D">
        <w:t xml:space="preserve">these focus areas, and also consider </w:t>
      </w:r>
      <w:r w:rsidR="00A6409F">
        <w:t>lessons for the UK and Switzerland.</w:t>
      </w:r>
      <w:r w:rsidR="00134F1B">
        <w:t xml:space="preserve"> The seven recommendations below are not set out in </w:t>
      </w:r>
      <w:r w:rsidR="00C5267A">
        <w:t xml:space="preserve">order of relative importance; instead, they are categorised </w:t>
      </w:r>
      <w:r w:rsidR="00B12CB5">
        <w:t xml:space="preserve">into three </w:t>
      </w:r>
      <w:r w:rsidR="0043610C">
        <w:t>strategic themes:</w:t>
      </w:r>
    </w:p>
    <w:p w14:paraId="7C9695AD" w14:textId="3028DCDF" w:rsidR="0043610C" w:rsidRPr="000A2E03" w:rsidRDefault="005C6C5C" w:rsidP="000A2E03">
      <w:pPr>
        <w:pStyle w:val="Tekstpodstawowy"/>
        <w:numPr>
          <w:ilvl w:val="0"/>
          <w:numId w:val="154"/>
        </w:numPr>
        <w:rPr>
          <w:b/>
          <w:bCs/>
          <w:color w:val="0073AE" w:themeColor="accent1"/>
        </w:rPr>
      </w:pPr>
      <w:r w:rsidRPr="000A2E03">
        <w:rPr>
          <w:b/>
          <w:bCs/>
          <w:color w:val="0073AE" w:themeColor="accent1"/>
        </w:rPr>
        <w:t>Addressing Europe’s relative decline in attractiveness as a centre for biopharmaceutical investment</w:t>
      </w:r>
    </w:p>
    <w:p w14:paraId="7AD9D1B4" w14:textId="67A6CFE7" w:rsidR="00E75ABD" w:rsidRPr="000A2E03" w:rsidRDefault="000A7218" w:rsidP="000A2E03">
      <w:pPr>
        <w:pStyle w:val="Tekstpodstawowy"/>
        <w:numPr>
          <w:ilvl w:val="0"/>
          <w:numId w:val="154"/>
        </w:numPr>
        <w:rPr>
          <w:b/>
          <w:bCs/>
          <w:color w:val="0073AE" w:themeColor="accent1"/>
        </w:rPr>
      </w:pPr>
      <w:r>
        <w:rPr>
          <w:b/>
          <w:bCs/>
          <w:color w:val="0073AE" w:themeColor="accent1"/>
        </w:rPr>
        <w:t>Responding</w:t>
      </w:r>
      <w:r w:rsidRPr="000A2E03">
        <w:rPr>
          <w:b/>
          <w:bCs/>
          <w:color w:val="0073AE" w:themeColor="accent1"/>
        </w:rPr>
        <w:t xml:space="preserve"> </w:t>
      </w:r>
      <w:r w:rsidR="002E4987" w:rsidRPr="000A2E03">
        <w:rPr>
          <w:b/>
          <w:bCs/>
          <w:color w:val="0073AE" w:themeColor="accent1"/>
        </w:rPr>
        <w:t>to t</w:t>
      </w:r>
      <w:r w:rsidR="00124AAB" w:rsidRPr="000A2E03">
        <w:rPr>
          <w:b/>
          <w:bCs/>
          <w:color w:val="0073AE" w:themeColor="accent1"/>
        </w:rPr>
        <w:t xml:space="preserve">he impact of new </w:t>
      </w:r>
      <w:r w:rsidR="00583672">
        <w:rPr>
          <w:b/>
          <w:bCs/>
          <w:color w:val="0073AE" w:themeColor="accent1"/>
        </w:rPr>
        <w:t>therapeutic</w:t>
      </w:r>
      <w:r w:rsidR="00293FB8">
        <w:rPr>
          <w:b/>
          <w:bCs/>
          <w:color w:val="0073AE" w:themeColor="accent1"/>
        </w:rPr>
        <w:t xml:space="preserve"> solutions</w:t>
      </w:r>
      <w:r w:rsidR="00124AAB" w:rsidRPr="000A2E03">
        <w:rPr>
          <w:b/>
          <w:bCs/>
          <w:color w:val="0073AE" w:themeColor="accent1"/>
        </w:rPr>
        <w:t xml:space="preserve"> on dynamics and location of investment</w:t>
      </w:r>
      <w:r w:rsidR="002E4987" w:rsidRPr="000A2E03">
        <w:rPr>
          <w:b/>
          <w:bCs/>
          <w:color w:val="0073AE" w:themeColor="accent1"/>
        </w:rPr>
        <w:t xml:space="preserve"> (example</w:t>
      </w:r>
      <w:r w:rsidR="0053184D" w:rsidRPr="000A2E03">
        <w:rPr>
          <w:b/>
          <w:bCs/>
          <w:color w:val="0073AE" w:themeColor="accent1"/>
        </w:rPr>
        <w:t>s used: ATMPs and digital technology)</w:t>
      </w:r>
    </w:p>
    <w:p w14:paraId="3FA1D045" w14:textId="3D557E36" w:rsidR="0053184D" w:rsidRPr="000A2E03" w:rsidRDefault="007B56F1" w:rsidP="000A2E03">
      <w:pPr>
        <w:pStyle w:val="Tekstpodstawowy"/>
        <w:numPr>
          <w:ilvl w:val="0"/>
          <w:numId w:val="154"/>
        </w:numPr>
        <w:rPr>
          <w:b/>
          <w:bCs/>
          <w:color w:val="0073AE" w:themeColor="accent1"/>
        </w:rPr>
      </w:pPr>
      <w:r w:rsidRPr="000A2E03">
        <w:rPr>
          <w:b/>
          <w:bCs/>
          <w:color w:val="0073AE" w:themeColor="accent1"/>
        </w:rPr>
        <w:t>Learning from COVID-19 and managing risk and the external environment</w:t>
      </w:r>
    </w:p>
    <w:p w14:paraId="005C569B" w14:textId="66D9C2FF" w:rsidR="003D486A" w:rsidRDefault="00670BD3" w:rsidP="000A2E03">
      <w:pPr>
        <w:pStyle w:val="Nagwek2"/>
      </w:pPr>
      <w:bookmarkStart w:id="196" w:name="_Toc115717790"/>
      <w:r w:rsidRPr="00670BD3">
        <w:lastRenderedPageBreak/>
        <w:t>Addressing Europe’s relative decline in attractiveness as a centre for biopharmaceutical investment</w:t>
      </w:r>
      <w:bookmarkEnd w:id="196"/>
    </w:p>
    <w:p w14:paraId="60FFC0F8" w14:textId="0582B8FF" w:rsidR="00211C03" w:rsidRPr="00975221" w:rsidRDefault="00713E75" w:rsidP="000A2E03">
      <w:pPr>
        <w:pStyle w:val="Nagwek4"/>
      </w:pPr>
      <w:r>
        <w:t xml:space="preserve">Recommendation 1: </w:t>
      </w:r>
      <w:r w:rsidR="007F46EC" w:rsidRPr="007F46EC">
        <w:t xml:space="preserve">Incentivise the development of truly </w:t>
      </w:r>
      <w:r w:rsidR="00BD4C5B">
        <w:t>world-class</w:t>
      </w:r>
      <w:r w:rsidR="007F46EC" w:rsidRPr="007F46EC">
        <w:t xml:space="preserve"> innovation hubs </w:t>
      </w:r>
      <w:bookmarkStart w:id="197" w:name="_Toc109849599"/>
      <w:bookmarkStart w:id="198" w:name="_Toc109849601"/>
      <w:bookmarkStart w:id="199" w:name="_Toc109849602"/>
      <w:bookmarkEnd w:id="197"/>
      <w:bookmarkEnd w:id="198"/>
      <w:bookmarkEnd w:id="199"/>
    </w:p>
    <w:p w14:paraId="3DE90CF6" w14:textId="30AB8DBA" w:rsidR="00096E01" w:rsidRDefault="000640D8" w:rsidP="008A15FF">
      <w:pPr>
        <w:pStyle w:val="Tekstpodstawowy"/>
      </w:pPr>
      <w:r w:rsidRPr="000640D8">
        <w:t>There is a general consensus on where the world’s leading research hubs are located</w:t>
      </w:r>
      <w:r w:rsidR="00CC7D7B">
        <w:t>,</w:t>
      </w:r>
      <w:r w:rsidR="008A15FF">
        <w:t xml:space="preserve"> </w:t>
      </w:r>
      <w:r w:rsidR="005A656A">
        <w:t xml:space="preserve">e.g. </w:t>
      </w:r>
      <w:r w:rsidR="00EA7C18">
        <w:t>Cambridge (Massachuse</w:t>
      </w:r>
      <w:r w:rsidR="00477416">
        <w:t>t</w:t>
      </w:r>
      <w:r w:rsidR="00EA7C18">
        <w:t xml:space="preserve">ts) </w:t>
      </w:r>
      <w:r w:rsidR="008A15FF">
        <w:t>and San Francisco</w:t>
      </w:r>
      <w:r w:rsidR="00477416">
        <w:t xml:space="preserve"> (California)</w:t>
      </w:r>
      <w:r w:rsidR="008A15FF">
        <w:t xml:space="preserve"> in the</w:t>
      </w:r>
      <w:r w:rsidR="00644B2B">
        <w:t xml:space="preserve"> US</w:t>
      </w:r>
      <w:r w:rsidR="008A15FF">
        <w:t>.</w:t>
      </w:r>
      <w:r w:rsidR="008A15FF">
        <w:rPr>
          <w:rStyle w:val="Odwoanieprzypisudolnego"/>
        </w:rPr>
        <w:footnoteReference w:id="178"/>
      </w:r>
      <w:r w:rsidR="008A15FF">
        <w:t xml:space="preserve"> As set out in the previous chapters, these benefit from </w:t>
      </w:r>
      <w:r w:rsidR="00BD4C5B">
        <w:t>world-class</w:t>
      </w:r>
      <w:r w:rsidR="008A15FF">
        <w:t xml:space="preserve"> universities and a cluster of the </w:t>
      </w:r>
      <w:r w:rsidR="00F16911">
        <w:t>world’s</w:t>
      </w:r>
      <w:r w:rsidR="008A15FF">
        <w:t xml:space="preserve"> leading companies. These are also recognised as the leading hubs in the</w:t>
      </w:r>
      <w:r w:rsidR="00644B2B">
        <w:t xml:space="preserve"> US</w:t>
      </w:r>
      <w:r w:rsidR="008B4DEC">
        <w:t>,</w:t>
      </w:r>
      <w:r w:rsidR="008A15FF">
        <w:t xml:space="preserve"> and this is a policy dimension that contributes to their development.</w:t>
      </w:r>
      <w:r w:rsidR="008A15FF">
        <w:rPr>
          <w:rStyle w:val="Odwoanieprzypisudolnego"/>
        </w:rPr>
        <w:footnoteReference w:id="179"/>
      </w:r>
      <w:r w:rsidR="008A15FF">
        <w:t xml:space="preserve"> There </w:t>
      </w:r>
      <w:r w:rsidR="008B4DEC">
        <w:t>are</w:t>
      </w:r>
      <w:r w:rsidR="008A15FF">
        <w:t xml:space="preserve"> the </w:t>
      </w:r>
      <w:r w:rsidR="00F16911">
        <w:t>well-recognised</w:t>
      </w:r>
      <w:r w:rsidR="008A15FF">
        <w:t xml:space="preserve"> differences in the venture capital funding </w:t>
      </w:r>
      <w:r w:rsidR="005A656A">
        <w:t>(incl</w:t>
      </w:r>
      <w:r w:rsidR="00477416">
        <w:t>uding</w:t>
      </w:r>
      <w:r w:rsidR="005A656A">
        <w:t xml:space="preserve"> by state institutions</w:t>
      </w:r>
      <w:r w:rsidR="00644B2B">
        <w:t>,</w:t>
      </w:r>
      <w:r w:rsidR="005A656A">
        <w:t xml:space="preserve"> </w:t>
      </w:r>
      <w:r w:rsidR="005B5355">
        <w:t>e.g.</w:t>
      </w:r>
      <w:r w:rsidR="005A656A">
        <w:t xml:space="preserve"> N</w:t>
      </w:r>
      <w:r w:rsidR="00351D47">
        <w:t xml:space="preserve">ational </w:t>
      </w:r>
      <w:r w:rsidR="005A656A">
        <w:t>I</w:t>
      </w:r>
      <w:r w:rsidR="00351D47">
        <w:t xml:space="preserve">nstitutes of </w:t>
      </w:r>
      <w:r w:rsidR="005A656A">
        <w:t>H</w:t>
      </w:r>
      <w:r w:rsidR="00351D47">
        <w:t>ealth</w:t>
      </w:r>
      <w:r w:rsidR="005A656A">
        <w:t xml:space="preserve">) </w:t>
      </w:r>
      <w:r w:rsidR="008A15FF">
        <w:t>and the strength of the specialist health</w:t>
      </w:r>
      <w:r w:rsidR="00F16911">
        <w:t>care institutions</w:t>
      </w:r>
      <w:r w:rsidR="008B4DEC">
        <w:t>,</w:t>
      </w:r>
      <w:r w:rsidR="008A15FF">
        <w:t xml:space="preserve"> but an area that get</w:t>
      </w:r>
      <w:r w:rsidR="008062FD">
        <w:t>s</w:t>
      </w:r>
      <w:r w:rsidR="008A15FF">
        <w:t xml:space="preserve"> less attention is whether this is a result of </w:t>
      </w:r>
      <w:r w:rsidR="00F16911">
        <w:t>innovation</w:t>
      </w:r>
      <w:r w:rsidR="008A15FF">
        <w:t xml:space="preserve"> policy in the </w:t>
      </w:r>
      <w:r w:rsidR="00EB5D88">
        <w:t>US</w:t>
      </w:r>
      <w:r w:rsidR="008A15FF">
        <w:t xml:space="preserve">. </w:t>
      </w:r>
      <w:r w:rsidR="008B2DA8">
        <w:t>In 2017, i</w:t>
      </w:r>
      <w:r w:rsidR="008A15FF">
        <w:t xml:space="preserve">t </w:t>
      </w:r>
      <w:r w:rsidR="008B2DA8">
        <w:t>was</w:t>
      </w:r>
      <w:r w:rsidR="008A15FF">
        <w:t xml:space="preserve"> reported that “</w:t>
      </w:r>
      <w:r w:rsidR="008A15FF" w:rsidRPr="002A0DDD">
        <w:t>California and Massachusetts rank first and second in terms of total</w:t>
      </w:r>
      <w:r w:rsidR="00506D5B">
        <w:t xml:space="preserve"> </w:t>
      </w:r>
      <w:r w:rsidR="008A15FF" w:rsidRPr="002A0DDD">
        <w:t>NIH funding to its institutions. And Massachusetts ranks</w:t>
      </w:r>
      <w:r w:rsidR="00825DDE">
        <w:t xml:space="preserve"> a</w:t>
      </w:r>
      <w:r w:rsidR="008A15FF" w:rsidRPr="002A0DDD">
        <w:t xml:space="preserve"> far-and-away first with regards to NIH funding per capita, nearly 3x higher than most other strong states (like CA, NY, PA, NJ, etc</w:t>
      </w:r>
      <w:r w:rsidR="00644B2B">
        <w:t>.</w:t>
      </w:r>
      <w:r w:rsidR="008A15FF" w:rsidRPr="002A0DDD">
        <w:t>). Five of the top six NIH-funded independent research hospitals are in the Boston area.</w:t>
      </w:r>
      <w:r w:rsidR="00BD4C5B">
        <w:t xml:space="preserve"> </w:t>
      </w:r>
      <w:r w:rsidR="008A15FF" w:rsidRPr="002A0DDD">
        <w:t>Fund flows like these further contribute to the consolidation of biomedical activity into the key clusters.</w:t>
      </w:r>
      <w:r w:rsidR="008A15FF">
        <w:t>”</w:t>
      </w:r>
      <w:r w:rsidR="008A15FF">
        <w:rPr>
          <w:rStyle w:val="Odwoanieprzypisudolnego"/>
        </w:rPr>
        <w:footnoteReference w:id="180"/>
      </w:r>
      <w:r w:rsidR="008A15FF">
        <w:t xml:space="preserve"> </w:t>
      </w:r>
    </w:p>
    <w:p w14:paraId="6D534CA0" w14:textId="15D7CFEE" w:rsidR="008A15FF" w:rsidRDefault="008A15FF" w:rsidP="008A15FF">
      <w:pPr>
        <w:pStyle w:val="Tekstpodstawowy"/>
      </w:pPr>
      <w:r>
        <w:t xml:space="preserve">To </w:t>
      </w:r>
      <w:r w:rsidR="00A55625">
        <w:t>investigate</w:t>
      </w:r>
      <w:r>
        <w:t xml:space="preserve"> this</w:t>
      </w:r>
      <w:r w:rsidR="00A55625">
        <w:t>,</w:t>
      </w:r>
      <w:r>
        <w:t xml:space="preserve"> we consider the distribution of NIH spending </w:t>
      </w:r>
      <w:r w:rsidR="00577E1F">
        <w:t xml:space="preserve">per capita </w:t>
      </w:r>
      <w:r>
        <w:t>across US states</w:t>
      </w:r>
      <w:r w:rsidR="00A55591">
        <w:t xml:space="preserve"> in 2021</w:t>
      </w:r>
      <w:r w:rsidR="001639FE">
        <w:t xml:space="preserve"> (</w:t>
      </w:r>
      <w:r w:rsidR="001639FE" w:rsidRPr="000A2E03">
        <w:fldChar w:fldCharType="begin"/>
      </w:r>
      <w:r w:rsidR="001639FE">
        <w:instrText xml:space="preserve"> REF _Ref110253190 \h </w:instrText>
      </w:r>
      <w:r w:rsidR="001639FE" w:rsidRPr="000A2E03">
        <w:fldChar w:fldCharType="separate"/>
      </w:r>
      <w:r w:rsidR="001639FE">
        <w:t xml:space="preserve">Figure </w:t>
      </w:r>
      <w:r w:rsidR="001639FE">
        <w:rPr>
          <w:noProof/>
        </w:rPr>
        <w:t>16</w:t>
      </w:r>
      <w:r w:rsidR="001639FE" w:rsidRPr="000A2E03">
        <w:fldChar w:fldCharType="end"/>
      </w:r>
      <w:r w:rsidR="001639FE">
        <w:t>)</w:t>
      </w:r>
      <w:r>
        <w:t>.</w:t>
      </w:r>
      <w:r w:rsidR="009333E4">
        <w:t xml:space="preserve"> </w:t>
      </w:r>
      <w:r w:rsidR="00B64CC3">
        <w:t xml:space="preserve">We see that </w:t>
      </w:r>
      <w:r w:rsidR="009333E4">
        <w:t xml:space="preserve">Massachusetts continues to lead in terms of </w:t>
      </w:r>
      <w:r w:rsidR="008C0FE5">
        <w:t>receipt of NIH funding</w:t>
      </w:r>
      <w:r w:rsidR="00577E1F">
        <w:t xml:space="preserve"> per capita</w:t>
      </w:r>
      <w:r w:rsidR="00423168">
        <w:t xml:space="preserve">, followed by other </w:t>
      </w:r>
      <w:proofErr w:type="spellStart"/>
      <w:r w:rsidR="00423168">
        <w:t>biocluster</w:t>
      </w:r>
      <w:r w:rsidR="007A258A">
        <w:t>s</w:t>
      </w:r>
      <w:proofErr w:type="spellEnd"/>
      <w:r w:rsidR="007A258A">
        <w:t xml:space="preserve"> in Maryland, Washington DC and North Carolina</w:t>
      </w:r>
      <w:r w:rsidR="008C0FE5">
        <w:t>.</w:t>
      </w:r>
      <w:r w:rsidR="00BD4C5B">
        <w:t xml:space="preserve"> </w:t>
      </w:r>
      <w:r w:rsidR="00842B2A">
        <w:t>As in Europe, this only reflects part of the total funding; indeed, state-based funding has multiplied the impact of the NIH.</w:t>
      </w:r>
      <w:r w:rsidR="00842B2A">
        <w:rPr>
          <w:rStyle w:val="Odwoanieprzypisudolnego"/>
        </w:rPr>
        <w:footnoteReference w:id="181"/>
      </w:r>
    </w:p>
    <w:p w14:paraId="2FAF8FE3" w14:textId="6181348D" w:rsidR="008A15FF" w:rsidRDefault="008A15FF" w:rsidP="008A15FF">
      <w:pPr>
        <w:pStyle w:val="Legenda"/>
      </w:pPr>
      <w:bookmarkStart w:id="200" w:name="_Ref110253190"/>
      <w:bookmarkStart w:id="201" w:name="_Toc115717809"/>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1639FE">
        <w:rPr>
          <w:noProof/>
        </w:rPr>
        <w:t>16</w:t>
      </w:r>
      <w:r w:rsidR="00F64CC5" w:rsidRPr="000A2E03">
        <w:fldChar w:fldCharType="end"/>
      </w:r>
      <w:bookmarkEnd w:id="200"/>
      <w:r>
        <w:t xml:space="preserve">: NIH spending </w:t>
      </w:r>
      <w:r w:rsidR="009C5788">
        <w:t xml:space="preserve">per capita </w:t>
      </w:r>
      <w:r w:rsidR="00D22BDA">
        <w:t xml:space="preserve">is greater in </w:t>
      </w:r>
      <w:r w:rsidR="00954AFE">
        <w:t xml:space="preserve">the strongest </w:t>
      </w:r>
      <w:r>
        <w:t xml:space="preserve">US </w:t>
      </w:r>
      <w:proofErr w:type="spellStart"/>
      <w:r w:rsidR="00954AFE">
        <w:t>bioclusters</w:t>
      </w:r>
      <w:bookmarkEnd w:id="201"/>
      <w:proofErr w:type="spellEnd"/>
    </w:p>
    <w:p w14:paraId="7D2FB162" w14:textId="67989420" w:rsidR="008A15FF" w:rsidRDefault="00EF50CA" w:rsidP="008A15FF">
      <w:pPr>
        <w:pStyle w:val="Tekstpodstawowy"/>
        <w:rPr>
          <w:color w:val="000000" w:themeColor="text1"/>
        </w:rPr>
      </w:pPr>
      <w:r>
        <w:rPr>
          <w:noProof/>
        </w:rPr>
        <w:drawing>
          <wp:inline distT="0" distB="0" distL="0" distR="0" wp14:anchorId="1FE7554E" wp14:editId="007800C7">
            <wp:extent cx="5048250" cy="3275938"/>
            <wp:effectExtent l="0" t="0" r="0" b="1270"/>
            <wp:docPr id="17" name="Chart 17">
              <a:extLst xmlns:a="http://schemas.openxmlformats.org/drawingml/2006/main">
                <a:ext uri="{FF2B5EF4-FFF2-40B4-BE49-F238E27FC236}">
                  <a16:creationId xmlns:a16="http://schemas.microsoft.com/office/drawing/2014/main" id="{35AEB445-B544-D154-8BAE-B598131E6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B4E61A" w14:textId="5D7DC6EE" w:rsidR="008A15FF" w:rsidRPr="009F4D0F" w:rsidRDefault="008A15FF" w:rsidP="008A15FF">
      <w:pPr>
        <w:pStyle w:val="Tekstpodstawowy"/>
      </w:pPr>
      <w:r w:rsidRPr="009F4D0F">
        <w:rPr>
          <w:sz w:val="16"/>
        </w:rPr>
        <w:t>Source:</w:t>
      </w:r>
      <w:r w:rsidR="00842B2A">
        <w:rPr>
          <w:sz w:val="16"/>
        </w:rPr>
        <w:t xml:space="preserve"> CRA analysis of data retrieved from</w:t>
      </w:r>
      <w:r w:rsidRPr="009F4D0F">
        <w:rPr>
          <w:sz w:val="16"/>
        </w:rPr>
        <w:t xml:space="preserve"> </w:t>
      </w:r>
      <w:hyperlink r:id="rId40" w:anchor="tab1" w:history="1">
        <w:r w:rsidR="00A55625" w:rsidRPr="009F4D0F">
          <w:rPr>
            <w:rStyle w:val="Hipercze"/>
            <w:sz w:val="16"/>
          </w:rPr>
          <w:t>https://report.nih.gov/award/index.cfm#tab1</w:t>
        </w:r>
      </w:hyperlink>
      <w:r w:rsidR="00A55625" w:rsidRPr="009F4D0F">
        <w:rPr>
          <w:sz w:val="16"/>
        </w:rPr>
        <w:t xml:space="preserve"> </w:t>
      </w:r>
      <w:r w:rsidR="009C5788">
        <w:rPr>
          <w:sz w:val="16"/>
        </w:rPr>
        <w:t xml:space="preserve">(NIH funding) </w:t>
      </w:r>
      <w:r w:rsidR="00842B2A">
        <w:rPr>
          <w:sz w:val="16"/>
        </w:rPr>
        <w:t xml:space="preserve">and </w:t>
      </w:r>
      <w:hyperlink r:id="rId41" w:history="1">
        <w:r w:rsidR="00842B2A" w:rsidRPr="00E57483">
          <w:rPr>
            <w:rStyle w:val="Hipercze"/>
            <w:sz w:val="16"/>
          </w:rPr>
          <w:t>https://data.ers.usda.gov/reports.aspx?ID=17827</w:t>
        </w:r>
      </w:hyperlink>
      <w:r w:rsidR="00BD4C5B">
        <w:rPr>
          <w:sz w:val="16"/>
        </w:rPr>
        <w:t xml:space="preserve"> </w:t>
      </w:r>
      <w:r w:rsidR="009C5788">
        <w:rPr>
          <w:sz w:val="16"/>
        </w:rPr>
        <w:t xml:space="preserve">(state population size) </w:t>
      </w:r>
      <w:r w:rsidR="00506D5B" w:rsidRPr="009F4D0F">
        <w:rPr>
          <w:sz w:val="16"/>
        </w:rPr>
        <w:t xml:space="preserve">[Accessed </w:t>
      </w:r>
      <w:r w:rsidR="00842B2A">
        <w:rPr>
          <w:sz w:val="16"/>
        </w:rPr>
        <w:t>September</w:t>
      </w:r>
      <w:r w:rsidR="00842B2A" w:rsidRPr="009F4D0F">
        <w:rPr>
          <w:sz w:val="16"/>
        </w:rPr>
        <w:t xml:space="preserve"> </w:t>
      </w:r>
      <w:r w:rsidR="00506D5B" w:rsidRPr="009F4D0F">
        <w:rPr>
          <w:sz w:val="16"/>
        </w:rPr>
        <w:t>2022]</w:t>
      </w:r>
    </w:p>
    <w:p w14:paraId="51EDCBBF" w14:textId="16EDC2F3" w:rsidR="008A15FF" w:rsidRDefault="008A15FF" w:rsidP="008A15FF">
      <w:pPr>
        <w:pStyle w:val="Tekstpodstawowy"/>
      </w:pPr>
      <w:r>
        <w:t>Given Europe’s long history in pharmaceutical innovation</w:t>
      </w:r>
      <w:r w:rsidR="004D5924">
        <w:t>,</w:t>
      </w:r>
      <w:r>
        <w:t xml:space="preserve"> it is inevitable, and a strength, that </w:t>
      </w:r>
      <w:r w:rsidR="00506D5B">
        <w:t xml:space="preserve">biopharmaceutical </w:t>
      </w:r>
      <w:r>
        <w:t xml:space="preserve">companies are </w:t>
      </w:r>
      <w:r w:rsidR="00A37455">
        <w:t>spread</w:t>
      </w:r>
      <w:r>
        <w:t xml:space="preserve"> across </w:t>
      </w:r>
      <w:r w:rsidR="00B825D9">
        <w:t>M</w:t>
      </w:r>
      <w:r>
        <w:t xml:space="preserve">ember </w:t>
      </w:r>
      <w:r w:rsidR="00B825D9">
        <w:t>S</w:t>
      </w:r>
      <w:r>
        <w:t xml:space="preserve">tates. However, although many countries attract investment </w:t>
      </w:r>
      <w:r w:rsidR="009C5788">
        <w:t>because</w:t>
      </w:r>
      <w:r w:rsidR="009F343B">
        <w:t xml:space="preserve"> of </w:t>
      </w:r>
      <w:r>
        <w:t xml:space="preserve">the legacy of company structure, in terms of </w:t>
      </w:r>
      <w:r w:rsidR="00BD4C5B">
        <w:t>world-class</w:t>
      </w:r>
      <w:r>
        <w:t xml:space="preserve"> centres,</w:t>
      </w:r>
      <w:r w:rsidR="00A42441">
        <w:t xml:space="preserve"> our</w:t>
      </w:r>
      <w:r>
        <w:t xml:space="preserve"> interviewees generally reported </w:t>
      </w:r>
      <w:r w:rsidR="00D34DE3">
        <w:t>the</w:t>
      </w:r>
      <w:r>
        <w:t xml:space="preserve"> Basel</w:t>
      </w:r>
      <w:r w:rsidR="00842B2A">
        <w:t xml:space="preserve"> and </w:t>
      </w:r>
      <w:r w:rsidR="0053409C">
        <w:t>Zurich area</w:t>
      </w:r>
      <w:r w:rsidR="00842B2A">
        <w:t>s</w:t>
      </w:r>
      <w:r w:rsidR="0053409C">
        <w:t xml:space="preserve"> in Switzerland</w:t>
      </w:r>
      <w:r>
        <w:t>, followed by the UK</w:t>
      </w:r>
      <w:r w:rsidR="00D24A38">
        <w:t>,</w:t>
      </w:r>
      <w:r>
        <w:rPr>
          <w:rStyle w:val="Odwoanieprzypisudolnego"/>
        </w:rPr>
        <w:footnoteReference w:id="182"/>
      </w:r>
      <w:r>
        <w:t xml:space="preserve"> as having </w:t>
      </w:r>
      <w:r w:rsidR="00BD4C5B">
        <w:t>world-class</w:t>
      </w:r>
      <w:r>
        <w:t xml:space="preserve"> science and a hub for innovation that would be considered </w:t>
      </w:r>
      <w:r w:rsidR="00D34DE3">
        <w:t xml:space="preserve">for </w:t>
      </w:r>
      <w:r>
        <w:t xml:space="preserve">a greenfield site. When considering European policymaking, it is notable that </w:t>
      </w:r>
      <w:r w:rsidR="00D7287B">
        <w:t>both</w:t>
      </w:r>
      <w:r>
        <w:t xml:space="preserve"> countries are outside of the European Union. </w:t>
      </w:r>
      <w:r w:rsidR="002956DD">
        <w:t>The</w:t>
      </w:r>
      <w:r w:rsidR="00386645">
        <w:t xml:space="preserve"> </w:t>
      </w:r>
      <w:r w:rsidR="009F53D8">
        <w:t>distribution</w:t>
      </w:r>
      <w:r w:rsidR="00D150AB">
        <w:t xml:space="preserve"> of </w:t>
      </w:r>
      <w:r>
        <w:t>EU</w:t>
      </w:r>
      <w:r w:rsidR="00D150AB">
        <w:t xml:space="preserve"> </w:t>
      </w:r>
      <w:r>
        <w:t xml:space="preserve">research spending is </w:t>
      </w:r>
      <w:r w:rsidR="00386645">
        <w:t>significantly</w:t>
      </w:r>
      <w:r>
        <w:t xml:space="preserve"> more uniform tha</w:t>
      </w:r>
      <w:r w:rsidR="00D150AB">
        <w:t>n</w:t>
      </w:r>
      <w:r>
        <w:t xml:space="preserve"> </w:t>
      </w:r>
      <w:r w:rsidR="002956DD">
        <w:t xml:space="preserve">that of </w:t>
      </w:r>
      <w:r>
        <w:t>the US</w:t>
      </w:r>
      <w:r w:rsidR="007B1737">
        <w:t>,</w:t>
      </w:r>
      <w:r>
        <w:t xml:space="preserve"> and the countries with the highest </w:t>
      </w:r>
      <w:r w:rsidR="009375DC">
        <w:t xml:space="preserve">EU spending (focusing on </w:t>
      </w:r>
      <w:r w:rsidR="00866982">
        <w:t>Horizon 2020</w:t>
      </w:r>
      <w:r w:rsidR="009375DC">
        <w:t xml:space="preserve">) </w:t>
      </w:r>
      <w:r w:rsidR="00866982">
        <w:t>relative to their Gross Domestic Product (GDP)</w:t>
      </w:r>
      <w:r>
        <w:t xml:space="preserve"> are not the centres of innovation</w:t>
      </w:r>
      <w:r w:rsidR="001639FE">
        <w:t xml:space="preserve"> (</w:t>
      </w:r>
      <w:r w:rsidR="001639FE" w:rsidRPr="000A2E03">
        <w:fldChar w:fldCharType="begin"/>
      </w:r>
      <w:r w:rsidR="001639FE">
        <w:instrText xml:space="preserve"> REF _Ref110253206 \h </w:instrText>
      </w:r>
      <w:r w:rsidR="001639FE" w:rsidRPr="000A2E03">
        <w:fldChar w:fldCharType="separate"/>
      </w:r>
      <w:r w:rsidR="001639FE">
        <w:t xml:space="preserve">Figure </w:t>
      </w:r>
      <w:r w:rsidR="001639FE">
        <w:rPr>
          <w:noProof/>
        </w:rPr>
        <w:t>17</w:t>
      </w:r>
      <w:r w:rsidR="001639FE" w:rsidRPr="000A2E03">
        <w:fldChar w:fldCharType="end"/>
      </w:r>
      <w:r w:rsidR="001639FE">
        <w:t>)</w:t>
      </w:r>
      <w:r>
        <w:t xml:space="preserve">. </w:t>
      </w:r>
    </w:p>
    <w:p w14:paraId="2AAE2E30" w14:textId="3994B9B5" w:rsidR="008A15FF" w:rsidRDefault="008A15FF" w:rsidP="008A15FF">
      <w:pPr>
        <w:pStyle w:val="Legenda"/>
      </w:pPr>
      <w:bookmarkStart w:id="202" w:name="_Ref110253206"/>
      <w:bookmarkStart w:id="203" w:name="_Toc115717810"/>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1639FE">
        <w:rPr>
          <w:noProof/>
        </w:rPr>
        <w:t>17</w:t>
      </w:r>
      <w:r w:rsidR="00F64CC5" w:rsidRPr="000A2E03">
        <w:fldChar w:fldCharType="end"/>
      </w:r>
      <w:bookmarkEnd w:id="202"/>
      <w:r>
        <w:t xml:space="preserve">: </w:t>
      </w:r>
      <w:r w:rsidR="00533E84">
        <w:t xml:space="preserve">Horizon 2020 </w:t>
      </w:r>
      <w:r>
        <w:t>research spending</w:t>
      </w:r>
      <w:r w:rsidR="00A50405">
        <w:t xml:space="preserve"> </w:t>
      </w:r>
      <w:r w:rsidR="0082001D">
        <w:t xml:space="preserve">in Europe </w:t>
      </w:r>
      <w:r w:rsidR="007D506A">
        <w:t xml:space="preserve">is not concentrated in </w:t>
      </w:r>
      <w:r w:rsidR="001E1B63">
        <w:t>Member States with high R&amp;D activity</w:t>
      </w:r>
      <w:bookmarkEnd w:id="203"/>
    </w:p>
    <w:p w14:paraId="4D97F187" w14:textId="7352E923" w:rsidR="00FA219A" w:rsidRDefault="009442A5" w:rsidP="008A15FF">
      <w:pPr>
        <w:pStyle w:val="Tekstpodstawowy"/>
        <w:rPr>
          <w:sz w:val="16"/>
          <w:szCs w:val="16"/>
        </w:rPr>
      </w:pPr>
      <w:r>
        <w:rPr>
          <w:noProof/>
        </w:rPr>
        <w:drawing>
          <wp:inline distT="0" distB="0" distL="0" distR="0" wp14:anchorId="4EC6C8DE" wp14:editId="3186F0BE">
            <wp:extent cx="5048250" cy="2407285"/>
            <wp:effectExtent l="0" t="0" r="0" b="12065"/>
            <wp:docPr id="30" name="Chart 30">
              <a:extLst xmlns:a="http://schemas.openxmlformats.org/drawingml/2006/main">
                <a:ext uri="{FF2B5EF4-FFF2-40B4-BE49-F238E27FC236}">
                  <a16:creationId xmlns:a16="http://schemas.microsoft.com/office/drawing/2014/main" id="{F3906470-6F7D-D0D7-A7C2-071759F2D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8C1710" w14:textId="05B695B2" w:rsidR="008A15FF" w:rsidRDefault="008A15FF" w:rsidP="008A15FF">
      <w:pPr>
        <w:pStyle w:val="Tekstpodstawowy"/>
      </w:pPr>
      <w:r>
        <w:rPr>
          <w:sz w:val="16"/>
          <w:szCs w:val="16"/>
        </w:rPr>
        <w:t xml:space="preserve">Source: </w:t>
      </w:r>
      <w:r w:rsidR="00016049">
        <w:rPr>
          <w:sz w:val="16"/>
          <w:szCs w:val="16"/>
        </w:rPr>
        <w:t>Horizon 2020 dashboard (</w:t>
      </w:r>
      <w:hyperlink r:id="rId43" w:history="1">
        <w:r w:rsidR="00D50C79" w:rsidRPr="00E57483">
          <w:rPr>
            <w:rStyle w:val="Hipercze"/>
            <w:sz w:val="16"/>
            <w:szCs w:val="16"/>
          </w:rPr>
          <w:t>https://ec.europa.eu/info/funding-tenders/opportunities/portal/screen/opportunities/horizon-dashboard</w:t>
        </w:r>
      </w:hyperlink>
      <w:r w:rsidR="00D50C79">
        <w:rPr>
          <w:sz w:val="16"/>
          <w:szCs w:val="16"/>
        </w:rPr>
        <w:t xml:space="preserve">) </w:t>
      </w:r>
      <w:r w:rsidR="0002389B">
        <w:rPr>
          <w:sz w:val="16"/>
          <w:szCs w:val="16"/>
        </w:rPr>
        <w:t>and Eurostat (</w:t>
      </w:r>
      <w:hyperlink r:id="rId44" w:history="1">
        <w:r w:rsidR="00533E84" w:rsidRPr="00E57483">
          <w:rPr>
            <w:rStyle w:val="Hipercze"/>
            <w:sz w:val="16"/>
            <w:szCs w:val="16"/>
          </w:rPr>
          <w:t>https://ec.europa.eu/eurostat/databrowser/view/NAMA_10_GDP/default/table?lang=en</w:t>
        </w:r>
      </w:hyperlink>
      <w:r w:rsidR="00533E84">
        <w:rPr>
          <w:sz w:val="16"/>
          <w:szCs w:val="16"/>
        </w:rPr>
        <w:t>) [Accessed September 2022]</w:t>
      </w:r>
    </w:p>
    <w:p w14:paraId="1D5DA9A4" w14:textId="3A5C9847" w:rsidR="008A15FF" w:rsidRDefault="008A15FF" w:rsidP="008A15FF">
      <w:pPr>
        <w:pStyle w:val="Tekstpodstawowy"/>
      </w:pPr>
      <w:r>
        <w:t>Unlike the US, spending by the European Commission appears negatively correlated with high levels of spending by Member States.</w:t>
      </w:r>
      <w:r>
        <w:rPr>
          <w:rStyle w:val="Odwoanieprzypisudolnego"/>
        </w:rPr>
        <w:footnoteReference w:id="183"/>
      </w:r>
      <w:r>
        <w:t xml:space="preserve"> Instead</w:t>
      </w:r>
      <w:r w:rsidR="00555F48">
        <w:t>,</w:t>
      </w:r>
      <w:r>
        <w:t xml:space="preserve"> the concern seems to be about how to even out the spending on European research.</w:t>
      </w:r>
      <w:r>
        <w:rPr>
          <w:rStyle w:val="Odwoanieprzypisudolnego"/>
        </w:rPr>
        <w:footnoteReference w:id="184"/>
      </w:r>
      <w:r>
        <w:t xml:space="preserve"> </w:t>
      </w:r>
      <w:r w:rsidR="006C3EC8">
        <w:t xml:space="preserve">This appears a weak strategy </w:t>
      </w:r>
      <w:r w:rsidR="00B36912">
        <w:t>for</w:t>
      </w:r>
      <w:r w:rsidR="006C3EC8">
        <w:t xml:space="preserve"> supporting European innovation, particularly given the evidence indicating that </w:t>
      </w:r>
      <w:r w:rsidR="00152DB0">
        <w:t xml:space="preserve">international </w:t>
      </w:r>
      <w:r w:rsidR="007467FD">
        <w:t xml:space="preserve">R&amp;D </w:t>
      </w:r>
      <w:r w:rsidR="00152DB0">
        <w:t>investments</w:t>
      </w:r>
      <w:r w:rsidR="007467FD">
        <w:t xml:space="preserve"> generate knowledge </w:t>
      </w:r>
      <w:r w:rsidR="008729E0">
        <w:t xml:space="preserve">and investment </w:t>
      </w:r>
      <w:r w:rsidR="007467FD">
        <w:t>flows across borders</w:t>
      </w:r>
      <w:r w:rsidR="00D16358">
        <w:t xml:space="preserve">, and therefore </w:t>
      </w:r>
      <w:r w:rsidR="008729E0">
        <w:t>suggest</w:t>
      </w:r>
      <w:r w:rsidR="002956DD">
        <w:t>s</w:t>
      </w:r>
      <w:r w:rsidR="008729E0">
        <w:t xml:space="preserve"> that </w:t>
      </w:r>
      <w:r w:rsidR="00352D76">
        <w:t>the economic benefits of policy-induced investments in one Member State are likely to spread to others</w:t>
      </w:r>
      <w:r w:rsidR="008729E0">
        <w:rPr>
          <w:rStyle w:val="Odwoanieprzypisudolnego"/>
        </w:rPr>
        <w:footnoteReference w:id="185"/>
      </w:r>
      <w:r w:rsidR="00352D76">
        <w:t xml:space="preserve"> (in addition to the </w:t>
      </w:r>
      <w:r w:rsidR="008729E0">
        <w:t xml:space="preserve">European-wide </w:t>
      </w:r>
      <w:r w:rsidR="00352D76">
        <w:t xml:space="preserve">societal benefits of </w:t>
      </w:r>
      <w:r w:rsidR="008729E0">
        <w:t>new innovations reaching patients).</w:t>
      </w:r>
    </w:p>
    <w:p w14:paraId="2D41B07A" w14:textId="0596C66B" w:rsidR="008A15FF" w:rsidRDefault="008A15FF" w:rsidP="008A15FF">
      <w:pPr>
        <w:pStyle w:val="Legenda"/>
      </w:pPr>
      <w:bookmarkStart w:id="204" w:name="_Toc115717811"/>
      <w:r>
        <w:lastRenderedPageBreak/>
        <w:t xml:space="preserve">Figure </w:t>
      </w:r>
      <w:r w:rsidR="00F64CC5" w:rsidRPr="000A2E03">
        <w:fldChar w:fldCharType="begin"/>
      </w:r>
      <w:r w:rsidR="00F64CC5">
        <w:instrText xml:space="preserve"> SEQ Figure \* ARABIC </w:instrText>
      </w:r>
      <w:r w:rsidR="00F64CC5" w:rsidRPr="000A2E03">
        <w:fldChar w:fldCharType="separate"/>
      </w:r>
      <w:r w:rsidR="006310F1">
        <w:rPr>
          <w:noProof/>
        </w:rPr>
        <w:t>18</w:t>
      </w:r>
      <w:r w:rsidR="00F64CC5" w:rsidRPr="000A2E03">
        <w:fldChar w:fldCharType="end"/>
      </w:r>
      <w:r>
        <w:t xml:space="preserve">: </w:t>
      </w:r>
      <w:r w:rsidR="000105C5">
        <w:t xml:space="preserve">Individual European clusters are </w:t>
      </w:r>
      <w:r w:rsidR="00FD712E">
        <w:t>outcompete</w:t>
      </w:r>
      <w:r w:rsidR="000105C5">
        <w:t>d</w:t>
      </w:r>
      <w:r w:rsidR="00FD712E">
        <w:t xml:space="preserve"> </w:t>
      </w:r>
      <w:r w:rsidR="000105C5">
        <w:t xml:space="preserve">by those in the US based on </w:t>
      </w:r>
      <w:r w:rsidR="00F926E0">
        <w:t>presence of major biopharmaceutical companies</w:t>
      </w:r>
      <w:bookmarkEnd w:id="204"/>
    </w:p>
    <w:p w14:paraId="4C1BFF21" w14:textId="77777777" w:rsidR="008A15FF" w:rsidRDefault="008A15FF" w:rsidP="008A15FF">
      <w:pPr>
        <w:pStyle w:val="Tekstpodstawowy"/>
        <w:rPr>
          <w:color w:val="000000" w:themeColor="text1"/>
        </w:rPr>
      </w:pPr>
      <w:r w:rsidRPr="000A2E03">
        <w:rPr>
          <w:noProof/>
        </w:rPr>
        <w:drawing>
          <wp:inline distT="0" distB="0" distL="0" distR="0" wp14:anchorId="6DCABF4C" wp14:editId="1619C790">
            <wp:extent cx="5048250" cy="1671320"/>
            <wp:effectExtent l="0" t="0" r="0" b="508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5"/>
                    <a:stretch>
                      <a:fillRect/>
                    </a:stretch>
                  </pic:blipFill>
                  <pic:spPr>
                    <a:xfrm>
                      <a:off x="0" y="0"/>
                      <a:ext cx="5048250" cy="1671320"/>
                    </a:xfrm>
                    <a:prstGeom prst="rect">
                      <a:avLst/>
                    </a:prstGeom>
                  </pic:spPr>
                </pic:pic>
              </a:graphicData>
            </a:graphic>
          </wp:inline>
        </w:drawing>
      </w:r>
    </w:p>
    <w:p w14:paraId="1FA4374F" w14:textId="0855FF07" w:rsidR="00785E8C" w:rsidRPr="000A2E03" w:rsidRDefault="008A15FF" w:rsidP="009F4D0F">
      <w:pPr>
        <w:pStyle w:val="Tekstpodstawowy"/>
        <w:rPr>
          <w:color w:val="FF0000"/>
        </w:rPr>
      </w:pPr>
      <w:r>
        <w:rPr>
          <w:sz w:val="16"/>
          <w:szCs w:val="16"/>
        </w:rPr>
        <w:t xml:space="preserve">Source: </w:t>
      </w:r>
      <w:r w:rsidRPr="00726CDE">
        <w:rPr>
          <w:sz w:val="16"/>
          <w:szCs w:val="16"/>
        </w:rPr>
        <w:t>Pharmaceutical Industry</w:t>
      </w:r>
      <w:r>
        <w:rPr>
          <w:sz w:val="16"/>
          <w:szCs w:val="16"/>
        </w:rPr>
        <w:t xml:space="preserve"> </w:t>
      </w:r>
      <w:r w:rsidRPr="00726CDE">
        <w:rPr>
          <w:sz w:val="16"/>
          <w:szCs w:val="16"/>
        </w:rPr>
        <w:t>in Basel, Switzerland</w:t>
      </w:r>
      <w:r>
        <w:rPr>
          <w:sz w:val="16"/>
          <w:szCs w:val="16"/>
        </w:rPr>
        <w:t xml:space="preserve"> </w:t>
      </w:r>
      <w:r w:rsidRPr="00726CDE">
        <w:rPr>
          <w:sz w:val="16"/>
          <w:szCs w:val="16"/>
        </w:rPr>
        <w:t>– Cluster Analysis</w:t>
      </w:r>
    </w:p>
    <w:p w14:paraId="186B7012" w14:textId="3FE5EF89" w:rsidR="009252FA" w:rsidRPr="000A2E03" w:rsidRDefault="00CE0A48" w:rsidP="009F4D0F">
      <w:pPr>
        <w:pStyle w:val="Tekstpodstawowy"/>
        <w:rPr>
          <w:b/>
          <w:bCs/>
          <w:color w:val="0073AE" w:themeColor="accent1"/>
          <w:u w:val="single"/>
        </w:rPr>
      </w:pPr>
      <w:r w:rsidRPr="000A2E03">
        <w:rPr>
          <w:b/>
          <w:bCs/>
          <w:color w:val="0073AE" w:themeColor="accent1"/>
          <w:u w:val="single"/>
        </w:rPr>
        <w:t>R</w:t>
      </w:r>
      <w:r w:rsidR="009252FA" w:rsidRPr="000A2E03">
        <w:rPr>
          <w:b/>
          <w:bCs/>
          <w:color w:val="0073AE" w:themeColor="accent1"/>
          <w:u w:val="single"/>
        </w:rPr>
        <w:t>ecommendation</w:t>
      </w:r>
    </w:p>
    <w:p w14:paraId="07A4E612" w14:textId="067D15A6" w:rsidR="00746B2C" w:rsidRDefault="008A15FF" w:rsidP="009F4D0F">
      <w:pPr>
        <w:pStyle w:val="Tekstpodstawowy"/>
      </w:pPr>
      <w:r>
        <w:t>A policy that focuse</w:t>
      </w:r>
      <w:r w:rsidR="00B36912">
        <w:t>s</w:t>
      </w:r>
      <w:r>
        <w:t xml:space="preserve"> on developing a truly </w:t>
      </w:r>
      <w:r w:rsidR="00BD4C5B">
        <w:t>world-class</w:t>
      </w:r>
      <w:r>
        <w:t xml:space="preserve"> innovation hub would serve Europe well.</w:t>
      </w:r>
      <w:r w:rsidR="00EB277E">
        <w:t xml:space="preserve"> </w:t>
      </w:r>
      <w:r w:rsidR="00293FB8">
        <w:t>For example, t</w:t>
      </w:r>
      <w:r w:rsidR="00EB277E" w:rsidRPr="00EB277E">
        <w:t>he European Commission should consider more strategic allocation of resources to foster growth of world-leading research centres</w:t>
      </w:r>
      <w:r w:rsidR="00EB277E">
        <w:t>.</w:t>
      </w:r>
      <w:r w:rsidR="004C23A0">
        <w:t xml:space="preserve"> </w:t>
      </w:r>
      <w:r w:rsidR="00B322CE">
        <w:t xml:space="preserve">The EU </w:t>
      </w:r>
      <w:r w:rsidR="00997722">
        <w:t xml:space="preserve">should consider sponsoring a review of </w:t>
      </w:r>
      <w:r w:rsidR="00506A83">
        <w:t xml:space="preserve">existing life science industrial policies across Member States to identify success factors and opportunities for replication. </w:t>
      </w:r>
      <w:r w:rsidR="00293FB8">
        <w:t>The same applies to the UK and Switzerland, where a continued focus on key hubs</w:t>
      </w:r>
      <w:r w:rsidR="001E1B63">
        <w:t xml:space="preserve"> </w:t>
      </w:r>
      <w:r w:rsidR="00293FB8">
        <w:t>is clearly a policy priority.</w:t>
      </w:r>
    </w:p>
    <w:p w14:paraId="105ABFC2" w14:textId="2016D330" w:rsidR="009252FA" w:rsidRPr="000A2E03" w:rsidRDefault="00CE0A48" w:rsidP="009F4D0F">
      <w:pPr>
        <w:pStyle w:val="Tekstpodstawowy"/>
        <w:rPr>
          <w:b/>
          <w:bCs/>
          <w:color w:val="0073AE" w:themeColor="accent1"/>
          <w:u w:val="single"/>
        </w:rPr>
      </w:pPr>
      <w:r w:rsidRPr="000A2E03">
        <w:rPr>
          <w:b/>
          <w:bCs/>
          <w:color w:val="0073AE" w:themeColor="accent1"/>
          <w:u w:val="single"/>
        </w:rPr>
        <w:t>Current policy priorities</w:t>
      </w:r>
    </w:p>
    <w:p w14:paraId="19232D2B" w14:textId="07B42BCB" w:rsidR="00500B4A" w:rsidRPr="009F4D0F" w:rsidRDefault="00760883" w:rsidP="009F4D0F">
      <w:pPr>
        <w:pStyle w:val="Tekstpodstawowy"/>
      </w:pPr>
      <w:r>
        <w:t>The Pharmaceutical Strategy for Europe emphasises the need for a resource-efficient EU pharmaceutical industry</w:t>
      </w:r>
      <w:r w:rsidR="00F80F69">
        <w:t xml:space="preserve"> in the context of </w:t>
      </w:r>
      <w:r w:rsidR="00126919">
        <w:t xml:space="preserve">industry’s investment into </w:t>
      </w:r>
      <w:r w:rsidR="008762BD">
        <w:t xml:space="preserve">different </w:t>
      </w:r>
      <w:r w:rsidR="006C0DE1">
        <w:t xml:space="preserve">therapeutic </w:t>
      </w:r>
      <w:r w:rsidR="00267622">
        <w:t>areas</w:t>
      </w:r>
      <w:r w:rsidR="00126919">
        <w:t xml:space="preserve">, but not in the context of </w:t>
      </w:r>
      <w:r w:rsidR="0033236D">
        <w:t>geographic area</w:t>
      </w:r>
      <w:r w:rsidR="00B32FEE">
        <w:t>s</w:t>
      </w:r>
      <w:r>
        <w:t xml:space="preserve">. </w:t>
      </w:r>
      <w:r w:rsidR="009C5CC4">
        <w:t xml:space="preserve">Building on the success of public-private research partnerships </w:t>
      </w:r>
      <w:r w:rsidR="00CB5D6E">
        <w:t>remains a priority for the EU</w:t>
      </w:r>
      <w:r w:rsidR="007C7894">
        <w:t xml:space="preserve">, but no specific mention is made </w:t>
      </w:r>
      <w:r w:rsidR="00B36912">
        <w:t>of</w:t>
      </w:r>
      <w:r w:rsidR="007C7894">
        <w:t xml:space="preserve"> the </w:t>
      </w:r>
      <w:r w:rsidR="00DB1257">
        <w:t>geographic distribution of such funding sources.</w:t>
      </w:r>
      <w:r w:rsidR="00CD4077">
        <w:rPr>
          <w:rStyle w:val="Odwoanieprzypisudolnego"/>
        </w:rPr>
        <w:footnoteReference w:id="186"/>
      </w:r>
      <w:r w:rsidR="00277C02">
        <w:t xml:space="preserve"> </w:t>
      </w:r>
      <w:r w:rsidR="00F049EE">
        <w:t>I</w:t>
      </w:r>
      <w:r w:rsidR="007D7148">
        <w:t>n</w:t>
      </w:r>
      <w:r w:rsidR="003C5415">
        <w:t xml:space="preserve"> </w:t>
      </w:r>
      <w:r w:rsidR="007D7148">
        <w:t xml:space="preserve">non-EU </w:t>
      </w:r>
      <w:r w:rsidR="00DE4B56">
        <w:t>industrial policy</w:t>
      </w:r>
      <w:r w:rsidR="003C5415">
        <w:t>, the UK</w:t>
      </w:r>
      <w:r w:rsidR="004C4366">
        <w:t xml:space="preserve"> government’s 10-year Life Sciences Vision </w:t>
      </w:r>
      <w:r w:rsidR="004439A9">
        <w:t xml:space="preserve">supports the growth of specific clusters </w:t>
      </w:r>
      <w:r w:rsidR="00637315">
        <w:t xml:space="preserve">across the </w:t>
      </w:r>
      <w:r w:rsidR="005F0864">
        <w:t xml:space="preserve">country, highlighting </w:t>
      </w:r>
      <w:r w:rsidR="009251E4">
        <w:t xml:space="preserve">where there is potential for growth of world-leading </w:t>
      </w:r>
      <w:r w:rsidR="00A4790F">
        <w:t xml:space="preserve">research </w:t>
      </w:r>
      <w:r w:rsidR="009251E4">
        <w:t>centres of excellence</w:t>
      </w:r>
      <w:r w:rsidR="00A4790F">
        <w:t xml:space="preserve">, and separately </w:t>
      </w:r>
      <w:r w:rsidR="002B2444">
        <w:t>the formation of manufacturing clusters</w:t>
      </w:r>
      <w:r w:rsidR="009251E4">
        <w:t>.</w:t>
      </w:r>
      <w:r w:rsidR="00CD318B">
        <w:rPr>
          <w:rStyle w:val="Odwoanieprzypisudolnego"/>
        </w:rPr>
        <w:footnoteReference w:id="187"/>
      </w:r>
      <w:r w:rsidR="000A61AC">
        <w:t xml:space="preserve"> There is potential </w:t>
      </w:r>
      <w:r w:rsidR="006F7308">
        <w:t xml:space="preserve">in the implementation of the Pharmaceutical Strategy and in the revision of the </w:t>
      </w:r>
      <w:r w:rsidR="009014A9">
        <w:t>EU’s pharmaceutical legislation to adopt a more strategic approach to allocation of EU funding for innovation.</w:t>
      </w:r>
    </w:p>
    <w:p w14:paraId="30F30A86" w14:textId="720F39D1" w:rsidR="008A0D4B" w:rsidRDefault="008C475D" w:rsidP="000A2E03">
      <w:pPr>
        <w:pStyle w:val="Nagwek4"/>
      </w:pPr>
      <w:r>
        <w:t xml:space="preserve">Recommendation 2: </w:t>
      </w:r>
      <w:r w:rsidR="005C13B0" w:rsidRPr="005C13B0">
        <w:t>Enhance end-to-end capabilities and funding of disruptive pharma innovation</w:t>
      </w:r>
    </w:p>
    <w:p w14:paraId="2F3FAD97" w14:textId="54A92B0A" w:rsidR="007522C6" w:rsidRDefault="000C4D76" w:rsidP="006243A7">
      <w:pPr>
        <w:pStyle w:val="Tekstpodstawowy"/>
      </w:pPr>
      <w:r>
        <w:t xml:space="preserve">The </w:t>
      </w:r>
      <w:r w:rsidR="00BA719D">
        <w:t xml:space="preserve">pharmaceutical </w:t>
      </w:r>
      <w:r>
        <w:t xml:space="preserve">industry is made up </w:t>
      </w:r>
      <w:r w:rsidR="00B36912">
        <w:t xml:space="preserve">of </w:t>
      </w:r>
      <w:r>
        <w:t xml:space="preserve">very large and very small companies. In Europe there are </w:t>
      </w:r>
      <w:r w:rsidR="0084001D">
        <w:t>approximately</w:t>
      </w:r>
      <w:r>
        <w:t xml:space="preserve"> </w:t>
      </w:r>
      <w:r w:rsidR="00562F07">
        <w:t>1,400</w:t>
      </w:r>
      <w:r>
        <w:t xml:space="preserve"> </w:t>
      </w:r>
      <w:r w:rsidR="00562F07">
        <w:t xml:space="preserve">biotech </w:t>
      </w:r>
      <w:r>
        <w:t xml:space="preserve">companies involved in the innovative pharmaceutical </w:t>
      </w:r>
      <w:r>
        <w:lastRenderedPageBreak/>
        <w:t>industry.</w:t>
      </w:r>
      <w:r w:rsidR="00D9426B">
        <w:rPr>
          <w:rStyle w:val="Odwoanieprzypisudolnego"/>
        </w:rPr>
        <w:footnoteReference w:id="188"/>
      </w:r>
      <w:r>
        <w:t xml:space="preserve"> E</w:t>
      </w:r>
      <w:r w:rsidR="002743FA">
        <w:t>arly-stage, emerging</w:t>
      </w:r>
      <w:r w:rsidR="003120A0">
        <w:t xml:space="preserve"> </w:t>
      </w:r>
      <w:r w:rsidR="002743FA">
        <w:t>companies</w:t>
      </w:r>
      <w:r>
        <w:t xml:space="preserve"> play an important role in innovation</w:t>
      </w:r>
      <w:r w:rsidR="002743FA">
        <w:t xml:space="preserve">. </w:t>
      </w:r>
      <w:r w:rsidR="007231A0">
        <w:t xml:space="preserve">Latest figures show that </w:t>
      </w:r>
      <w:r w:rsidR="006A346D">
        <w:t>emerging</w:t>
      </w:r>
      <w:r w:rsidR="007231A0">
        <w:t xml:space="preserve"> </w:t>
      </w:r>
      <w:r w:rsidR="00326E70">
        <w:t xml:space="preserve">biopharma </w:t>
      </w:r>
      <w:r w:rsidR="007231A0">
        <w:t xml:space="preserve">companies </w:t>
      </w:r>
      <w:r w:rsidR="00326E70">
        <w:t>(</w:t>
      </w:r>
      <w:r w:rsidR="006F5AF2">
        <w:t xml:space="preserve">defined as those </w:t>
      </w:r>
      <w:r w:rsidR="007231A0">
        <w:t>with less than $500 million in annual sales</w:t>
      </w:r>
      <w:r w:rsidR="006F5AF2">
        <w:t xml:space="preserve"> and less than $200 million in annual R&amp;D spend</w:t>
      </w:r>
      <w:r w:rsidR="00326E70">
        <w:t>)</w:t>
      </w:r>
      <w:r w:rsidR="007A3CA2">
        <w:t xml:space="preserve"> currently represent 65% of the total </w:t>
      </w:r>
      <w:r w:rsidR="00326E70">
        <w:t xml:space="preserve">global </w:t>
      </w:r>
      <w:r w:rsidR="007A3CA2">
        <w:t>drug development pipeline.</w:t>
      </w:r>
      <w:bookmarkStart w:id="205" w:name="_Ref109142392"/>
      <w:r w:rsidR="007A3CA2">
        <w:rPr>
          <w:rStyle w:val="Odwoanieprzypisudolnego"/>
        </w:rPr>
        <w:footnoteReference w:id="189"/>
      </w:r>
      <w:bookmarkEnd w:id="205"/>
      <w:r w:rsidR="007A3CA2">
        <w:t xml:space="preserve"> </w:t>
      </w:r>
      <w:r w:rsidR="003120A0">
        <w:t>The share of European-headquartered emerging biopharma companies has been declining</w:t>
      </w:r>
      <w:r w:rsidR="001E1BC4">
        <w:t xml:space="preserve"> over the last </w:t>
      </w:r>
      <w:r w:rsidR="00B00B0C">
        <w:t xml:space="preserve">10 </w:t>
      </w:r>
      <w:r w:rsidR="001E1BC4">
        <w:t xml:space="preserve">years, with the US </w:t>
      </w:r>
      <w:r w:rsidR="00326E70">
        <w:t>dominating</w:t>
      </w:r>
      <w:r w:rsidR="00423C35">
        <w:t xml:space="preserve"> in terms of number of companies and their contribution to the global pipeline,</w:t>
      </w:r>
      <w:r w:rsidR="001E1BC4">
        <w:t xml:space="preserve"> and China growing </w:t>
      </w:r>
      <w:r w:rsidR="00423C35">
        <w:t xml:space="preserve">rapidly </w:t>
      </w:r>
      <w:r w:rsidR="001E1BC4">
        <w:t xml:space="preserve">at </w:t>
      </w:r>
      <w:r w:rsidR="00113875">
        <w:t>a rate of 456% between 2016 and 2021.</w:t>
      </w:r>
      <w:r w:rsidR="00113875" w:rsidRPr="001622D0">
        <w:rPr>
          <w:rStyle w:val="Odwoanieprzypisudolnego"/>
        </w:rPr>
        <w:fldChar w:fldCharType="begin"/>
      </w:r>
      <w:r w:rsidR="00113875" w:rsidRPr="001622D0">
        <w:rPr>
          <w:rStyle w:val="Odwoanieprzypisudolnego"/>
        </w:rPr>
        <w:instrText xml:space="preserve"> NOTEREF _Ref109142392 \h </w:instrText>
      </w:r>
      <w:r w:rsidR="00113875">
        <w:rPr>
          <w:rStyle w:val="Odwoanieprzypisudolnego"/>
        </w:rPr>
        <w:instrText xml:space="preserve"> \* MERGEFORMAT </w:instrText>
      </w:r>
      <w:r w:rsidR="00113875" w:rsidRPr="001622D0">
        <w:rPr>
          <w:rStyle w:val="Odwoanieprzypisudolnego"/>
        </w:rPr>
      </w:r>
      <w:r w:rsidR="00113875" w:rsidRPr="001622D0">
        <w:rPr>
          <w:rStyle w:val="Odwoanieprzypisudolnego"/>
        </w:rPr>
        <w:fldChar w:fldCharType="separate"/>
      </w:r>
      <w:r w:rsidR="001622D0">
        <w:rPr>
          <w:rStyle w:val="Odwoanieprzypisudolnego"/>
        </w:rPr>
        <w:t>134</w:t>
      </w:r>
      <w:r w:rsidR="00113875" w:rsidRPr="001622D0">
        <w:rPr>
          <w:rStyle w:val="Odwoanieprzypisudolnego"/>
        </w:rPr>
        <w:fldChar w:fldCharType="end"/>
      </w:r>
      <w:r w:rsidR="00113875">
        <w:t xml:space="preserve"> </w:t>
      </w:r>
      <w:r w:rsidR="00D171FF">
        <w:t xml:space="preserve">We see this reflected in the EU R&amp;D Scoreboard, </w:t>
      </w:r>
      <w:r w:rsidR="00251AD4">
        <w:t>which</w:t>
      </w:r>
      <w:r w:rsidR="00D70C8E">
        <w:t xml:space="preserve"> noted China overtaking the EU in terms of number of </w:t>
      </w:r>
      <w:r w:rsidR="007A5564">
        <w:t>world</w:t>
      </w:r>
      <w:r w:rsidR="001C4640">
        <w:t xml:space="preserve">-ranking </w:t>
      </w:r>
      <w:r w:rsidR="00D70C8E">
        <w:t xml:space="preserve">companies in 2018, and the gap </w:t>
      </w:r>
      <w:r w:rsidR="001C4640">
        <w:t>has widened every year since. In</w:t>
      </w:r>
      <w:r w:rsidR="00251AD4">
        <w:t xml:space="preserve"> 2021 the number of </w:t>
      </w:r>
      <w:r w:rsidR="001C4640">
        <w:t xml:space="preserve">world-ranking </w:t>
      </w:r>
      <w:r w:rsidR="00251AD4">
        <w:t xml:space="preserve">companies </w:t>
      </w:r>
      <w:r w:rsidR="00B00B0C">
        <w:t>in China had grown</w:t>
      </w:r>
      <w:r w:rsidR="005769D1">
        <w:t xml:space="preserve"> by 61 compared to 2020, whereas </w:t>
      </w:r>
      <w:r w:rsidR="00B00B0C">
        <w:t xml:space="preserve">in </w:t>
      </w:r>
      <w:r w:rsidR="005769D1">
        <w:t xml:space="preserve">Europe </w:t>
      </w:r>
      <w:r w:rsidR="00B00B0C">
        <w:t xml:space="preserve">the number </w:t>
      </w:r>
      <w:r w:rsidR="005769D1">
        <w:t xml:space="preserve">had </w:t>
      </w:r>
      <w:r w:rsidR="005E2F2B">
        <w:t>declined</w:t>
      </w:r>
      <w:r w:rsidR="005769D1">
        <w:t xml:space="preserve"> by 20.</w:t>
      </w:r>
      <w:r w:rsidR="007374B5">
        <w:rPr>
          <w:rStyle w:val="Odwoanieprzypisudolnego"/>
        </w:rPr>
        <w:footnoteReference w:id="190"/>
      </w:r>
      <w:r w:rsidR="009A7EF2">
        <w:t xml:space="preserve"> </w:t>
      </w:r>
    </w:p>
    <w:p w14:paraId="1E831228" w14:textId="35264B2E" w:rsidR="00EE1D8F" w:rsidRDefault="000C4D76" w:rsidP="006243A7">
      <w:pPr>
        <w:pStyle w:val="Tekstpodstawowy"/>
      </w:pPr>
      <w:r>
        <w:t xml:space="preserve">The traditional argument is that we should not be concerned by the source of companies but rather the activities they undertake. However, </w:t>
      </w:r>
      <w:r w:rsidR="00F0745F">
        <w:t xml:space="preserve">Europe’s comparative weakness in attracting and growing emerging biopharma companies </w:t>
      </w:r>
      <w:r w:rsidR="007522C6">
        <w:t xml:space="preserve">is a cause for concern if the goal is to boost Europe’s attractiveness as a place </w:t>
      </w:r>
      <w:r w:rsidR="00DF4567">
        <w:t>to</w:t>
      </w:r>
      <w:r w:rsidR="007522C6">
        <w:t xml:space="preserve"> </w:t>
      </w:r>
      <w:r w:rsidR="00C220F1">
        <w:t xml:space="preserve">invest </w:t>
      </w:r>
      <w:r w:rsidR="00DF4567">
        <w:t>for</w:t>
      </w:r>
      <w:r w:rsidR="00C220F1">
        <w:t xml:space="preserve"> biopharma companies of all size</w:t>
      </w:r>
      <w:r w:rsidR="00022815">
        <w:t>s</w:t>
      </w:r>
      <w:r w:rsidR="004B3D78">
        <w:t>,</w:t>
      </w:r>
      <w:r w:rsidR="00022815">
        <w:t xml:space="preserve"> </w:t>
      </w:r>
      <w:r w:rsidR="00432D38">
        <w:t xml:space="preserve">from </w:t>
      </w:r>
      <w:r w:rsidR="000108FC">
        <w:t>within and beyond Europe</w:t>
      </w:r>
      <w:r w:rsidR="00022815">
        <w:t xml:space="preserve">. </w:t>
      </w:r>
      <w:r w:rsidR="006E3527">
        <w:t>Unanimous feedback from interviews with large</w:t>
      </w:r>
      <w:r w:rsidR="00641EBC">
        <w:t xml:space="preserve"> biopharma company </w:t>
      </w:r>
      <w:r w:rsidR="008873F3">
        <w:t>decision makers</w:t>
      </w:r>
      <w:r w:rsidR="00641EBC">
        <w:t xml:space="preserve"> suggests that </w:t>
      </w:r>
      <w:r w:rsidR="006E3527">
        <w:t>a</w:t>
      </w:r>
      <w:r w:rsidR="00293FB8">
        <w:t>n important</w:t>
      </w:r>
      <w:r w:rsidR="00586D7E">
        <w:t xml:space="preserve"> driver of </w:t>
      </w:r>
      <w:r w:rsidR="00542976">
        <w:t>most</w:t>
      </w:r>
      <w:r w:rsidR="00586D7E">
        <w:t xml:space="preserve"> new investments is the location and performance of their existing R&amp;D or manufacturing footprint.</w:t>
      </w:r>
      <w:bookmarkStart w:id="206" w:name="_Ref109144418"/>
      <w:r w:rsidR="00586D7E">
        <w:rPr>
          <w:rStyle w:val="Odwoanieprzypisudolnego"/>
        </w:rPr>
        <w:footnoteReference w:id="191"/>
      </w:r>
      <w:bookmarkEnd w:id="206"/>
      <w:r w:rsidR="00C031DD">
        <w:t xml:space="preserve"> </w:t>
      </w:r>
      <w:r w:rsidR="000F7C8F">
        <w:t xml:space="preserve">This is because it is </w:t>
      </w:r>
      <w:r w:rsidR="00704347">
        <w:t xml:space="preserve">often </w:t>
      </w:r>
      <w:r w:rsidR="000F7C8F">
        <w:t>more cost-effi</w:t>
      </w:r>
      <w:r w:rsidR="00984588">
        <w:t xml:space="preserve">cient and time-efficient, and less risky, to continue to invest in a location where human capital, </w:t>
      </w:r>
      <w:r w:rsidR="007379F1">
        <w:t>company culture,</w:t>
      </w:r>
      <w:r w:rsidR="00984588">
        <w:t xml:space="preserve"> expertise and infrastructure have already been established.</w:t>
      </w:r>
      <w:r w:rsidR="008F3168">
        <w:t xml:space="preserve"> This is particularly true </w:t>
      </w:r>
      <w:r w:rsidR="001D7210">
        <w:t xml:space="preserve">for </w:t>
      </w:r>
      <w:r w:rsidR="009162EB">
        <w:t>research</w:t>
      </w:r>
      <w:r w:rsidR="001D7210">
        <w:t xml:space="preserve"> sites, where it is </w:t>
      </w:r>
      <w:r w:rsidR="00542976">
        <w:t>important</w:t>
      </w:r>
      <w:r w:rsidR="001D7210">
        <w:t xml:space="preserve"> to have a </w:t>
      </w:r>
      <w:r w:rsidR="00664175">
        <w:t>critical mass</w:t>
      </w:r>
      <w:r w:rsidR="001D7210">
        <w:t xml:space="preserve"> of expertise in one location </w:t>
      </w:r>
      <w:r w:rsidR="009162EB">
        <w:t xml:space="preserve">to sustain the research efforts there over time, </w:t>
      </w:r>
      <w:r w:rsidR="00A7515E">
        <w:t xml:space="preserve">whereas </w:t>
      </w:r>
      <w:r w:rsidR="001D7210">
        <w:t xml:space="preserve">innovation </w:t>
      </w:r>
      <w:r w:rsidR="009162EB">
        <w:t>can be</w:t>
      </w:r>
      <w:r w:rsidR="001D7210">
        <w:t xml:space="preserve"> hindered by having t</w:t>
      </w:r>
      <w:r w:rsidR="005371C1">
        <w:t xml:space="preserve">he workforce spread </w:t>
      </w:r>
      <w:r w:rsidR="00C61871">
        <w:t xml:space="preserve">thinly </w:t>
      </w:r>
      <w:r w:rsidR="005371C1">
        <w:t>over too many locations.</w:t>
      </w:r>
      <w:r w:rsidR="005371C1" w:rsidRPr="00FD0422">
        <w:rPr>
          <w:rStyle w:val="Odwoanieprzypisudolnego"/>
        </w:rPr>
        <w:fldChar w:fldCharType="begin"/>
      </w:r>
      <w:r w:rsidR="005371C1" w:rsidRPr="00D53D69">
        <w:rPr>
          <w:rStyle w:val="Odwoanieprzypisudolnego"/>
        </w:rPr>
        <w:instrText xml:space="preserve"> NOTEREF _Ref109144418 \h </w:instrText>
      </w:r>
      <w:r w:rsidR="005371C1">
        <w:rPr>
          <w:rStyle w:val="Odwoanieprzypisudolnego"/>
        </w:rPr>
        <w:instrText xml:space="preserve"> \* MERGEFORMAT </w:instrText>
      </w:r>
      <w:r w:rsidR="005371C1" w:rsidRPr="00FD0422">
        <w:rPr>
          <w:rStyle w:val="Odwoanieprzypisudolnego"/>
        </w:rPr>
      </w:r>
      <w:r w:rsidR="005371C1" w:rsidRPr="00FD0422">
        <w:rPr>
          <w:rStyle w:val="Odwoanieprzypisudolnego"/>
        </w:rPr>
        <w:fldChar w:fldCharType="separate"/>
      </w:r>
      <w:r w:rsidR="00526BC8">
        <w:rPr>
          <w:rStyle w:val="Odwoanieprzypisudolnego"/>
        </w:rPr>
        <w:t>141</w:t>
      </w:r>
      <w:r w:rsidR="005371C1" w:rsidRPr="00FD0422">
        <w:rPr>
          <w:rStyle w:val="Odwoanieprzypisudolnego"/>
        </w:rPr>
        <w:fldChar w:fldCharType="end"/>
      </w:r>
      <w:r w:rsidR="00984588">
        <w:t xml:space="preserve"> </w:t>
      </w:r>
      <w:r w:rsidR="008436E6">
        <w:t>Once a company is well</w:t>
      </w:r>
      <w:r w:rsidR="00BF7476">
        <w:t xml:space="preserve"> </w:t>
      </w:r>
      <w:r w:rsidR="008436E6">
        <w:t xml:space="preserve">established, </w:t>
      </w:r>
      <w:r w:rsidR="007F3E58">
        <w:t xml:space="preserve">investing in a brand new region where they have no existing presence would require a substantial </w:t>
      </w:r>
      <w:r w:rsidR="00F84BA8">
        <w:t>financial</w:t>
      </w:r>
      <w:r w:rsidR="00AC2E4F">
        <w:t>-</w:t>
      </w:r>
      <w:r w:rsidR="00F84BA8">
        <w:t xml:space="preserve"> or talent-related pull factor to overcome the </w:t>
      </w:r>
      <w:r w:rsidR="00FD0422">
        <w:t>efficiency lost by not building up existing sites.</w:t>
      </w:r>
      <w:r w:rsidR="00FD0422">
        <w:rPr>
          <w:rStyle w:val="Odwoanieprzypisudolnego"/>
        </w:rPr>
        <w:footnoteReference w:id="192"/>
      </w:r>
      <w:r w:rsidR="007E2D23">
        <w:t xml:space="preserve"> </w:t>
      </w:r>
      <w:r w:rsidR="0052776F">
        <w:t>Our findings are consistent with the literature, wh</w:t>
      </w:r>
      <w:r w:rsidR="00914EE9">
        <w:t xml:space="preserve">ere consensus is that </w:t>
      </w:r>
      <w:r w:rsidR="00646989">
        <w:t xml:space="preserve">geographic distance is negatively associated with the location </w:t>
      </w:r>
      <w:r w:rsidR="00F7052F">
        <w:t xml:space="preserve">of </w:t>
      </w:r>
      <w:r w:rsidR="00BC3CA4">
        <w:t>company investment activities</w:t>
      </w:r>
      <w:r w:rsidR="008935AB">
        <w:t xml:space="preserve">. </w:t>
      </w:r>
      <w:r w:rsidR="00EE1D8F">
        <w:t xml:space="preserve">When greenfield </w:t>
      </w:r>
      <w:r w:rsidR="00D11682">
        <w:t xml:space="preserve">R&amp;D </w:t>
      </w:r>
      <w:r w:rsidR="00EE1D8F">
        <w:t xml:space="preserve">investments occur, </w:t>
      </w:r>
      <w:r w:rsidR="00850107">
        <w:t>evidence indicates</w:t>
      </w:r>
      <w:r w:rsidR="00682185">
        <w:t xml:space="preserve"> that</w:t>
      </w:r>
      <w:r w:rsidR="00850107">
        <w:t xml:space="preserve"> </w:t>
      </w:r>
      <w:r w:rsidR="007653B8" w:rsidRPr="007653B8">
        <w:t>a company’s previous R&amp;D and manufacturing activities in a given global city increase the probability of that city being chosen as the location for the new R&amp;D investmen</w:t>
      </w:r>
      <w:r w:rsidR="007653B8">
        <w:t>t</w:t>
      </w:r>
      <w:r w:rsidR="00D11682">
        <w:t>.</w:t>
      </w:r>
      <w:r w:rsidR="008935AB">
        <w:rPr>
          <w:rStyle w:val="Odwoanieprzypisudolnego"/>
        </w:rPr>
        <w:footnoteReference w:id="193"/>
      </w:r>
      <w:r w:rsidR="00216C72">
        <w:t xml:space="preserve"> The strength of the US and China in growing emerging companies may in part explain their </w:t>
      </w:r>
      <w:r w:rsidR="006628AE">
        <w:t xml:space="preserve">increasing </w:t>
      </w:r>
      <w:r w:rsidR="00216C72">
        <w:t>global R&amp;D footprint relative to Europe over the last two decades, explained in Chapter 2 of this report.</w:t>
      </w:r>
    </w:p>
    <w:p w14:paraId="2FA65B2C" w14:textId="44E1D43A" w:rsidR="00966910" w:rsidRDefault="00DC1D96" w:rsidP="006243A7">
      <w:pPr>
        <w:pStyle w:val="Tekstpodstawowy"/>
      </w:pPr>
      <w:r>
        <w:lastRenderedPageBreak/>
        <w:t>Therefore, where a company is growing as it becomes established is critical.</w:t>
      </w:r>
      <w:r w:rsidR="00FC5CBD">
        <w:t xml:space="preserve"> </w:t>
      </w:r>
      <w:r w:rsidR="00E13124">
        <w:t>The</w:t>
      </w:r>
      <w:r w:rsidR="001D46FA">
        <w:t xml:space="preserve"> </w:t>
      </w:r>
      <w:r w:rsidR="00E13124">
        <w:t xml:space="preserve">declining share of emerging biopharma companies originating in Europe </w:t>
      </w:r>
      <w:r w:rsidR="00704347">
        <w:t>can be read as a warning signal</w:t>
      </w:r>
      <w:r w:rsidR="006D5502">
        <w:t xml:space="preserve"> that as emerging US- and China-headquartered companies </w:t>
      </w:r>
      <w:r w:rsidR="00937852">
        <w:t xml:space="preserve">continue to grow into small-, medium- and large-sized enterprises, their </w:t>
      </w:r>
      <w:r w:rsidR="00282234">
        <w:t>investments will be more heavily directed towards the US and China over Europe</w:t>
      </w:r>
      <w:r w:rsidR="009739BF">
        <w:t xml:space="preserve"> (i.e. close to their home base)</w:t>
      </w:r>
      <w:r w:rsidR="00282234">
        <w:t xml:space="preserve">. </w:t>
      </w:r>
      <w:r w:rsidR="00BA719D">
        <w:t xml:space="preserve">We can observe the consequences of </w:t>
      </w:r>
      <w:r w:rsidR="004E627B">
        <w:t>headquarter location by looking at the history of today’s top biopharma companies</w:t>
      </w:r>
      <w:r w:rsidR="00D07241">
        <w:t xml:space="preserve">. </w:t>
      </w:r>
      <w:r w:rsidR="00311C10">
        <w:t>All of the top 20 global pharmaceutical companies have an active R&amp;D centre in their home country (</w:t>
      </w:r>
      <w:r w:rsidR="00311C10" w:rsidRPr="000A2E03">
        <w:fldChar w:fldCharType="begin"/>
      </w:r>
      <w:r w:rsidR="00311C10">
        <w:instrText xml:space="preserve"> REF _Ref109672257 \h </w:instrText>
      </w:r>
      <w:r w:rsidR="00311C10" w:rsidRPr="000A2E03">
        <w:fldChar w:fldCharType="separate"/>
      </w:r>
      <w:r w:rsidR="00311C10">
        <w:t xml:space="preserve">Table </w:t>
      </w:r>
      <w:r w:rsidR="00311C10">
        <w:rPr>
          <w:noProof/>
        </w:rPr>
        <w:t>2</w:t>
      </w:r>
      <w:r w:rsidR="00311C10" w:rsidRPr="000A2E03">
        <w:fldChar w:fldCharType="end"/>
      </w:r>
      <w:r w:rsidR="00311C10">
        <w:t xml:space="preserve">). </w:t>
      </w:r>
      <w:r w:rsidR="00D07241">
        <w:t>Roche</w:t>
      </w:r>
      <w:r w:rsidR="0010732E">
        <w:t>, for example,</w:t>
      </w:r>
      <w:r w:rsidR="00D07241">
        <w:t xml:space="preserve"> was founded in 1896 in Basel, Switzerland, and today invests </w:t>
      </w:r>
      <w:r w:rsidR="00DE7049">
        <w:t>almost</w:t>
      </w:r>
      <w:r w:rsidR="00642F34">
        <w:t xml:space="preserve"> </w:t>
      </w:r>
      <w:r w:rsidR="006628AE">
        <w:t>€</w:t>
      </w:r>
      <w:r w:rsidR="00642F34">
        <w:t>1</w:t>
      </w:r>
      <w:r w:rsidR="00E13F1F">
        <w:t>2</w:t>
      </w:r>
      <w:r w:rsidR="00642F34">
        <w:t xml:space="preserve"> </w:t>
      </w:r>
      <w:r w:rsidR="00E13F1F">
        <w:t>million</w:t>
      </w:r>
      <w:r w:rsidR="00642F34">
        <w:t xml:space="preserve"> </w:t>
      </w:r>
      <w:r w:rsidR="00DE7049">
        <w:t xml:space="preserve">per </w:t>
      </w:r>
      <w:r w:rsidR="00E13F1F">
        <w:t xml:space="preserve">working day </w:t>
      </w:r>
      <w:r w:rsidR="008F0696">
        <w:t>in</w:t>
      </w:r>
      <w:r w:rsidR="00DE7049">
        <w:t xml:space="preserve"> R&amp;D</w:t>
      </w:r>
      <w:r w:rsidR="008F0696">
        <w:t xml:space="preserve"> in Switzerland</w:t>
      </w:r>
      <w:r w:rsidR="00425F00">
        <w:t xml:space="preserve">, </w:t>
      </w:r>
      <w:r w:rsidR="008F0696">
        <w:t>employs over 5,000 scientists</w:t>
      </w:r>
      <w:r w:rsidR="00425F00">
        <w:t xml:space="preserve">, and </w:t>
      </w:r>
      <w:r w:rsidR="0010732E">
        <w:t>conducts over 100 clinical studies</w:t>
      </w:r>
      <w:r w:rsidR="008F0696">
        <w:t xml:space="preserve"> in the country</w:t>
      </w:r>
      <w:r w:rsidR="0010732E">
        <w:t xml:space="preserve"> each year</w:t>
      </w:r>
      <w:r w:rsidR="00DE7049">
        <w:t>.</w:t>
      </w:r>
      <w:r w:rsidR="00752EB7">
        <w:rPr>
          <w:rStyle w:val="Odwoanieprzypisudolnego"/>
        </w:rPr>
        <w:footnoteReference w:id="194"/>
      </w:r>
      <w:r w:rsidR="00642F34">
        <w:t xml:space="preserve"> </w:t>
      </w:r>
      <w:r w:rsidR="00BF1A74">
        <w:t xml:space="preserve">In 2020, work began on a new </w:t>
      </w:r>
      <w:r w:rsidR="006628AE">
        <w:t>€</w:t>
      </w:r>
      <w:r w:rsidR="00626F40">
        <w:t xml:space="preserve">1.2 billion </w:t>
      </w:r>
      <w:r w:rsidR="00B24CD7">
        <w:t>upgrade of</w:t>
      </w:r>
      <w:r w:rsidR="00626F40">
        <w:t xml:space="preserve"> the Basel R&amp;D site</w:t>
      </w:r>
      <w:r w:rsidR="003235D4">
        <w:t>.</w:t>
      </w:r>
      <w:r w:rsidR="003235D4">
        <w:rPr>
          <w:rStyle w:val="Odwoanieprzypisudolnego"/>
        </w:rPr>
        <w:footnoteReference w:id="195"/>
      </w:r>
      <w:r w:rsidR="004E627B">
        <w:t xml:space="preserve"> </w:t>
      </w:r>
      <w:r w:rsidR="004F2EF5">
        <w:t>Companies also do not tend to change the location of their headquarters</w:t>
      </w:r>
      <w:r w:rsidR="00CD79DC">
        <w:t>, even in the face of changes to the external environment</w:t>
      </w:r>
      <w:r w:rsidR="006177BA">
        <w:t>. D</w:t>
      </w:r>
      <w:r w:rsidR="002F1298" w:rsidRPr="002F1298">
        <w:t>espite the EU</w:t>
      </w:r>
      <w:r w:rsidR="00183049">
        <w:rPr>
          <w:rFonts w:cs="Arial"/>
        </w:rPr>
        <w:t>–</w:t>
      </w:r>
      <w:r w:rsidR="002F1298" w:rsidRPr="002F1298">
        <w:t xml:space="preserve">UK Trade and Cooperation Agreement introducing new trading barriers versus membership of the EU, </w:t>
      </w:r>
      <w:r w:rsidR="0081414B">
        <w:t>no</w:t>
      </w:r>
      <w:r w:rsidR="00CD79DC">
        <w:t xml:space="preserve"> </w:t>
      </w:r>
      <w:r w:rsidR="00140056">
        <w:t xml:space="preserve">UK-headquartered pharmaceutical companies, </w:t>
      </w:r>
      <w:r w:rsidR="009A6BE2">
        <w:t xml:space="preserve">such as </w:t>
      </w:r>
      <w:r w:rsidR="00CD79DC">
        <w:t>GSK and AstraZeneca for example</w:t>
      </w:r>
      <w:r w:rsidR="009A6BE2">
        <w:t>,</w:t>
      </w:r>
      <w:r w:rsidR="00CD79DC">
        <w:t xml:space="preserve"> </w:t>
      </w:r>
      <w:r w:rsidR="00DD17D9">
        <w:t>relocate</w:t>
      </w:r>
      <w:r w:rsidR="0081414B">
        <w:t>d</w:t>
      </w:r>
      <w:r w:rsidR="00DD17D9">
        <w:t xml:space="preserve"> their headquarters from the UK following Brexit</w:t>
      </w:r>
      <w:r w:rsidR="00673AB1">
        <w:t>.</w:t>
      </w:r>
      <w:r w:rsidR="007B427A">
        <w:t xml:space="preserve"> Ma</w:t>
      </w:r>
      <w:r w:rsidR="002A29CB">
        <w:t>jor</w:t>
      </w:r>
      <w:r w:rsidR="007B427A">
        <w:t xml:space="preserve"> companies in other industries </w:t>
      </w:r>
      <w:r w:rsidR="00E24262">
        <w:t>have since relocated.</w:t>
      </w:r>
      <w:r w:rsidR="00E24262">
        <w:rPr>
          <w:rStyle w:val="Odwoanieprzypisudolnego"/>
        </w:rPr>
        <w:footnoteReference w:id="196"/>
      </w:r>
    </w:p>
    <w:p w14:paraId="7F354904" w14:textId="0D94069C" w:rsidR="00D4497E" w:rsidRDefault="00D4497E" w:rsidP="003C4CA5">
      <w:pPr>
        <w:pStyle w:val="Legenda"/>
      </w:pPr>
      <w:bookmarkStart w:id="207" w:name="_Ref109672257"/>
      <w:bookmarkStart w:id="208" w:name="_Toc115717815"/>
      <w:r>
        <w:t xml:space="preserve">Table </w:t>
      </w:r>
      <w:r w:rsidRPr="000A2E03">
        <w:fldChar w:fldCharType="begin"/>
      </w:r>
      <w:r>
        <w:instrText xml:space="preserve"> SEQ Table \* ARABIC </w:instrText>
      </w:r>
      <w:r w:rsidRPr="000A2E03">
        <w:fldChar w:fldCharType="separate"/>
      </w:r>
      <w:r w:rsidR="006310F1">
        <w:rPr>
          <w:noProof/>
        </w:rPr>
        <w:t>2</w:t>
      </w:r>
      <w:r w:rsidRPr="000A2E03">
        <w:fldChar w:fldCharType="end"/>
      </w:r>
      <w:bookmarkEnd w:id="207"/>
      <w:r>
        <w:t xml:space="preserve">: </w:t>
      </w:r>
      <w:r w:rsidR="008F7954">
        <w:t>G</w:t>
      </w:r>
      <w:r w:rsidR="00DB44FC">
        <w:t xml:space="preserve">lobal pharmaceutical companies </w:t>
      </w:r>
      <w:r w:rsidR="00C00E5D">
        <w:t xml:space="preserve">typically </w:t>
      </w:r>
      <w:r w:rsidR="008F7954">
        <w:t xml:space="preserve">conduct R&amp;D </w:t>
      </w:r>
      <w:r w:rsidR="00C00E5D">
        <w:t xml:space="preserve">across a range of major markets, </w:t>
      </w:r>
      <w:r w:rsidR="008A5623">
        <w:t>including their headquarter location</w:t>
      </w:r>
      <w:bookmarkEnd w:id="208"/>
    </w:p>
    <w:tbl>
      <w:tblPr>
        <w:tblStyle w:val="Tabela-Siatka"/>
        <w:tblW w:w="7953" w:type="dxa"/>
        <w:tblLook w:val="04A0" w:firstRow="1" w:lastRow="0" w:firstColumn="1" w:lastColumn="0" w:noHBand="0" w:noVBand="1"/>
      </w:tblPr>
      <w:tblGrid>
        <w:gridCol w:w="2405"/>
        <w:gridCol w:w="2897"/>
        <w:gridCol w:w="2651"/>
      </w:tblGrid>
      <w:tr w:rsidR="00D4497E" w14:paraId="03E63754" w14:textId="77777777" w:rsidTr="000A2E03">
        <w:trPr>
          <w:trHeight w:val="60"/>
          <w:tblHeader/>
        </w:trPr>
        <w:tc>
          <w:tcPr>
            <w:tcW w:w="2405" w:type="dxa"/>
            <w:shd w:val="clear" w:color="auto" w:fill="0073AE" w:themeFill="accent1"/>
            <w:vAlign w:val="center"/>
          </w:tcPr>
          <w:p w14:paraId="4DFB5FE6" w14:textId="08A77CA7" w:rsidR="00D4497E" w:rsidRPr="00D53D69" w:rsidRDefault="00D4497E" w:rsidP="00D53D69">
            <w:pPr>
              <w:pStyle w:val="Tekstpodstawowy"/>
              <w:spacing w:beforeLines="20" w:before="48" w:afterLines="20" w:after="48" w:line="240" w:lineRule="auto"/>
              <w:jc w:val="left"/>
              <w:rPr>
                <w:b/>
                <w:bCs/>
                <w:color w:val="FFFFFF" w:themeColor="background1"/>
              </w:rPr>
            </w:pPr>
            <w:r w:rsidRPr="00D53D69">
              <w:rPr>
                <w:b/>
                <w:bCs/>
                <w:color w:val="FFFFFF" w:themeColor="background1"/>
              </w:rPr>
              <w:t>Company</w:t>
            </w:r>
          </w:p>
        </w:tc>
        <w:tc>
          <w:tcPr>
            <w:tcW w:w="2897" w:type="dxa"/>
            <w:shd w:val="clear" w:color="auto" w:fill="0073AE" w:themeFill="accent1"/>
            <w:vAlign w:val="center"/>
          </w:tcPr>
          <w:p w14:paraId="3F9AC7F5" w14:textId="76BF8BE1" w:rsidR="00D4497E" w:rsidRPr="00D53D69" w:rsidRDefault="00D4497E" w:rsidP="00D53D69">
            <w:pPr>
              <w:pStyle w:val="Tekstpodstawowy"/>
              <w:spacing w:beforeLines="20" w:before="48" w:afterLines="20" w:after="48" w:line="240" w:lineRule="auto"/>
              <w:jc w:val="left"/>
              <w:rPr>
                <w:b/>
                <w:bCs/>
                <w:color w:val="FFFFFF" w:themeColor="background1"/>
              </w:rPr>
            </w:pPr>
            <w:r w:rsidRPr="00D53D69">
              <w:rPr>
                <w:b/>
                <w:bCs/>
                <w:color w:val="FFFFFF" w:themeColor="background1"/>
              </w:rPr>
              <w:t>Headquarter location</w:t>
            </w:r>
          </w:p>
        </w:tc>
        <w:tc>
          <w:tcPr>
            <w:tcW w:w="2651" w:type="dxa"/>
            <w:shd w:val="clear" w:color="auto" w:fill="0073AE" w:themeFill="accent1"/>
            <w:vAlign w:val="center"/>
          </w:tcPr>
          <w:p w14:paraId="2FF5CDD5" w14:textId="41645418" w:rsidR="00D4497E" w:rsidRPr="00D53D69" w:rsidRDefault="00D033A3" w:rsidP="00D53D69">
            <w:pPr>
              <w:pStyle w:val="Tekstpodstawowy"/>
              <w:spacing w:beforeLines="20" w:before="48" w:afterLines="20" w:after="48" w:line="240" w:lineRule="auto"/>
              <w:jc w:val="left"/>
              <w:rPr>
                <w:b/>
                <w:bCs/>
                <w:color w:val="FFFFFF" w:themeColor="background1"/>
              </w:rPr>
            </w:pPr>
            <w:r>
              <w:rPr>
                <w:b/>
                <w:bCs/>
                <w:color w:val="FFFFFF" w:themeColor="background1"/>
              </w:rPr>
              <w:t>Proximity of R&amp;D locations to</w:t>
            </w:r>
            <w:r w:rsidR="00D4497E" w:rsidRPr="00D53D69">
              <w:rPr>
                <w:b/>
                <w:bCs/>
                <w:color w:val="FFFFFF" w:themeColor="background1"/>
              </w:rPr>
              <w:t xml:space="preserve"> headquarter</w:t>
            </w:r>
          </w:p>
        </w:tc>
      </w:tr>
      <w:tr w:rsidR="009C231D" w14:paraId="5DED731A" w14:textId="77777777" w:rsidTr="000A2E03">
        <w:trPr>
          <w:trHeight w:val="397"/>
        </w:trPr>
        <w:tc>
          <w:tcPr>
            <w:tcW w:w="7953" w:type="dxa"/>
            <w:gridSpan w:val="3"/>
            <w:shd w:val="clear" w:color="auto" w:fill="D9D9D9" w:themeFill="text2" w:themeFillTint="99"/>
            <w:vAlign w:val="center"/>
          </w:tcPr>
          <w:p w14:paraId="698CE9AD" w14:textId="773D5E00" w:rsidR="009C231D" w:rsidRDefault="009C231D" w:rsidP="00D53D69">
            <w:pPr>
              <w:pStyle w:val="Tekstpodstawowy"/>
              <w:spacing w:before="0" w:after="0" w:line="240" w:lineRule="auto"/>
              <w:jc w:val="left"/>
            </w:pPr>
            <w:r>
              <w:rPr>
                <w:b/>
                <w:bCs/>
              </w:rPr>
              <w:t>US-</w:t>
            </w:r>
            <w:r w:rsidR="00AB6126">
              <w:rPr>
                <w:b/>
                <w:bCs/>
              </w:rPr>
              <w:t>headquartered</w:t>
            </w:r>
            <w:r>
              <w:rPr>
                <w:b/>
                <w:bCs/>
              </w:rPr>
              <w:t xml:space="preserve"> companies</w:t>
            </w:r>
          </w:p>
        </w:tc>
      </w:tr>
      <w:tr w:rsidR="00D4497E" w14:paraId="0C84A376" w14:textId="77777777" w:rsidTr="00D53D69">
        <w:trPr>
          <w:trHeight w:val="397"/>
        </w:trPr>
        <w:tc>
          <w:tcPr>
            <w:tcW w:w="2405" w:type="dxa"/>
            <w:vAlign w:val="center"/>
          </w:tcPr>
          <w:p w14:paraId="4404B0E7" w14:textId="65AFFC7F" w:rsidR="00D4497E" w:rsidRPr="00D53D69" w:rsidRDefault="00443765" w:rsidP="00D53D69">
            <w:pPr>
              <w:pStyle w:val="Tekstpodstawowy"/>
              <w:spacing w:before="0" w:after="0" w:line="240" w:lineRule="auto"/>
              <w:jc w:val="left"/>
              <w:rPr>
                <w:b/>
                <w:bCs/>
              </w:rPr>
            </w:pPr>
            <w:r w:rsidRPr="00D53D69">
              <w:rPr>
                <w:b/>
                <w:bCs/>
              </w:rPr>
              <w:t>Johnson &amp; Johnson</w:t>
            </w:r>
          </w:p>
        </w:tc>
        <w:tc>
          <w:tcPr>
            <w:tcW w:w="2897" w:type="dxa"/>
            <w:vAlign w:val="center"/>
          </w:tcPr>
          <w:p w14:paraId="0303600B" w14:textId="2B993BA9" w:rsidR="00D4497E" w:rsidRDefault="00443765" w:rsidP="00D53D69">
            <w:pPr>
              <w:pStyle w:val="Tekstpodstawowy"/>
              <w:spacing w:before="0" w:after="0" w:line="240" w:lineRule="auto"/>
              <w:jc w:val="left"/>
            </w:pPr>
            <w:r>
              <w:t xml:space="preserve">New </w:t>
            </w:r>
            <w:r w:rsidR="00F13784">
              <w:t>Brunswick, NJ,</w:t>
            </w:r>
            <w:r>
              <w:t xml:space="preserve"> US</w:t>
            </w:r>
          </w:p>
        </w:tc>
        <w:tc>
          <w:tcPr>
            <w:tcW w:w="2651" w:type="dxa"/>
            <w:shd w:val="clear" w:color="auto" w:fill="D2ECD3" w:themeFill="accent6" w:themeFillTint="33"/>
            <w:vAlign w:val="center"/>
          </w:tcPr>
          <w:p w14:paraId="33883C78" w14:textId="40FAE7B9" w:rsidR="00D4497E" w:rsidRDefault="00CE0DCD" w:rsidP="00D53D69">
            <w:pPr>
              <w:pStyle w:val="Tekstpodstawowy"/>
              <w:spacing w:before="0" w:after="0" w:line="240" w:lineRule="auto"/>
              <w:jc w:val="left"/>
            </w:pPr>
            <w:r>
              <w:t xml:space="preserve">Same </w:t>
            </w:r>
            <w:r w:rsidR="001915E9">
              <w:t>country</w:t>
            </w:r>
          </w:p>
        </w:tc>
      </w:tr>
      <w:tr w:rsidR="00D4497E" w14:paraId="58D04185" w14:textId="77777777" w:rsidTr="00D53D69">
        <w:trPr>
          <w:trHeight w:val="397"/>
        </w:trPr>
        <w:tc>
          <w:tcPr>
            <w:tcW w:w="2405" w:type="dxa"/>
            <w:vAlign w:val="center"/>
          </w:tcPr>
          <w:p w14:paraId="56D6E35F" w14:textId="0A60F1BF" w:rsidR="00D4497E" w:rsidRPr="00D53D69" w:rsidRDefault="00443765" w:rsidP="00D53D69">
            <w:pPr>
              <w:pStyle w:val="Tekstpodstawowy"/>
              <w:spacing w:before="0" w:after="0" w:line="240" w:lineRule="auto"/>
              <w:jc w:val="left"/>
              <w:rPr>
                <w:b/>
                <w:bCs/>
              </w:rPr>
            </w:pPr>
            <w:r w:rsidRPr="00D53D69">
              <w:rPr>
                <w:b/>
                <w:bCs/>
              </w:rPr>
              <w:t>Pfizer</w:t>
            </w:r>
          </w:p>
        </w:tc>
        <w:tc>
          <w:tcPr>
            <w:tcW w:w="2897" w:type="dxa"/>
            <w:vAlign w:val="center"/>
          </w:tcPr>
          <w:p w14:paraId="0CDD8CAE" w14:textId="58839F1C" w:rsidR="00D4497E" w:rsidRDefault="00443765" w:rsidP="00D53D69">
            <w:pPr>
              <w:pStyle w:val="Tekstpodstawowy"/>
              <w:spacing w:before="0" w:after="0" w:line="240" w:lineRule="auto"/>
              <w:jc w:val="left"/>
            </w:pPr>
            <w:r>
              <w:t xml:space="preserve">New York, </w:t>
            </w:r>
            <w:r w:rsidR="00F13784">
              <w:t xml:space="preserve">NY, </w:t>
            </w:r>
            <w:r>
              <w:t>US</w:t>
            </w:r>
          </w:p>
        </w:tc>
        <w:tc>
          <w:tcPr>
            <w:tcW w:w="2651" w:type="dxa"/>
            <w:shd w:val="clear" w:color="auto" w:fill="D2ECD3" w:themeFill="accent6" w:themeFillTint="33"/>
            <w:vAlign w:val="center"/>
          </w:tcPr>
          <w:p w14:paraId="2A6AA888" w14:textId="1B954819" w:rsidR="00D4497E" w:rsidRDefault="00D05EE1" w:rsidP="00D53D69">
            <w:pPr>
              <w:pStyle w:val="Tekstpodstawowy"/>
              <w:spacing w:before="0" w:after="0" w:line="240" w:lineRule="auto"/>
              <w:jc w:val="left"/>
            </w:pPr>
            <w:r>
              <w:t xml:space="preserve">Same </w:t>
            </w:r>
            <w:r w:rsidR="001915E9">
              <w:t>country</w:t>
            </w:r>
          </w:p>
        </w:tc>
      </w:tr>
      <w:tr w:rsidR="00D4497E" w14:paraId="6AAEAD88" w14:textId="77777777" w:rsidTr="00D53D69">
        <w:trPr>
          <w:trHeight w:val="397"/>
        </w:trPr>
        <w:tc>
          <w:tcPr>
            <w:tcW w:w="2405" w:type="dxa"/>
            <w:vAlign w:val="center"/>
          </w:tcPr>
          <w:p w14:paraId="5FDD9957" w14:textId="35D6E49B" w:rsidR="00D4497E" w:rsidRPr="00D53D69" w:rsidRDefault="00443765" w:rsidP="00D53D69">
            <w:pPr>
              <w:pStyle w:val="Tekstpodstawowy"/>
              <w:spacing w:before="0" w:after="0" w:line="240" w:lineRule="auto"/>
              <w:jc w:val="left"/>
              <w:rPr>
                <w:b/>
                <w:bCs/>
              </w:rPr>
            </w:pPr>
            <w:r w:rsidRPr="00D53D69">
              <w:rPr>
                <w:b/>
                <w:bCs/>
              </w:rPr>
              <w:t>AbbVie</w:t>
            </w:r>
          </w:p>
        </w:tc>
        <w:tc>
          <w:tcPr>
            <w:tcW w:w="2897" w:type="dxa"/>
            <w:vAlign w:val="center"/>
          </w:tcPr>
          <w:p w14:paraId="535091B2" w14:textId="66358BFC" w:rsidR="00D4497E" w:rsidRDefault="00443765" w:rsidP="00D53D69">
            <w:pPr>
              <w:pStyle w:val="Tekstpodstawowy"/>
              <w:spacing w:before="0" w:after="0" w:line="240" w:lineRule="auto"/>
              <w:jc w:val="left"/>
            </w:pPr>
            <w:r>
              <w:t xml:space="preserve">Chicago, </w:t>
            </w:r>
            <w:r w:rsidR="00F13784">
              <w:t>IL, US</w:t>
            </w:r>
          </w:p>
        </w:tc>
        <w:tc>
          <w:tcPr>
            <w:tcW w:w="2651" w:type="dxa"/>
            <w:shd w:val="clear" w:color="auto" w:fill="D2ECD3" w:themeFill="accent6" w:themeFillTint="33"/>
            <w:vAlign w:val="center"/>
          </w:tcPr>
          <w:p w14:paraId="54F23381" w14:textId="66678996" w:rsidR="00D4497E" w:rsidRDefault="00D05EE1" w:rsidP="00D53D69">
            <w:pPr>
              <w:pStyle w:val="Tekstpodstawowy"/>
              <w:spacing w:before="0" w:after="0" w:line="240" w:lineRule="auto"/>
              <w:jc w:val="left"/>
            </w:pPr>
            <w:r>
              <w:t xml:space="preserve">Same </w:t>
            </w:r>
            <w:r w:rsidR="001915E9">
              <w:t>country</w:t>
            </w:r>
          </w:p>
        </w:tc>
      </w:tr>
      <w:tr w:rsidR="001E7235" w14:paraId="410F31E3" w14:textId="77777777" w:rsidTr="00D53D69">
        <w:trPr>
          <w:trHeight w:val="397"/>
        </w:trPr>
        <w:tc>
          <w:tcPr>
            <w:tcW w:w="2405" w:type="dxa"/>
            <w:vAlign w:val="center"/>
          </w:tcPr>
          <w:p w14:paraId="3CAB008E" w14:textId="43778F05" w:rsidR="001E7235" w:rsidRPr="00D53D69" w:rsidRDefault="001E7235" w:rsidP="00D53D69">
            <w:pPr>
              <w:pStyle w:val="Tekstpodstawowy"/>
              <w:spacing w:before="0" w:after="0" w:line="240" w:lineRule="auto"/>
              <w:jc w:val="left"/>
              <w:rPr>
                <w:b/>
                <w:bCs/>
              </w:rPr>
            </w:pPr>
            <w:r>
              <w:rPr>
                <w:b/>
                <w:bCs/>
              </w:rPr>
              <w:t>MSD</w:t>
            </w:r>
          </w:p>
        </w:tc>
        <w:tc>
          <w:tcPr>
            <w:tcW w:w="2897" w:type="dxa"/>
            <w:vAlign w:val="center"/>
          </w:tcPr>
          <w:p w14:paraId="074112BE" w14:textId="1D4CAD56" w:rsidR="001E7235" w:rsidRDefault="001E7235" w:rsidP="00D53D69">
            <w:pPr>
              <w:pStyle w:val="Tekstpodstawowy"/>
              <w:spacing w:before="0" w:after="0" w:line="240" w:lineRule="auto"/>
              <w:jc w:val="left"/>
            </w:pPr>
            <w:r>
              <w:t>Kenilworth, NJ, US</w:t>
            </w:r>
          </w:p>
        </w:tc>
        <w:tc>
          <w:tcPr>
            <w:tcW w:w="2651" w:type="dxa"/>
            <w:shd w:val="clear" w:color="auto" w:fill="A5D9A7" w:themeFill="accent6" w:themeFillTint="66"/>
            <w:vAlign w:val="center"/>
          </w:tcPr>
          <w:p w14:paraId="6678BD9E" w14:textId="2DD634B3" w:rsidR="001E7235" w:rsidRDefault="001E7235" w:rsidP="00D53D69">
            <w:pPr>
              <w:pStyle w:val="Tekstpodstawowy"/>
              <w:spacing w:before="0" w:after="0" w:line="240" w:lineRule="auto"/>
              <w:jc w:val="left"/>
            </w:pPr>
            <w:r w:rsidRPr="00096716">
              <w:t>Same city</w:t>
            </w:r>
          </w:p>
        </w:tc>
      </w:tr>
      <w:tr w:rsidR="00D4497E" w14:paraId="2D5E9350" w14:textId="77777777" w:rsidTr="00D53D69">
        <w:trPr>
          <w:trHeight w:val="397"/>
        </w:trPr>
        <w:tc>
          <w:tcPr>
            <w:tcW w:w="2405" w:type="dxa"/>
            <w:vAlign w:val="center"/>
          </w:tcPr>
          <w:p w14:paraId="49EE8F5D" w14:textId="606E96BA" w:rsidR="00D4497E" w:rsidRPr="00D53D69" w:rsidRDefault="00443765" w:rsidP="00D53D69">
            <w:pPr>
              <w:pStyle w:val="Tekstpodstawowy"/>
              <w:spacing w:before="0" w:after="0"/>
              <w:jc w:val="left"/>
              <w:rPr>
                <w:b/>
                <w:bCs/>
              </w:rPr>
            </w:pPr>
            <w:r w:rsidRPr="00D53D69">
              <w:rPr>
                <w:b/>
                <w:bCs/>
              </w:rPr>
              <w:t>BMS</w:t>
            </w:r>
          </w:p>
        </w:tc>
        <w:tc>
          <w:tcPr>
            <w:tcW w:w="2897" w:type="dxa"/>
            <w:vAlign w:val="center"/>
          </w:tcPr>
          <w:p w14:paraId="5FFEB953" w14:textId="6DA26AF6" w:rsidR="00D4497E" w:rsidRDefault="00506F95" w:rsidP="00D53D69">
            <w:pPr>
              <w:pStyle w:val="Tekstpodstawowy"/>
              <w:spacing w:before="0" w:after="0"/>
              <w:jc w:val="left"/>
            </w:pPr>
            <w:r>
              <w:t xml:space="preserve">New York, </w:t>
            </w:r>
            <w:r w:rsidR="006D01B4">
              <w:t xml:space="preserve">NY, </w:t>
            </w:r>
            <w:r>
              <w:t>US</w:t>
            </w:r>
          </w:p>
        </w:tc>
        <w:tc>
          <w:tcPr>
            <w:tcW w:w="2651" w:type="dxa"/>
            <w:shd w:val="clear" w:color="auto" w:fill="D2ECD3" w:themeFill="accent6" w:themeFillTint="33"/>
            <w:vAlign w:val="center"/>
          </w:tcPr>
          <w:p w14:paraId="4A189D7D" w14:textId="398ABDC8" w:rsidR="00D4497E" w:rsidRDefault="00D05EE1" w:rsidP="00D53D69">
            <w:pPr>
              <w:pStyle w:val="Tekstpodstawowy"/>
              <w:spacing w:before="0" w:after="0"/>
              <w:jc w:val="left"/>
            </w:pPr>
            <w:r>
              <w:t>Same country</w:t>
            </w:r>
          </w:p>
        </w:tc>
      </w:tr>
      <w:tr w:rsidR="00120490" w14:paraId="5652A586" w14:textId="77777777" w:rsidTr="000A2E03">
        <w:trPr>
          <w:trHeight w:val="397"/>
        </w:trPr>
        <w:tc>
          <w:tcPr>
            <w:tcW w:w="2405" w:type="dxa"/>
            <w:vAlign w:val="center"/>
          </w:tcPr>
          <w:p w14:paraId="2DE4D318" w14:textId="60706109" w:rsidR="00120490" w:rsidRPr="00D53D69" w:rsidRDefault="00120490" w:rsidP="00120490">
            <w:pPr>
              <w:pStyle w:val="Tekstpodstawowy"/>
              <w:spacing w:before="0" w:after="0"/>
              <w:jc w:val="left"/>
              <w:rPr>
                <w:b/>
                <w:bCs/>
              </w:rPr>
            </w:pPr>
            <w:r>
              <w:rPr>
                <w:b/>
                <w:bCs/>
              </w:rPr>
              <w:t>Eli Lilly</w:t>
            </w:r>
          </w:p>
        </w:tc>
        <w:tc>
          <w:tcPr>
            <w:tcW w:w="2897" w:type="dxa"/>
            <w:vAlign w:val="center"/>
          </w:tcPr>
          <w:p w14:paraId="3E831690" w14:textId="52477B6C" w:rsidR="00120490" w:rsidRDefault="00120490" w:rsidP="00120490">
            <w:pPr>
              <w:pStyle w:val="Tekstpodstawowy"/>
              <w:spacing w:before="0" w:after="0"/>
              <w:jc w:val="left"/>
            </w:pPr>
            <w:r>
              <w:t>Indianapolis, IN, US</w:t>
            </w:r>
          </w:p>
        </w:tc>
        <w:tc>
          <w:tcPr>
            <w:tcW w:w="2651" w:type="dxa"/>
            <w:shd w:val="clear" w:color="auto" w:fill="A5D9A7" w:themeFill="accent6" w:themeFillTint="66"/>
            <w:vAlign w:val="center"/>
          </w:tcPr>
          <w:p w14:paraId="460559CB" w14:textId="1B56C051" w:rsidR="00120490" w:rsidRDefault="00120490" w:rsidP="00120490">
            <w:pPr>
              <w:pStyle w:val="Tekstpodstawowy"/>
              <w:spacing w:before="0" w:after="0"/>
              <w:jc w:val="left"/>
            </w:pPr>
            <w:r>
              <w:t>Same city</w:t>
            </w:r>
          </w:p>
        </w:tc>
      </w:tr>
      <w:tr w:rsidR="00120490" w14:paraId="7CB3E35A" w14:textId="77777777" w:rsidTr="000A2E03">
        <w:trPr>
          <w:trHeight w:val="397"/>
        </w:trPr>
        <w:tc>
          <w:tcPr>
            <w:tcW w:w="2405" w:type="dxa"/>
            <w:vAlign w:val="center"/>
          </w:tcPr>
          <w:p w14:paraId="47A6B816" w14:textId="3CDCCA3A" w:rsidR="00120490" w:rsidRPr="00D53D69" w:rsidRDefault="00120490" w:rsidP="00120490">
            <w:pPr>
              <w:pStyle w:val="Tekstpodstawowy"/>
              <w:spacing w:before="0" w:after="0"/>
              <w:jc w:val="left"/>
              <w:rPr>
                <w:b/>
                <w:bCs/>
              </w:rPr>
            </w:pPr>
            <w:r>
              <w:rPr>
                <w:b/>
                <w:bCs/>
              </w:rPr>
              <w:t>Gilead</w:t>
            </w:r>
          </w:p>
        </w:tc>
        <w:tc>
          <w:tcPr>
            <w:tcW w:w="2897" w:type="dxa"/>
            <w:vAlign w:val="center"/>
          </w:tcPr>
          <w:p w14:paraId="61F11189" w14:textId="7D46FA9E" w:rsidR="00120490" w:rsidRDefault="00120490" w:rsidP="00120490">
            <w:pPr>
              <w:pStyle w:val="Tekstpodstawowy"/>
              <w:spacing w:before="0" w:after="0"/>
              <w:jc w:val="left"/>
            </w:pPr>
            <w:r>
              <w:t>Foster City, CA, US</w:t>
            </w:r>
          </w:p>
        </w:tc>
        <w:tc>
          <w:tcPr>
            <w:tcW w:w="2651" w:type="dxa"/>
            <w:shd w:val="clear" w:color="auto" w:fill="A5D9A7" w:themeFill="accent6" w:themeFillTint="66"/>
            <w:vAlign w:val="center"/>
          </w:tcPr>
          <w:p w14:paraId="783AA409" w14:textId="270980A7" w:rsidR="00120490" w:rsidRDefault="00120490" w:rsidP="00120490">
            <w:pPr>
              <w:pStyle w:val="Tekstpodstawowy"/>
              <w:spacing w:before="0" w:after="0"/>
              <w:jc w:val="left"/>
            </w:pPr>
            <w:r>
              <w:t>Same city</w:t>
            </w:r>
          </w:p>
        </w:tc>
      </w:tr>
      <w:tr w:rsidR="00120490" w14:paraId="7E1BCC03" w14:textId="77777777" w:rsidTr="00D53D69">
        <w:trPr>
          <w:trHeight w:val="397"/>
        </w:trPr>
        <w:tc>
          <w:tcPr>
            <w:tcW w:w="2405" w:type="dxa"/>
            <w:vAlign w:val="center"/>
          </w:tcPr>
          <w:p w14:paraId="4424B0FB" w14:textId="329946E2" w:rsidR="00120490" w:rsidRPr="00D53D69" w:rsidRDefault="00120490" w:rsidP="00120490">
            <w:pPr>
              <w:pStyle w:val="Tekstpodstawowy"/>
              <w:spacing w:before="0" w:after="0"/>
              <w:jc w:val="left"/>
              <w:rPr>
                <w:b/>
                <w:bCs/>
              </w:rPr>
            </w:pPr>
            <w:r>
              <w:rPr>
                <w:b/>
                <w:bCs/>
              </w:rPr>
              <w:t>Amgen</w:t>
            </w:r>
          </w:p>
        </w:tc>
        <w:tc>
          <w:tcPr>
            <w:tcW w:w="2897" w:type="dxa"/>
            <w:vAlign w:val="center"/>
          </w:tcPr>
          <w:p w14:paraId="4EA65856" w14:textId="3D411921" w:rsidR="00120490" w:rsidRDefault="00120490" w:rsidP="00120490">
            <w:pPr>
              <w:pStyle w:val="Tekstpodstawowy"/>
              <w:spacing w:before="0" w:after="0"/>
              <w:jc w:val="left"/>
            </w:pPr>
            <w:r>
              <w:t>Thousand Oaks, CA, US</w:t>
            </w:r>
          </w:p>
        </w:tc>
        <w:tc>
          <w:tcPr>
            <w:tcW w:w="2651" w:type="dxa"/>
            <w:shd w:val="clear" w:color="auto" w:fill="D2ECD3" w:themeFill="accent6" w:themeFillTint="33"/>
            <w:vAlign w:val="center"/>
          </w:tcPr>
          <w:p w14:paraId="5E97BC33" w14:textId="65E650DA" w:rsidR="00120490" w:rsidRDefault="00120490" w:rsidP="00120490">
            <w:pPr>
              <w:pStyle w:val="Tekstpodstawowy"/>
              <w:spacing w:before="0" w:after="0"/>
              <w:jc w:val="left"/>
            </w:pPr>
            <w:r>
              <w:t xml:space="preserve">Same </w:t>
            </w:r>
            <w:r w:rsidR="001915E9">
              <w:t>country</w:t>
            </w:r>
          </w:p>
        </w:tc>
      </w:tr>
      <w:tr w:rsidR="00120490" w14:paraId="703007CF" w14:textId="77777777" w:rsidTr="000A2E03">
        <w:trPr>
          <w:trHeight w:val="397"/>
        </w:trPr>
        <w:tc>
          <w:tcPr>
            <w:tcW w:w="2405" w:type="dxa"/>
            <w:vAlign w:val="center"/>
          </w:tcPr>
          <w:p w14:paraId="1C90F12F" w14:textId="0D7E4343" w:rsidR="00120490" w:rsidRDefault="00120490" w:rsidP="00120490">
            <w:pPr>
              <w:pStyle w:val="Tekstpodstawowy"/>
              <w:spacing w:before="0" w:after="0"/>
              <w:jc w:val="left"/>
              <w:rPr>
                <w:b/>
                <w:bCs/>
              </w:rPr>
            </w:pPr>
            <w:r>
              <w:rPr>
                <w:b/>
                <w:bCs/>
              </w:rPr>
              <w:t>Moderna</w:t>
            </w:r>
          </w:p>
        </w:tc>
        <w:tc>
          <w:tcPr>
            <w:tcW w:w="2897" w:type="dxa"/>
            <w:vAlign w:val="center"/>
          </w:tcPr>
          <w:p w14:paraId="7F815E94" w14:textId="3FE7199C" w:rsidR="00120490" w:rsidRDefault="00120490" w:rsidP="00120490">
            <w:pPr>
              <w:pStyle w:val="Tekstpodstawowy"/>
              <w:spacing w:before="0" w:after="0"/>
              <w:jc w:val="left"/>
            </w:pPr>
            <w:r>
              <w:t>Cambridge, MA, US</w:t>
            </w:r>
          </w:p>
        </w:tc>
        <w:tc>
          <w:tcPr>
            <w:tcW w:w="2651" w:type="dxa"/>
            <w:shd w:val="clear" w:color="auto" w:fill="A5D9A7" w:themeFill="accent6" w:themeFillTint="66"/>
            <w:vAlign w:val="center"/>
          </w:tcPr>
          <w:p w14:paraId="2116510C" w14:textId="1FCE5F53" w:rsidR="00120490" w:rsidRDefault="00120490" w:rsidP="00120490">
            <w:pPr>
              <w:pStyle w:val="Tekstpodstawowy"/>
              <w:spacing w:before="0" w:after="0"/>
              <w:jc w:val="left"/>
            </w:pPr>
            <w:r>
              <w:t>Same city</w:t>
            </w:r>
          </w:p>
        </w:tc>
      </w:tr>
      <w:tr w:rsidR="00120490" w14:paraId="51345E82" w14:textId="77777777" w:rsidTr="000A2E03">
        <w:trPr>
          <w:trHeight w:val="397"/>
        </w:trPr>
        <w:tc>
          <w:tcPr>
            <w:tcW w:w="2405" w:type="dxa"/>
            <w:vAlign w:val="center"/>
          </w:tcPr>
          <w:p w14:paraId="2D70CDF8" w14:textId="4B2BAAF9" w:rsidR="00120490" w:rsidRDefault="00120490" w:rsidP="00120490">
            <w:pPr>
              <w:pStyle w:val="Tekstpodstawowy"/>
              <w:spacing w:before="0" w:after="0"/>
              <w:jc w:val="left"/>
              <w:rPr>
                <w:b/>
                <w:bCs/>
              </w:rPr>
            </w:pPr>
            <w:proofErr w:type="spellStart"/>
            <w:r>
              <w:rPr>
                <w:b/>
                <w:bCs/>
              </w:rPr>
              <w:t>Viatris</w:t>
            </w:r>
            <w:proofErr w:type="spellEnd"/>
          </w:p>
        </w:tc>
        <w:tc>
          <w:tcPr>
            <w:tcW w:w="2897" w:type="dxa"/>
            <w:vAlign w:val="center"/>
          </w:tcPr>
          <w:p w14:paraId="5B9A7C42" w14:textId="654AF8A8" w:rsidR="00120490" w:rsidRDefault="00120490" w:rsidP="00120490">
            <w:pPr>
              <w:pStyle w:val="Tekstpodstawowy"/>
              <w:spacing w:before="0" w:after="0"/>
              <w:jc w:val="left"/>
            </w:pPr>
            <w:r>
              <w:t>Canonsburg, PA, US</w:t>
            </w:r>
          </w:p>
        </w:tc>
        <w:tc>
          <w:tcPr>
            <w:tcW w:w="2651" w:type="dxa"/>
            <w:shd w:val="clear" w:color="auto" w:fill="A5D9A7" w:themeFill="accent6" w:themeFillTint="66"/>
            <w:vAlign w:val="center"/>
          </w:tcPr>
          <w:p w14:paraId="509DCFA9" w14:textId="08323BF2" w:rsidR="00120490" w:rsidRDefault="00120490" w:rsidP="00120490">
            <w:pPr>
              <w:pStyle w:val="Tekstpodstawowy"/>
              <w:spacing w:before="0" w:after="0"/>
              <w:jc w:val="left"/>
            </w:pPr>
            <w:r>
              <w:t>Same city</w:t>
            </w:r>
          </w:p>
        </w:tc>
      </w:tr>
      <w:tr w:rsidR="00120490" w14:paraId="3D3D351C" w14:textId="77777777">
        <w:trPr>
          <w:trHeight w:val="397"/>
        </w:trPr>
        <w:tc>
          <w:tcPr>
            <w:tcW w:w="7953" w:type="dxa"/>
            <w:gridSpan w:val="3"/>
            <w:shd w:val="clear" w:color="auto" w:fill="D9D9D9" w:themeFill="text2" w:themeFillTint="99"/>
            <w:vAlign w:val="center"/>
          </w:tcPr>
          <w:p w14:paraId="2F3FCA36" w14:textId="2BD03370" w:rsidR="00120490" w:rsidRDefault="00120490" w:rsidP="00120490">
            <w:pPr>
              <w:pStyle w:val="Tekstpodstawowy"/>
              <w:spacing w:before="0" w:after="0"/>
              <w:jc w:val="left"/>
            </w:pPr>
            <w:r>
              <w:rPr>
                <w:b/>
                <w:bCs/>
              </w:rPr>
              <w:t>Europe-</w:t>
            </w:r>
            <w:r w:rsidR="00AB6126">
              <w:rPr>
                <w:b/>
                <w:bCs/>
              </w:rPr>
              <w:t>headquartered</w:t>
            </w:r>
            <w:r>
              <w:rPr>
                <w:b/>
                <w:bCs/>
              </w:rPr>
              <w:t xml:space="preserve"> companies</w:t>
            </w:r>
          </w:p>
        </w:tc>
      </w:tr>
      <w:tr w:rsidR="00120490" w14:paraId="6FA8DA89" w14:textId="77777777" w:rsidTr="000A2E03">
        <w:trPr>
          <w:trHeight w:val="397"/>
        </w:trPr>
        <w:tc>
          <w:tcPr>
            <w:tcW w:w="2405" w:type="dxa"/>
            <w:vAlign w:val="center"/>
          </w:tcPr>
          <w:p w14:paraId="47AA18EC" w14:textId="71DE84B1" w:rsidR="00120490" w:rsidRPr="00D53D69" w:rsidRDefault="00120490" w:rsidP="00120490">
            <w:pPr>
              <w:pStyle w:val="Tekstpodstawowy"/>
              <w:spacing w:before="0" w:after="0"/>
              <w:jc w:val="left"/>
              <w:rPr>
                <w:b/>
                <w:bCs/>
              </w:rPr>
            </w:pPr>
            <w:r w:rsidRPr="00D53D69">
              <w:rPr>
                <w:b/>
                <w:bCs/>
              </w:rPr>
              <w:t>Roche</w:t>
            </w:r>
          </w:p>
        </w:tc>
        <w:tc>
          <w:tcPr>
            <w:tcW w:w="2897" w:type="dxa"/>
            <w:vAlign w:val="center"/>
          </w:tcPr>
          <w:p w14:paraId="638AE72E" w14:textId="009578A2" w:rsidR="00120490" w:rsidRDefault="00120490" w:rsidP="00120490">
            <w:pPr>
              <w:pStyle w:val="Tekstpodstawowy"/>
              <w:spacing w:before="0" w:after="0"/>
              <w:jc w:val="left"/>
            </w:pPr>
            <w:r>
              <w:t>Basel, Switzerland</w:t>
            </w:r>
          </w:p>
        </w:tc>
        <w:tc>
          <w:tcPr>
            <w:tcW w:w="2651" w:type="dxa"/>
            <w:shd w:val="clear" w:color="auto" w:fill="A5D9A7" w:themeFill="accent6" w:themeFillTint="66"/>
            <w:vAlign w:val="center"/>
          </w:tcPr>
          <w:p w14:paraId="62D3BA8F" w14:textId="01419BEC" w:rsidR="00120490" w:rsidRDefault="00120490" w:rsidP="00120490">
            <w:pPr>
              <w:pStyle w:val="Tekstpodstawowy"/>
              <w:spacing w:before="0" w:after="0"/>
              <w:jc w:val="left"/>
            </w:pPr>
            <w:r>
              <w:t>Same city</w:t>
            </w:r>
          </w:p>
        </w:tc>
      </w:tr>
      <w:tr w:rsidR="00120490" w14:paraId="2E48CDE2" w14:textId="77777777" w:rsidTr="00120490">
        <w:trPr>
          <w:trHeight w:val="397"/>
        </w:trPr>
        <w:tc>
          <w:tcPr>
            <w:tcW w:w="2405" w:type="dxa"/>
            <w:vAlign w:val="center"/>
          </w:tcPr>
          <w:p w14:paraId="125D2B8C" w14:textId="145C1435" w:rsidR="00120490" w:rsidRPr="00D53D69" w:rsidRDefault="00120490" w:rsidP="00120490">
            <w:pPr>
              <w:pStyle w:val="Tekstpodstawowy"/>
              <w:spacing w:before="0" w:after="0"/>
              <w:jc w:val="left"/>
              <w:rPr>
                <w:b/>
                <w:bCs/>
              </w:rPr>
            </w:pPr>
            <w:r w:rsidRPr="00D53D69">
              <w:rPr>
                <w:b/>
                <w:bCs/>
              </w:rPr>
              <w:lastRenderedPageBreak/>
              <w:t>Novartis</w:t>
            </w:r>
          </w:p>
        </w:tc>
        <w:tc>
          <w:tcPr>
            <w:tcW w:w="2897" w:type="dxa"/>
            <w:vAlign w:val="center"/>
          </w:tcPr>
          <w:p w14:paraId="1B5C4A44" w14:textId="2B7FF3D2" w:rsidR="00120490" w:rsidRDefault="00120490" w:rsidP="00120490">
            <w:pPr>
              <w:pStyle w:val="Tekstpodstawowy"/>
              <w:spacing w:before="0" w:after="0"/>
              <w:jc w:val="left"/>
            </w:pPr>
            <w:r>
              <w:t>Basel, Switzerland</w:t>
            </w:r>
          </w:p>
        </w:tc>
        <w:tc>
          <w:tcPr>
            <w:tcW w:w="2651" w:type="dxa"/>
            <w:shd w:val="clear" w:color="auto" w:fill="A5D9A7" w:themeFill="accent6" w:themeFillTint="66"/>
            <w:vAlign w:val="center"/>
          </w:tcPr>
          <w:p w14:paraId="3E99D338" w14:textId="66B98C77" w:rsidR="00120490" w:rsidRDefault="00120490" w:rsidP="00120490">
            <w:pPr>
              <w:pStyle w:val="Tekstpodstawowy"/>
              <w:spacing w:before="0" w:after="0"/>
              <w:jc w:val="left"/>
            </w:pPr>
            <w:r w:rsidRPr="00096716">
              <w:t>Same city</w:t>
            </w:r>
          </w:p>
        </w:tc>
      </w:tr>
      <w:tr w:rsidR="00120490" w14:paraId="53F4B587" w14:textId="77777777" w:rsidTr="00D53D69">
        <w:trPr>
          <w:trHeight w:val="397"/>
        </w:trPr>
        <w:tc>
          <w:tcPr>
            <w:tcW w:w="2405" w:type="dxa"/>
            <w:vAlign w:val="center"/>
          </w:tcPr>
          <w:p w14:paraId="719C9ABB" w14:textId="370761CC" w:rsidR="00120490" w:rsidRPr="00506F95" w:rsidRDefault="00120490" w:rsidP="00120490">
            <w:pPr>
              <w:pStyle w:val="Tekstpodstawowy"/>
              <w:spacing w:before="0" w:after="0"/>
              <w:jc w:val="left"/>
              <w:rPr>
                <w:b/>
                <w:bCs/>
              </w:rPr>
            </w:pPr>
            <w:r>
              <w:rPr>
                <w:b/>
                <w:bCs/>
              </w:rPr>
              <w:t>GlaxoSmithKline</w:t>
            </w:r>
          </w:p>
        </w:tc>
        <w:tc>
          <w:tcPr>
            <w:tcW w:w="2897" w:type="dxa"/>
            <w:vAlign w:val="center"/>
          </w:tcPr>
          <w:p w14:paraId="1FE8E8DA" w14:textId="6094FA63" w:rsidR="00120490" w:rsidRDefault="00120490" w:rsidP="00120490">
            <w:pPr>
              <w:pStyle w:val="Tekstpodstawowy"/>
              <w:spacing w:before="0" w:after="0"/>
              <w:jc w:val="left"/>
            </w:pPr>
            <w:r>
              <w:t>Brentford, UK</w:t>
            </w:r>
          </w:p>
        </w:tc>
        <w:tc>
          <w:tcPr>
            <w:tcW w:w="2651" w:type="dxa"/>
            <w:shd w:val="clear" w:color="auto" w:fill="D2ECD3" w:themeFill="accent6" w:themeFillTint="33"/>
            <w:vAlign w:val="center"/>
          </w:tcPr>
          <w:p w14:paraId="4539C2D8" w14:textId="717A36BC" w:rsidR="00120490" w:rsidRDefault="00120490" w:rsidP="00120490">
            <w:pPr>
              <w:pStyle w:val="Tekstpodstawowy"/>
              <w:spacing w:before="0" w:after="0"/>
              <w:jc w:val="left"/>
            </w:pPr>
            <w:r>
              <w:t>Same country</w:t>
            </w:r>
          </w:p>
        </w:tc>
      </w:tr>
      <w:tr w:rsidR="00120490" w14:paraId="21DABCE8" w14:textId="77777777" w:rsidTr="00D53D69">
        <w:trPr>
          <w:trHeight w:val="397"/>
        </w:trPr>
        <w:tc>
          <w:tcPr>
            <w:tcW w:w="2405" w:type="dxa"/>
            <w:vAlign w:val="center"/>
          </w:tcPr>
          <w:p w14:paraId="36519ADA" w14:textId="5B3E0328" w:rsidR="00120490" w:rsidRPr="00506F95" w:rsidRDefault="00120490" w:rsidP="00120490">
            <w:pPr>
              <w:pStyle w:val="Tekstpodstawowy"/>
              <w:spacing w:before="0" w:after="0"/>
              <w:jc w:val="left"/>
              <w:rPr>
                <w:b/>
                <w:bCs/>
              </w:rPr>
            </w:pPr>
            <w:r>
              <w:rPr>
                <w:b/>
                <w:bCs/>
              </w:rPr>
              <w:t>Sanofi</w:t>
            </w:r>
          </w:p>
        </w:tc>
        <w:tc>
          <w:tcPr>
            <w:tcW w:w="2897" w:type="dxa"/>
            <w:vAlign w:val="center"/>
          </w:tcPr>
          <w:p w14:paraId="73AE70E3" w14:textId="335ADED5" w:rsidR="00120490" w:rsidRDefault="00120490" w:rsidP="00120490">
            <w:pPr>
              <w:pStyle w:val="Tekstpodstawowy"/>
              <w:spacing w:before="0" w:after="0"/>
              <w:jc w:val="left"/>
            </w:pPr>
            <w:r>
              <w:t>Paris, France</w:t>
            </w:r>
          </w:p>
        </w:tc>
        <w:tc>
          <w:tcPr>
            <w:tcW w:w="2651" w:type="dxa"/>
            <w:shd w:val="clear" w:color="auto" w:fill="A5D9A7" w:themeFill="accent6" w:themeFillTint="66"/>
            <w:vAlign w:val="center"/>
          </w:tcPr>
          <w:p w14:paraId="062DB08D" w14:textId="22B77EF2" w:rsidR="00120490" w:rsidRDefault="00120490" w:rsidP="00120490">
            <w:pPr>
              <w:pStyle w:val="Tekstpodstawowy"/>
              <w:spacing w:before="0" w:after="0"/>
              <w:jc w:val="left"/>
            </w:pPr>
            <w:r>
              <w:t>Same city</w:t>
            </w:r>
          </w:p>
        </w:tc>
      </w:tr>
      <w:tr w:rsidR="00120490" w14:paraId="60378037" w14:textId="77777777" w:rsidTr="00D53D69">
        <w:trPr>
          <w:trHeight w:val="397"/>
        </w:trPr>
        <w:tc>
          <w:tcPr>
            <w:tcW w:w="2405" w:type="dxa"/>
            <w:vAlign w:val="center"/>
          </w:tcPr>
          <w:p w14:paraId="67077887" w14:textId="51C0551B" w:rsidR="00120490" w:rsidRPr="00506F95" w:rsidRDefault="00120490" w:rsidP="00120490">
            <w:pPr>
              <w:pStyle w:val="Tekstpodstawowy"/>
              <w:spacing w:before="0" w:after="0"/>
              <w:jc w:val="left"/>
              <w:rPr>
                <w:b/>
                <w:bCs/>
              </w:rPr>
            </w:pPr>
            <w:r>
              <w:rPr>
                <w:b/>
                <w:bCs/>
              </w:rPr>
              <w:t>AstraZeneca</w:t>
            </w:r>
          </w:p>
        </w:tc>
        <w:tc>
          <w:tcPr>
            <w:tcW w:w="2897" w:type="dxa"/>
            <w:vAlign w:val="center"/>
          </w:tcPr>
          <w:p w14:paraId="24A7B68D" w14:textId="613C9102" w:rsidR="00120490" w:rsidRDefault="00120490" w:rsidP="00120490">
            <w:pPr>
              <w:pStyle w:val="Tekstpodstawowy"/>
              <w:spacing w:before="0" w:after="0"/>
              <w:jc w:val="left"/>
            </w:pPr>
            <w:r>
              <w:t>Cambridge, UK</w:t>
            </w:r>
          </w:p>
        </w:tc>
        <w:tc>
          <w:tcPr>
            <w:tcW w:w="2651" w:type="dxa"/>
            <w:shd w:val="clear" w:color="auto" w:fill="A5D9A7" w:themeFill="accent6" w:themeFillTint="66"/>
            <w:vAlign w:val="center"/>
          </w:tcPr>
          <w:p w14:paraId="5112FB17" w14:textId="723D570C" w:rsidR="00120490" w:rsidRDefault="00120490" w:rsidP="00120490">
            <w:pPr>
              <w:pStyle w:val="Tekstpodstawowy"/>
              <w:spacing w:before="0" w:after="0"/>
              <w:jc w:val="left"/>
            </w:pPr>
            <w:r>
              <w:t>Same city</w:t>
            </w:r>
          </w:p>
        </w:tc>
      </w:tr>
      <w:tr w:rsidR="00120490" w14:paraId="5F2D9474" w14:textId="77777777" w:rsidTr="00D53D69">
        <w:trPr>
          <w:trHeight w:val="397"/>
        </w:trPr>
        <w:tc>
          <w:tcPr>
            <w:tcW w:w="2405" w:type="dxa"/>
            <w:vAlign w:val="center"/>
          </w:tcPr>
          <w:p w14:paraId="54567BFB" w14:textId="301C5BBE" w:rsidR="00120490" w:rsidRDefault="00120490" w:rsidP="00120490">
            <w:pPr>
              <w:pStyle w:val="Tekstpodstawowy"/>
              <w:spacing w:before="0" w:after="0"/>
              <w:jc w:val="left"/>
              <w:rPr>
                <w:b/>
                <w:bCs/>
              </w:rPr>
            </w:pPr>
            <w:r>
              <w:rPr>
                <w:b/>
                <w:bCs/>
              </w:rPr>
              <w:t>Bayer</w:t>
            </w:r>
          </w:p>
        </w:tc>
        <w:tc>
          <w:tcPr>
            <w:tcW w:w="2897" w:type="dxa"/>
            <w:vAlign w:val="center"/>
          </w:tcPr>
          <w:p w14:paraId="14DF1BD6" w14:textId="4AF8623D" w:rsidR="00120490" w:rsidRDefault="00120490" w:rsidP="00120490">
            <w:pPr>
              <w:pStyle w:val="Tekstpodstawowy"/>
              <w:spacing w:before="0" w:after="0"/>
              <w:jc w:val="left"/>
            </w:pPr>
            <w:r>
              <w:t>Leverkusen, Germany</w:t>
            </w:r>
          </w:p>
        </w:tc>
        <w:tc>
          <w:tcPr>
            <w:tcW w:w="2651" w:type="dxa"/>
            <w:shd w:val="clear" w:color="auto" w:fill="A5D9A7" w:themeFill="accent6" w:themeFillTint="66"/>
            <w:vAlign w:val="center"/>
          </w:tcPr>
          <w:p w14:paraId="4E3B9770" w14:textId="35DD8C50" w:rsidR="00120490" w:rsidRDefault="00120490" w:rsidP="00120490">
            <w:pPr>
              <w:pStyle w:val="Tekstpodstawowy"/>
              <w:spacing w:before="0" w:after="0"/>
              <w:jc w:val="left"/>
            </w:pPr>
            <w:r>
              <w:t>Same city</w:t>
            </w:r>
          </w:p>
        </w:tc>
      </w:tr>
      <w:tr w:rsidR="00120490" w14:paraId="06A76E94" w14:textId="77777777" w:rsidTr="000A2E03">
        <w:trPr>
          <w:trHeight w:val="397"/>
        </w:trPr>
        <w:tc>
          <w:tcPr>
            <w:tcW w:w="2405" w:type="dxa"/>
            <w:vAlign w:val="center"/>
          </w:tcPr>
          <w:p w14:paraId="7FE6E84D" w14:textId="3A1A5EE2" w:rsidR="00120490" w:rsidRDefault="00120490" w:rsidP="00120490">
            <w:pPr>
              <w:pStyle w:val="Tekstpodstawowy"/>
              <w:spacing w:before="0" w:after="0"/>
              <w:jc w:val="left"/>
              <w:rPr>
                <w:b/>
                <w:bCs/>
              </w:rPr>
            </w:pPr>
            <w:r>
              <w:rPr>
                <w:b/>
                <w:bCs/>
              </w:rPr>
              <w:t>Boehringer Ingelheim</w:t>
            </w:r>
          </w:p>
        </w:tc>
        <w:tc>
          <w:tcPr>
            <w:tcW w:w="2897" w:type="dxa"/>
            <w:vAlign w:val="center"/>
          </w:tcPr>
          <w:p w14:paraId="586ACFC7" w14:textId="20B6DE9E" w:rsidR="00120490" w:rsidRDefault="00120490" w:rsidP="00120490">
            <w:pPr>
              <w:pStyle w:val="Tekstpodstawowy"/>
              <w:spacing w:before="0" w:after="0"/>
              <w:jc w:val="left"/>
            </w:pPr>
            <w:r>
              <w:t>Rhein, Germany</w:t>
            </w:r>
          </w:p>
        </w:tc>
        <w:tc>
          <w:tcPr>
            <w:tcW w:w="2651" w:type="dxa"/>
            <w:shd w:val="clear" w:color="auto" w:fill="D2ECD3" w:themeFill="accent6" w:themeFillTint="33"/>
            <w:vAlign w:val="center"/>
          </w:tcPr>
          <w:p w14:paraId="14B1DE3C" w14:textId="22871710" w:rsidR="00120490" w:rsidRDefault="00120490" w:rsidP="00120490">
            <w:pPr>
              <w:pStyle w:val="Tekstpodstawowy"/>
              <w:spacing w:before="0" w:after="0"/>
              <w:jc w:val="left"/>
            </w:pPr>
            <w:r>
              <w:t xml:space="preserve">Same country </w:t>
            </w:r>
          </w:p>
        </w:tc>
      </w:tr>
      <w:tr w:rsidR="00120490" w14:paraId="16CB35DF" w14:textId="77777777" w:rsidTr="00D53D69">
        <w:trPr>
          <w:trHeight w:val="397"/>
        </w:trPr>
        <w:tc>
          <w:tcPr>
            <w:tcW w:w="2405" w:type="dxa"/>
            <w:vAlign w:val="center"/>
          </w:tcPr>
          <w:p w14:paraId="584A5BA5" w14:textId="338C751D" w:rsidR="00120490" w:rsidRDefault="00120490" w:rsidP="00120490">
            <w:pPr>
              <w:pStyle w:val="Tekstpodstawowy"/>
              <w:spacing w:before="0" w:after="0"/>
              <w:jc w:val="left"/>
              <w:rPr>
                <w:b/>
                <w:bCs/>
              </w:rPr>
            </w:pPr>
            <w:r>
              <w:rPr>
                <w:b/>
                <w:bCs/>
              </w:rPr>
              <w:t>Novo Nordisk</w:t>
            </w:r>
          </w:p>
        </w:tc>
        <w:tc>
          <w:tcPr>
            <w:tcW w:w="2897" w:type="dxa"/>
            <w:vAlign w:val="center"/>
          </w:tcPr>
          <w:p w14:paraId="37AAB8BC" w14:textId="2E75AB22" w:rsidR="00120490" w:rsidRDefault="00120490" w:rsidP="00120490">
            <w:pPr>
              <w:pStyle w:val="Tekstpodstawowy"/>
              <w:spacing w:before="0" w:after="0"/>
              <w:jc w:val="left"/>
            </w:pPr>
            <w:proofErr w:type="spellStart"/>
            <w:r>
              <w:t>Bags</w:t>
            </w:r>
            <w:r w:rsidRPr="00324CA2">
              <w:t>værd</w:t>
            </w:r>
            <w:proofErr w:type="spellEnd"/>
            <w:r>
              <w:t>, Denmark</w:t>
            </w:r>
          </w:p>
        </w:tc>
        <w:tc>
          <w:tcPr>
            <w:tcW w:w="2651" w:type="dxa"/>
            <w:shd w:val="clear" w:color="auto" w:fill="A5D9A7" w:themeFill="accent6" w:themeFillTint="66"/>
            <w:vAlign w:val="center"/>
          </w:tcPr>
          <w:p w14:paraId="2B7DDE70" w14:textId="733309C5" w:rsidR="00120490" w:rsidRDefault="00120490" w:rsidP="00120490">
            <w:pPr>
              <w:pStyle w:val="Tekstpodstawowy"/>
              <w:spacing w:before="0" w:after="0"/>
              <w:jc w:val="left"/>
            </w:pPr>
            <w:r>
              <w:t>Same city</w:t>
            </w:r>
          </w:p>
        </w:tc>
      </w:tr>
      <w:tr w:rsidR="00120490" w14:paraId="2FB46A7B" w14:textId="77777777" w:rsidTr="00D53D69">
        <w:trPr>
          <w:trHeight w:val="397"/>
        </w:trPr>
        <w:tc>
          <w:tcPr>
            <w:tcW w:w="2405" w:type="dxa"/>
            <w:vAlign w:val="center"/>
          </w:tcPr>
          <w:p w14:paraId="64B2F0C1" w14:textId="080AC348" w:rsidR="00120490" w:rsidRDefault="00120490" w:rsidP="00120490">
            <w:pPr>
              <w:pStyle w:val="Tekstpodstawowy"/>
              <w:spacing w:before="0" w:after="0"/>
              <w:jc w:val="left"/>
              <w:rPr>
                <w:b/>
                <w:bCs/>
              </w:rPr>
            </w:pPr>
            <w:r>
              <w:rPr>
                <w:b/>
                <w:bCs/>
              </w:rPr>
              <w:t>BioNTech</w:t>
            </w:r>
          </w:p>
        </w:tc>
        <w:tc>
          <w:tcPr>
            <w:tcW w:w="2897" w:type="dxa"/>
            <w:vAlign w:val="center"/>
          </w:tcPr>
          <w:p w14:paraId="3FCB09CF" w14:textId="1FF2463F" w:rsidR="00120490" w:rsidRDefault="00120490" w:rsidP="00120490">
            <w:pPr>
              <w:pStyle w:val="Tekstpodstawowy"/>
              <w:spacing w:before="0" w:after="0"/>
              <w:jc w:val="left"/>
            </w:pPr>
            <w:r>
              <w:t>Mainz, Germany</w:t>
            </w:r>
          </w:p>
        </w:tc>
        <w:tc>
          <w:tcPr>
            <w:tcW w:w="2651" w:type="dxa"/>
            <w:shd w:val="clear" w:color="auto" w:fill="A5D9A7" w:themeFill="accent6" w:themeFillTint="66"/>
            <w:vAlign w:val="center"/>
          </w:tcPr>
          <w:p w14:paraId="6B44210A" w14:textId="2C7DB55B" w:rsidR="00120490" w:rsidRDefault="00120490" w:rsidP="00120490">
            <w:pPr>
              <w:pStyle w:val="Tekstpodstawowy"/>
              <w:spacing w:before="0" w:after="0"/>
              <w:jc w:val="left"/>
            </w:pPr>
            <w:r>
              <w:t>Same city</w:t>
            </w:r>
          </w:p>
        </w:tc>
      </w:tr>
      <w:tr w:rsidR="00120490" w14:paraId="0130B786" w14:textId="77777777">
        <w:trPr>
          <w:trHeight w:val="397"/>
        </w:trPr>
        <w:tc>
          <w:tcPr>
            <w:tcW w:w="7953" w:type="dxa"/>
            <w:gridSpan w:val="3"/>
            <w:shd w:val="clear" w:color="auto" w:fill="D9D9D9" w:themeFill="text2" w:themeFillTint="99"/>
            <w:vAlign w:val="center"/>
          </w:tcPr>
          <w:p w14:paraId="235EA6C6" w14:textId="504C2EF9" w:rsidR="00120490" w:rsidRDefault="00120490" w:rsidP="00120490">
            <w:pPr>
              <w:pStyle w:val="Tekstpodstawowy"/>
              <w:spacing w:before="0" w:after="0"/>
              <w:jc w:val="left"/>
            </w:pPr>
            <w:r>
              <w:rPr>
                <w:b/>
                <w:bCs/>
              </w:rPr>
              <w:t>Asia-</w:t>
            </w:r>
            <w:r w:rsidR="00AB6126">
              <w:rPr>
                <w:b/>
                <w:bCs/>
              </w:rPr>
              <w:t>headquartered</w:t>
            </w:r>
            <w:r>
              <w:rPr>
                <w:b/>
                <w:bCs/>
              </w:rPr>
              <w:t xml:space="preserve"> companies</w:t>
            </w:r>
          </w:p>
        </w:tc>
      </w:tr>
      <w:tr w:rsidR="00120490" w14:paraId="0A46303F" w14:textId="77777777" w:rsidTr="00D53D69">
        <w:trPr>
          <w:trHeight w:val="397"/>
        </w:trPr>
        <w:tc>
          <w:tcPr>
            <w:tcW w:w="2405" w:type="dxa"/>
            <w:vAlign w:val="center"/>
          </w:tcPr>
          <w:p w14:paraId="58BFA2F8" w14:textId="219E3E49" w:rsidR="00120490" w:rsidRDefault="00120490" w:rsidP="00120490">
            <w:pPr>
              <w:pStyle w:val="Tekstpodstawowy"/>
              <w:spacing w:before="0" w:after="0"/>
              <w:jc w:val="left"/>
              <w:rPr>
                <w:b/>
                <w:bCs/>
              </w:rPr>
            </w:pPr>
            <w:r>
              <w:rPr>
                <w:b/>
                <w:bCs/>
              </w:rPr>
              <w:t>Takeda</w:t>
            </w:r>
          </w:p>
        </w:tc>
        <w:tc>
          <w:tcPr>
            <w:tcW w:w="2897" w:type="dxa"/>
            <w:vAlign w:val="center"/>
          </w:tcPr>
          <w:p w14:paraId="4ADBDB63" w14:textId="29718A08" w:rsidR="00120490" w:rsidRDefault="00120490" w:rsidP="00120490">
            <w:pPr>
              <w:pStyle w:val="Tekstpodstawowy"/>
              <w:spacing w:before="0" w:after="0"/>
              <w:jc w:val="left"/>
            </w:pPr>
            <w:r>
              <w:t>Tokyo, Japan</w:t>
            </w:r>
          </w:p>
        </w:tc>
        <w:tc>
          <w:tcPr>
            <w:tcW w:w="2651" w:type="dxa"/>
            <w:shd w:val="clear" w:color="auto" w:fill="D2ECD3" w:themeFill="accent6" w:themeFillTint="33"/>
            <w:vAlign w:val="center"/>
          </w:tcPr>
          <w:p w14:paraId="6F7C2FE4" w14:textId="7892B6DD" w:rsidR="00120490" w:rsidRDefault="00120490" w:rsidP="00120490">
            <w:pPr>
              <w:pStyle w:val="Tekstpodstawowy"/>
              <w:spacing w:before="0" w:after="0"/>
              <w:jc w:val="left"/>
            </w:pPr>
            <w:r>
              <w:t>Same country</w:t>
            </w:r>
          </w:p>
        </w:tc>
      </w:tr>
    </w:tbl>
    <w:p w14:paraId="20C47B38" w14:textId="65A064D3" w:rsidR="00E70AD0" w:rsidRPr="00D53D69" w:rsidRDefault="00AA002D" w:rsidP="00127CB9">
      <w:pPr>
        <w:pStyle w:val="Tekstpodstawowy"/>
        <w:rPr>
          <w:sz w:val="16"/>
          <w:szCs w:val="16"/>
        </w:rPr>
      </w:pPr>
      <w:r w:rsidRPr="00D53D69">
        <w:rPr>
          <w:sz w:val="16"/>
          <w:szCs w:val="16"/>
        </w:rPr>
        <w:t xml:space="preserve">Source: </w:t>
      </w:r>
      <w:r w:rsidR="00127CB9" w:rsidRPr="00D53D69">
        <w:rPr>
          <w:sz w:val="16"/>
          <w:szCs w:val="16"/>
        </w:rPr>
        <w:t xml:space="preserve">Top 20 pharmaceutical companies and headquarter information taken from </w:t>
      </w:r>
      <w:hyperlink r:id="rId46" w:history="1">
        <w:r w:rsidR="00127CB9" w:rsidRPr="00D53D69">
          <w:rPr>
            <w:rStyle w:val="Hipercze"/>
            <w:sz w:val="16"/>
            <w:szCs w:val="16"/>
          </w:rPr>
          <w:t>https://www.fiercepharma.com/special-reports/top-20-pharma-companies-2021-revenue</w:t>
        </w:r>
      </w:hyperlink>
      <w:r w:rsidR="00127CB9" w:rsidRPr="00D53D69">
        <w:rPr>
          <w:sz w:val="16"/>
          <w:szCs w:val="16"/>
        </w:rPr>
        <w:t>. Research hub locations from company websites.</w:t>
      </w:r>
    </w:p>
    <w:p w14:paraId="5EC85F22" w14:textId="2009E65F" w:rsidR="001B2D71" w:rsidRDefault="00AE2F20" w:rsidP="006243A7">
      <w:pPr>
        <w:pStyle w:val="Tekstpodstawowy"/>
      </w:pPr>
      <w:r>
        <w:t xml:space="preserve">We do also </w:t>
      </w:r>
      <w:r w:rsidR="008C7F77">
        <w:t xml:space="preserve">observe </w:t>
      </w:r>
      <w:r w:rsidR="00A01060">
        <w:t xml:space="preserve">companies moving research activities </w:t>
      </w:r>
      <w:r w:rsidR="00FC08C8">
        <w:t xml:space="preserve">or parts of it </w:t>
      </w:r>
      <w:r w:rsidR="00A01060">
        <w:t>away from headquarter locations</w:t>
      </w:r>
      <w:r w:rsidR="0041134A">
        <w:t>.</w:t>
      </w:r>
      <w:r w:rsidR="001A2601">
        <w:t xml:space="preserve"> Arguments in the literature suggest that due to </w:t>
      </w:r>
      <w:r w:rsidR="00183049">
        <w:t xml:space="preserve">companies’ </w:t>
      </w:r>
      <w:r w:rsidR="001A2601">
        <w:t xml:space="preserve">ability </w:t>
      </w:r>
      <w:r w:rsidR="0071450F">
        <w:t>to transfer</w:t>
      </w:r>
      <w:r w:rsidR="001A2601">
        <w:t xml:space="preserve"> </w:t>
      </w:r>
      <w:r w:rsidR="00FC08C8">
        <w:t xml:space="preserve">external and </w:t>
      </w:r>
      <w:r w:rsidR="001A2601">
        <w:t>internal knowledge across geographi</w:t>
      </w:r>
      <w:r w:rsidR="000E058E">
        <w:t>es</w:t>
      </w:r>
      <w:r w:rsidR="001A2601">
        <w:t>, geographical distance may play less of a role in R&amp;D</w:t>
      </w:r>
      <w:r w:rsidR="00F657AF">
        <w:t xml:space="preserve"> location</w:t>
      </w:r>
      <w:r w:rsidR="001A2601">
        <w:t xml:space="preserve"> decisions. The drive to access external knowledge</w:t>
      </w:r>
      <w:r w:rsidR="002C34BE">
        <w:t xml:space="preserve"> or infrastructure</w:t>
      </w:r>
      <w:r w:rsidR="001A2601">
        <w:t>, for example in a specialised cluster, may therefore overrule the desire to invest in more familiar locations.</w:t>
      </w:r>
      <w:r w:rsidR="001A2601">
        <w:rPr>
          <w:rStyle w:val="Odwoanieprzypisudolnego"/>
        </w:rPr>
        <w:footnoteReference w:id="197"/>
      </w:r>
      <w:r w:rsidR="0065503C">
        <w:t xml:space="preserve"> Amgen, for example, </w:t>
      </w:r>
      <w:r w:rsidR="00C70C4C">
        <w:t>moved 100 R&amp;D jobs from its headquarters in Thousand Oaks, California, into</w:t>
      </w:r>
      <w:r w:rsidR="004A4F6E">
        <w:t xml:space="preserve"> </w:t>
      </w:r>
      <w:r w:rsidR="004A4F6E" w:rsidDel="00E326B9">
        <w:t>the</w:t>
      </w:r>
      <w:r w:rsidR="00C70C4C" w:rsidDel="00E326B9">
        <w:t xml:space="preserve"> </w:t>
      </w:r>
      <w:r w:rsidR="001A2601" w:rsidRPr="001A2601">
        <w:t>Cambridge, Massachusetts, and San Francisco, California</w:t>
      </w:r>
      <w:r w:rsidR="00A63E8A">
        <w:t>,</w:t>
      </w:r>
      <w:r w:rsidR="001A2601">
        <w:t xml:space="preserve"> </w:t>
      </w:r>
      <w:proofErr w:type="spellStart"/>
      <w:r w:rsidR="004A4F6E">
        <w:t>bioclusters</w:t>
      </w:r>
      <w:proofErr w:type="spellEnd"/>
      <w:r w:rsidR="004A4F6E">
        <w:t xml:space="preserve"> </w:t>
      </w:r>
      <w:r w:rsidR="001A2601">
        <w:t>in 2017.</w:t>
      </w:r>
      <w:r w:rsidR="001A2601">
        <w:rPr>
          <w:rStyle w:val="Odwoanieprzypisudolnego"/>
        </w:rPr>
        <w:footnoteReference w:id="198"/>
      </w:r>
      <w:r w:rsidR="00272E14">
        <w:t xml:space="preserve"> However, this </w:t>
      </w:r>
      <w:r w:rsidR="00E57834">
        <w:t>does not demonstrate a</w:t>
      </w:r>
      <w:r w:rsidR="004A4F6E">
        <w:t xml:space="preserve"> </w:t>
      </w:r>
      <w:r w:rsidR="00E57834">
        <w:t xml:space="preserve">departure from </w:t>
      </w:r>
      <w:r w:rsidR="00FB1537">
        <w:t xml:space="preserve">Amgen’s home country, and this </w:t>
      </w:r>
      <w:r w:rsidR="00F54FFA">
        <w:t>pattern is not</w:t>
      </w:r>
      <w:r w:rsidR="00B62FDA">
        <w:t xml:space="preserve"> the norm</w:t>
      </w:r>
      <w:r w:rsidR="00780EEA">
        <w:t xml:space="preserve"> (</w:t>
      </w:r>
      <w:r w:rsidR="002D0407">
        <w:t xml:space="preserve">as indicated in </w:t>
      </w:r>
      <w:r w:rsidR="00780EEA" w:rsidRPr="000A2E03">
        <w:fldChar w:fldCharType="begin"/>
      </w:r>
      <w:r w:rsidR="00780EEA">
        <w:instrText xml:space="preserve"> REF _Ref109672257 \h </w:instrText>
      </w:r>
      <w:r w:rsidR="00780EEA" w:rsidRPr="000A2E03">
        <w:fldChar w:fldCharType="separate"/>
      </w:r>
      <w:r w:rsidR="00780EEA">
        <w:t xml:space="preserve">Table </w:t>
      </w:r>
      <w:r w:rsidR="00780EEA">
        <w:rPr>
          <w:noProof/>
        </w:rPr>
        <w:t>2</w:t>
      </w:r>
      <w:r w:rsidR="00780EEA" w:rsidRPr="000A2E03">
        <w:fldChar w:fldCharType="end"/>
      </w:r>
      <w:r w:rsidR="00780EEA">
        <w:t>)</w:t>
      </w:r>
      <w:r w:rsidR="00FB1537">
        <w:t xml:space="preserve">. </w:t>
      </w:r>
      <w:r w:rsidR="00780EEA">
        <w:t>Departures from headquarter location are also more likely to</w:t>
      </w:r>
      <w:r w:rsidR="00B62FDA">
        <w:t xml:space="preserve"> appl</w:t>
      </w:r>
      <w:r w:rsidR="008457F7">
        <w:t>y to large-sized companies</w:t>
      </w:r>
      <w:r w:rsidR="00FB7C82">
        <w:t xml:space="preserve">, </w:t>
      </w:r>
      <w:r w:rsidR="001C01DA">
        <w:t>w</w:t>
      </w:r>
      <w:r w:rsidR="002F0431">
        <w:t>here</w:t>
      </w:r>
      <w:r w:rsidR="00CA4ACE">
        <w:t xml:space="preserve"> there are greater capabilities to coordinate </w:t>
      </w:r>
      <w:r w:rsidR="005261D9">
        <w:t>firm operations across geographically dispersed sites.</w:t>
      </w:r>
      <w:r w:rsidR="005261D9">
        <w:rPr>
          <w:rStyle w:val="Odwoanieprzypisudolnego"/>
        </w:rPr>
        <w:footnoteReference w:id="199"/>
      </w:r>
    </w:p>
    <w:p w14:paraId="45AF6436" w14:textId="20AE36CA" w:rsidR="00500B4A" w:rsidRPr="000A2E03" w:rsidRDefault="00F03A79" w:rsidP="006243A7">
      <w:pPr>
        <w:pStyle w:val="Tekstpodstawowy"/>
        <w:rPr>
          <w:b/>
          <w:bCs/>
          <w:color w:val="0073AE" w:themeColor="accent1"/>
          <w:u w:val="single"/>
        </w:rPr>
      </w:pPr>
      <w:r w:rsidRPr="000A2E03">
        <w:rPr>
          <w:b/>
          <w:bCs/>
          <w:color w:val="0073AE" w:themeColor="accent1"/>
          <w:u w:val="single"/>
        </w:rPr>
        <w:t>R</w:t>
      </w:r>
      <w:r w:rsidR="00D33105" w:rsidRPr="000A2E03">
        <w:rPr>
          <w:b/>
          <w:bCs/>
          <w:color w:val="0073AE" w:themeColor="accent1"/>
          <w:u w:val="single"/>
        </w:rPr>
        <w:t>ecommendation</w:t>
      </w:r>
    </w:p>
    <w:p w14:paraId="6CDD5C70" w14:textId="06566A13" w:rsidR="005566DA" w:rsidRDefault="00FC2361" w:rsidP="00D53D69">
      <w:pPr>
        <w:pStyle w:val="Tekstpodstawowy"/>
      </w:pPr>
      <w:r>
        <w:t>Through the Innovative Medicines Initiative (IMI)</w:t>
      </w:r>
      <w:r w:rsidR="00C07E60">
        <w:t>, built upon by the Innovative Health Initiative</w:t>
      </w:r>
      <w:r w:rsidR="00010D3A">
        <w:t xml:space="preserve"> and other EU programmes</w:t>
      </w:r>
      <w:r>
        <w:t xml:space="preserve">, the EU </w:t>
      </w:r>
      <w:r w:rsidR="0088566B">
        <w:t xml:space="preserve">and EFPIA </w:t>
      </w:r>
      <w:r>
        <w:t xml:space="preserve">are already </w:t>
      </w:r>
      <w:r w:rsidR="0096776E">
        <w:t>supporting</w:t>
      </w:r>
      <w:r w:rsidR="003900C6">
        <w:t xml:space="preserve"> several of</w:t>
      </w:r>
      <w:r w:rsidR="0096776E">
        <w:t xml:space="preserve"> these initiatives through provision of research funding</w:t>
      </w:r>
      <w:r w:rsidR="003900C6">
        <w:t>, but there could be benefit from adopting a more proactive coordination role</w:t>
      </w:r>
      <w:r w:rsidR="0096776E">
        <w:t>.</w:t>
      </w:r>
      <w:r w:rsidR="003900C6">
        <w:t xml:space="preserve"> </w:t>
      </w:r>
      <w:r w:rsidR="00423B0F">
        <w:t>I</w:t>
      </w:r>
      <w:r w:rsidR="004C4BA7">
        <w:t>t could be useful</w:t>
      </w:r>
      <w:r w:rsidR="008A5623">
        <w:t xml:space="preserve"> </w:t>
      </w:r>
      <w:r w:rsidR="004C4BA7">
        <w:t xml:space="preserve">to develop </w:t>
      </w:r>
      <w:r w:rsidR="002027ED" w:rsidRPr="002027ED">
        <w:t>an audit of these largely national initiatives, identify</w:t>
      </w:r>
      <w:r w:rsidR="004C4BA7">
        <w:t>ing</w:t>
      </w:r>
      <w:r w:rsidR="002027ED" w:rsidRPr="002027ED">
        <w:t xml:space="preserve"> which business models stand out</w:t>
      </w:r>
      <w:r w:rsidR="002027ED">
        <w:t>,</w:t>
      </w:r>
      <w:r w:rsidR="002027ED" w:rsidRPr="002027ED">
        <w:t xml:space="preserve"> and suggest pan-</w:t>
      </w:r>
      <w:r w:rsidR="002027ED" w:rsidRPr="002027ED">
        <w:lastRenderedPageBreak/>
        <w:t>E</w:t>
      </w:r>
      <w:r w:rsidR="00FA2A54">
        <w:t>uropean</w:t>
      </w:r>
      <w:r w:rsidR="002027ED" w:rsidRPr="002027ED">
        <w:t xml:space="preserve"> strategies to fund and accelerate the adoption of similar models in other EU countries or to explore closer cross-country collaborations</w:t>
      </w:r>
      <w:r w:rsidR="00FA2A54">
        <w:t xml:space="preserve"> (</w:t>
      </w:r>
      <w:r w:rsidR="005B5355">
        <w:t>e.g.</w:t>
      </w:r>
      <w:r w:rsidR="00FA2A54">
        <w:t xml:space="preserve"> the original setup of the </w:t>
      </w:r>
      <w:r w:rsidR="00EF10FA">
        <w:t>Horizon</w:t>
      </w:r>
      <w:r w:rsidR="00FA2A54">
        <w:t xml:space="preserve"> research initiative including UK and Switzerland)</w:t>
      </w:r>
      <w:r w:rsidR="002027ED" w:rsidRPr="002027ED">
        <w:t xml:space="preserve">. </w:t>
      </w:r>
      <w:r w:rsidR="00E02F44">
        <w:t xml:space="preserve">There could also be a role for EU-led </w:t>
      </w:r>
      <w:r w:rsidR="002027ED" w:rsidRPr="002027ED">
        <w:t>benchmark</w:t>
      </w:r>
      <w:r w:rsidR="00E02F44">
        <w:t xml:space="preserve">ing of emerging European </w:t>
      </w:r>
      <w:r w:rsidR="004B7D03">
        <w:t>bi</w:t>
      </w:r>
      <w:r w:rsidR="00247D52">
        <w:t>o</w:t>
      </w:r>
      <w:r w:rsidR="004B7D03">
        <w:t xml:space="preserve">pharma </w:t>
      </w:r>
      <w:r w:rsidR="00E02F44">
        <w:t>companies</w:t>
      </w:r>
      <w:r w:rsidR="002027ED" w:rsidRPr="002027ED">
        <w:t xml:space="preserve"> against the emerging co</w:t>
      </w:r>
      <w:r w:rsidR="00E02F44">
        <w:t>mpanies</w:t>
      </w:r>
      <w:r w:rsidR="002027ED" w:rsidRPr="002027ED">
        <w:t xml:space="preserve"> from the US clusters to </w:t>
      </w:r>
      <w:r w:rsidR="00E02F44">
        <w:t>establish a long-term view of</w:t>
      </w:r>
      <w:r w:rsidR="004B7D03">
        <w:t xml:space="preserve"> Europe’s</w:t>
      </w:r>
      <w:r w:rsidR="00E02F44">
        <w:t xml:space="preserve"> </w:t>
      </w:r>
      <w:r w:rsidR="004B7D03">
        <w:t>performance and global competitiveness.</w:t>
      </w:r>
    </w:p>
    <w:p w14:paraId="0C36C344" w14:textId="7CDDBE8F" w:rsidR="00500B4A" w:rsidRPr="000A2E03" w:rsidRDefault="00020D31" w:rsidP="00500B4A">
      <w:pPr>
        <w:pStyle w:val="Tekstpodstawowy"/>
        <w:rPr>
          <w:b/>
          <w:bCs/>
          <w:color w:val="0073AE" w:themeColor="accent1"/>
          <w:u w:val="single"/>
        </w:rPr>
      </w:pPr>
      <w:r w:rsidRPr="000A2E03">
        <w:rPr>
          <w:b/>
          <w:bCs/>
          <w:color w:val="0073AE" w:themeColor="accent1"/>
          <w:u w:val="single"/>
        </w:rPr>
        <w:t>C</w:t>
      </w:r>
      <w:r w:rsidR="00500B4A" w:rsidRPr="000A2E03">
        <w:rPr>
          <w:b/>
          <w:bCs/>
          <w:color w:val="0073AE" w:themeColor="accent1"/>
          <w:u w:val="single"/>
        </w:rPr>
        <w:t xml:space="preserve">urrent policy </w:t>
      </w:r>
      <w:r w:rsidRPr="000A2E03">
        <w:rPr>
          <w:b/>
          <w:bCs/>
          <w:color w:val="0073AE" w:themeColor="accent1"/>
          <w:u w:val="single"/>
        </w:rPr>
        <w:t>priorities</w:t>
      </w:r>
    </w:p>
    <w:p w14:paraId="2BEDB749" w14:textId="3C300D1B" w:rsidR="00500B4A" w:rsidRPr="009F4D0F" w:rsidRDefault="004C041B" w:rsidP="00500B4A">
      <w:pPr>
        <w:pStyle w:val="Tekstpodstawowy"/>
      </w:pPr>
      <w:r>
        <w:t>The Pharmaceutical Strategy for Europe acknowledges the importance</w:t>
      </w:r>
      <w:r w:rsidR="007B4FFB">
        <w:t xml:space="preserve"> of </w:t>
      </w:r>
      <w:r w:rsidR="003A5537">
        <w:t>EU-level funding and national schemes to enable R&amp;D for small</w:t>
      </w:r>
      <w:r w:rsidR="00F436C6">
        <w:t>-</w:t>
      </w:r>
      <w:r w:rsidR="003A5537">
        <w:t xml:space="preserve"> and medium-sized companies</w:t>
      </w:r>
      <w:r w:rsidR="00F436C6">
        <w:t xml:space="preserve"> (SME)</w:t>
      </w:r>
      <w:r w:rsidR="003A5537">
        <w:t xml:space="preserve">. </w:t>
      </w:r>
      <w:r w:rsidR="00D12094">
        <w:t xml:space="preserve">Initiatives such as the </w:t>
      </w:r>
      <w:r w:rsidR="0011185E">
        <w:t xml:space="preserve">EU </w:t>
      </w:r>
      <w:r w:rsidR="00076FE5" w:rsidRPr="00076FE5">
        <w:t xml:space="preserve">SME </w:t>
      </w:r>
      <w:r w:rsidR="00F436C6">
        <w:t>S</w:t>
      </w:r>
      <w:r w:rsidR="00076FE5" w:rsidRPr="00076FE5">
        <w:t xml:space="preserve">trategy for a sustainable and digital Europe, </w:t>
      </w:r>
      <w:proofErr w:type="spellStart"/>
      <w:r w:rsidR="00076FE5" w:rsidRPr="00076FE5">
        <w:t>Startup</w:t>
      </w:r>
      <w:proofErr w:type="spellEnd"/>
      <w:r w:rsidR="00076FE5" w:rsidRPr="00076FE5">
        <w:t xml:space="preserve"> Europe, the European Innovation Council</w:t>
      </w:r>
      <w:r w:rsidR="00F436C6">
        <w:t>,</w:t>
      </w:r>
      <w:r w:rsidR="00076FE5" w:rsidRPr="00076FE5">
        <w:t xml:space="preserve"> and the European Institute of Innovation and </w:t>
      </w:r>
      <w:r w:rsidR="00076FE5">
        <w:t>T</w:t>
      </w:r>
      <w:r w:rsidR="00076FE5" w:rsidRPr="00076FE5">
        <w:t>echnology</w:t>
      </w:r>
      <w:r w:rsidR="00076FE5">
        <w:t xml:space="preserve"> are listed as </w:t>
      </w:r>
      <w:r w:rsidR="00657670">
        <w:t xml:space="preserve">tools for creating an environment conducive to the growth of </w:t>
      </w:r>
      <w:r w:rsidR="00626C4D">
        <w:t>emerging companies.</w:t>
      </w:r>
      <w:r w:rsidR="00785E25">
        <w:rPr>
          <w:rStyle w:val="Odwoanieprzypisudolnego"/>
        </w:rPr>
        <w:footnoteReference w:id="200"/>
      </w:r>
      <w:r w:rsidR="00626C4D">
        <w:t xml:space="preserve"> </w:t>
      </w:r>
      <w:r w:rsidR="00FE1425">
        <w:t xml:space="preserve">As these </w:t>
      </w:r>
      <w:r w:rsidR="005E38FB">
        <w:t>initiatives are already in place, and at the same time we observe the declining competitiveness of Europe</w:t>
      </w:r>
      <w:r w:rsidR="00C45370">
        <w:t xml:space="preserve"> in growing biopharma companies, a more critical look at the design and effectiveness of these </w:t>
      </w:r>
      <w:r w:rsidR="00785E25">
        <w:t>programmes in the context of the pharmaceutical industry may be warranted.</w:t>
      </w:r>
    </w:p>
    <w:p w14:paraId="7DCBFBAA" w14:textId="3C3AF80C" w:rsidR="00500B4A" w:rsidRPr="000A2E03" w:rsidRDefault="00D04E0D" w:rsidP="00D53D69">
      <w:pPr>
        <w:pStyle w:val="Tekstpodstawowy"/>
        <w:rPr>
          <w:vertAlign w:val="superscript"/>
        </w:rPr>
      </w:pPr>
      <w:r>
        <w:t xml:space="preserve">Within EU Member States, some positive trends can be observed in supporting the growth of small- and medium-sized companies. In Denmark, efforts have been channelled into growing new successful companies; approximately 200 new life sciences companies </w:t>
      </w:r>
      <w:r w:rsidR="0011185E">
        <w:t xml:space="preserve">were </w:t>
      </w:r>
      <w:r>
        <w:t>founded in the eastern Denmark cluster between 2017</w:t>
      </w:r>
      <w:r w:rsidR="0011185E">
        <w:t xml:space="preserve"> and </w:t>
      </w:r>
      <w:r>
        <w:t>2022. The success of Danish-headquartered companies has also been supported via the government-led ‘Innovation Centre Denmark’ in Boston, which aims to accelerate cooperation between the clusters and to support entry of Danish companies into the Boston area.</w:t>
      </w:r>
      <w:r>
        <w:rPr>
          <w:rStyle w:val="Odwoanieprzypisudolnego"/>
        </w:rPr>
        <w:footnoteReference w:id="201"/>
      </w:r>
      <w:r w:rsidRPr="00D53D69">
        <w:rPr>
          <w:vertAlign w:val="superscript"/>
        </w:rPr>
        <w:t>,</w:t>
      </w:r>
      <w:r>
        <w:rPr>
          <w:rStyle w:val="Odwoanieprzypisudolnego"/>
        </w:rPr>
        <w:footnoteReference w:id="202"/>
      </w:r>
    </w:p>
    <w:p w14:paraId="3177258D" w14:textId="30377D18" w:rsidR="000B2979" w:rsidRDefault="000A7218" w:rsidP="009F4D0F">
      <w:pPr>
        <w:pStyle w:val="Nagwek2"/>
        <w:suppressAutoHyphens/>
        <w:ind w:left="0" w:hanging="709"/>
      </w:pPr>
      <w:bookmarkStart w:id="209" w:name="_Toc115717791"/>
      <w:r>
        <w:t>Responding</w:t>
      </w:r>
      <w:r w:rsidRPr="000B2979">
        <w:t xml:space="preserve"> </w:t>
      </w:r>
      <w:r w:rsidR="000B2979" w:rsidRPr="000B2979">
        <w:t xml:space="preserve">to the impact of new </w:t>
      </w:r>
      <w:r w:rsidR="004C4BA7">
        <w:t>therapeutic solutions</w:t>
      </w:r>
      <w:r w:rsidR="000B2979" w:rsidRPr="000B2979">
        <w:t xml:space="preserve"> on dynamics and location of investment</w:t>
      </w:r>
      <w:r w:rsidR="0000341D">
        <w:t>, using ATMPs and digital technologies as examples</w:t>
      </w:r>
      <w:bookmarkEnd w:id="209"/>
    </w:p>
    <w:p w14:paraId="33A5C427" w14:textId="47B1EB0A" w:rsidR="00211C03" w:rsidRDefault="000C4D76" w:rsidP="000A2E03">
      <w:pPr>
        <w:pStyle w:val="Nagwek4"/>
      </w:pPr>
      <w:r>
        <w:t xml:space="preserve">Recommendation 3: </w:t>
      </w:r>
      <w:r w:rsidR="00093BB5" w:rsidRPr="00093BB5">
        <w:t>Rethink policies along the supply chain to attract ATMP investment in Europe</w:t>
      </w:r>
    </w:p>
    <w:p w14:paraId="51FE3D6A" w14:textId="2C0D145A" w:rsidR="006C2744" w:rsidRDefault="000C6F8D" w:rsidP="00BE62D0">
      <w:pPr>
        <w:pStyle w:val="Tekstpodstawowy"/>
      </w:pPr>
      <w:r>
        <w:t xml:space="preserve">The </w:t>
      </w:r>
      <w:r w:rsidR="004C2399">
        <w:t xml:space="preserve">importance of </w:t>
      </w:r>
      <w:r w:rsidR="00FF1BF3">
        <w:t>new</w:t>
      </w:r>
      <w:r w:rsidR="002E7846">
        <w:t xml:space="preserve"> </w:t>
      </w:r>
      <w:r w:rsidR="004C4BA7">
        <w:t>therapeutic solutions</w:t>
      </w:r>
      <w:r w:rsidR="007570C5">
        <w:t xml:space="preserve"> </w:t>
      </w:r>
      <w:r w:rsidR="004C2399">
        <w:t xml:space="preserve">in the industry </w:t>
      </w:r>
      <w:r>
        <w:t xml:space="preserve">pipeline </w:t>
      </w:r>
      <w:r w:rsidR="004C2399">
        <w:t>has</w:t>
      </w:r>
      <w:r>
        <w:t xml:space="preserve"> </w:t>
      </w:r>
      <w:r w:rsidR="004C2399">
        <w:t xml:space="preserve">clearly been </w:t>
      </w:r>
      <w:r>
        <w:t>growing</w:t>
      </w:r>
      <w:r w:rsidR="004C2399">
        <w:t xml:space="preserve"> for some time and will continue</w:t>
      </w:r>
      <w:r w:rsidR="00F15E26">
        <w:t xml:space="preserve"> to do so</w:t>
      </w:r>
      <w:r>
        <w:t>.</w:t>
      </w:r>
      <w:r w:rsidR="007570C5">
        <w:t xml:space="preserve"> In this report, we focus on ATMPs as a case study, given the wealth of recent data that are available for evaluation.</w:t>
      </w:r>
      <w:r>
        <w:t xml:space="preserve"> </w:t>
      </w:r>
      <w:r w:rsidR="005D3C40">
        <w:t xml:space="preserve">These data are serving as example for the entire landscape on biopharmaceutical innovation. </w:t>
      </w:r>
      <w:r w:rsidR="007B33AD">
        <w:t xml:space="preserve">In 2021, </w:t>
      </w:r>
      <w:r w:rsidR="00527FDB">
        <w:t xml:space="preserve">there were 804 </w:t>
      </w:r>
      <w:r w:rsidR="008D1B88">
        <w:t>next</w:t>
      </w:r>
      <w:r w:rsidR="00F15E26">
        <w:t>-</w:t>
      </w:r>
      <w:r w:rsidR="008D1B88">
        <w:t xml:space="preserve">generation </w:t>
      </w:r>
      <w:r w:rsidR="008F7F0F">
        <w:t>biotherapeutics (</w:t>
      </w:r>
      <w:r w:rsidR="00BE62D0">
        <w:t>defined as cell therapies, gene therapies, gene editing, nucleotide and RNA interference or mRNA therapies</w:t>
      </w:r>
      <w:r w:rsidR="007738F9">
        <w:t xml:space="preserve">) in </w:t>
      </w:r>
      <w:r w:rsidR="001E2315">
        <w:t>development</w:t>
      </w:r>
      <w:r w:rsidR="009A4921">
        <w:t xml:space="preserve"> from </w:t>
      </w:r>
      <w:r w:rsidR="009A4921">
        <w:lastRenderedPageBreak/>
        <w:t xml:space="preserve">Phase 1 through </w:t>
      </w:r>
      <w:r w:rsidR="001E2315">
        <w:t>filing with a regulatory agency.</w:t>
      </w:r>
      <w:r w:rsidR="001E2315">
        <w:rPr>
          <w:rStyle w:val="Odwoanieprzypisudolnego"/>
        </w:rPr>
        <w:footnoteReference w:id="203"/>
      </w:r>
      <w:r w:rsidR="00314C87">
        <w:t xml:space="preserve"> This represents a 27% </w:t>
      </w:r>
      <w:r w:rsidR="00F15E26">
        <w:t>compound annual growth rate (</w:t>
      </w:r>
      <w:r w:rsidR="00314C87">
        <w:t>CAGR</w:t>
      </w:r>
      <w:r w:rsidR="00F15E26">
        <w:t>)</w:t>
      </w:r>
      <w:r w:rsidR="00314C87">
        <w:t xml:space="preserve"> since 201</w:t>
      </w:r>
      <w:r w:rsidR="003B6408">
        <w:t xml:space="preserve">6. </w:t>
      </w:r>
      <w:r w:rsidR="00D94F8E">
        <w:t xml:space="preserve">As reviewed in Chapter 2 of this report, </w:t>
      </w:r>
      <w:r w:rsidR="00D27753">
        <w:t xml:space="preserve">we see that </w:t>
      </w:r>
      <w:r w:rsidR="003613B7">
        <w:t xml:space="preserve">Asia has been the most competitive region in attracting </w:t>
      </w:r>
      <w:r w:rsidR="00E51D6F">
        <w:t xml:space="preserve">ATMP clinical trials </w:t>
      </w:r>
      <w:r w:rsidR="005D6CEF">
        <w:t>for the last seven years</w:t>
      </w:r>
      <w:r w:rsidR="00946E23">
        <w:t>, and that</w:t>
      </w:r>
      <w:r w:rsidR="00747C3D">
        <w:t xml:space="preserve"> </w:t>
      </w:r>
      <w:r w:rsidR="00474B0C">
        <w:t>the number of trials conducted in Europe has fallen (</w:t>
      </w:r>
      <w:r w:rsidR="00474B0C" w:rsidRPr="000A2E03">
        <w:fldChar w:fldCharType="begin"/>
      </w:r>
      <w:r w:rsidR="00474B0C">
        <w:instrText xml:space="preserve"> REF _Ref109302197 \h </w:instrText>
      </w:r>
      <w:r w:rsidR="00474B0C" w:rsidRPr="000A2E03">
        <w:fldChar w:fldCharType="separate"/>
      </w:r>
      <w:r w:rsidR="006310F1">
        <w:t xml:space="preserve">Figure </w:t>
      </w:r>
      <w:r w:rsidR="006310F1">
        <w:rPr>
          <w:noProof/>
        </w:rPr>
        <w:t>5</w:t>
      </w:r>
      <w:r w:rsidR="00474B0C" w:rsidRPr="000A2E03">
        <w:fldChar w:fldCharType="end"/>
      </w:r>
      <w:r w:rsidR="00474B0C">
        <w:t>).</w:t>
      </w:r>
      <w:r w:rsidR="000D2B85">
        <w:t xml:space="preserve"> </w:t>
      </w:r>
      <w:r w:rsidR="00F15E26">
        <w:t xml:space="preserve">In </w:t>
      </w:r>
      <w:r w:rsidR="000D2B85">
        <w:t>manufacturing, the US leads</w:t>
      </w:r>
      <w:r w:rsidR="005D6CEF">
        <w:t>,</w:t>
      </w:r>
      <w:r w:rsidR="000D2B85">
        <w:t xml:space="preserve"> with </w:t>
      </w:r>
      <w:r w:rsidR="006250B4">
        <w:t xml:space="preserve">approximately 50% of the world’s </w:t>
      </w:r>
      <w:r w:rsidR="002956F1">
        <w:t>ATMP manufacturing facilities.</w:t>
      </w:r>
      <w:r w:rsidR="0041126E">
        <w:t xml:space="preserve"> There is</w:t>
      </w:r>
      <w:r w:rsidR="00BE5921">
        <w:t>,</w:t>
      </w:r>
      <w:r w:rsidR="0041126E">
        <w:t xml:space="preserve"> </w:t>
      </w:r>
      <w:r w:rsidR="002956F1">
        <w:t>therefore</w:t>
      </w:r>
      <w:r w:rsidR="00BE5921">
        <w:t>,</w:t>
      </w:r>
      <w:r w:rsidR="002956F1">
        <w:t xml:space="preserve"> </w:t>
      </w:r>
      <w:r w:rsidR="0041126E">
        <w:t xml:space="preserve">clearly </w:t>
      </w:r>
      <w:r w:rsidR="00F15E26">
        <w:t xml:space="preserve">a </w:t>
      </w:r>
      <w:r w:rsidR="0041126E">
        <w:t>high level of global competition</w:t>
      </w:r>
      <w:r w:rsidR="00474B0C">
        <w:t xml:space="preserve"> </w:t>
      </w:r>
      <w:r w:rsidR="002956F1">
        <w:t xml:space="preserve">for attracting </w:t>
      </w:r>
      <w:r w:rsidR="00BA4FA6">
        <w:t xml:space="preserve">investment from companies </w:t>
      </w:r>
      <w:r w:rsidR="006E42F4">
        <w:t xml:space="preserve">leading the next phase of biopharmaceutical </w:t>
      </w:r>
      <w:r w:rsidR="001737A5">
        <w:t>R&amp;D and production.</w:t>
      </w:r>
    </w:p>
    <w:p w14:paraId="2E96B796" w14:textId="2A2CE658" w:rsidR="00D17AA0" w:rsidRDefault="004C2399" w:rsidP="00BE62D0">
      <w:pPr>
        <w:pStyle w:val="Tekstpodstawowy"/>
      </w:pPr>
      <w:r>
        <w:t xml:space="preserve">There appears to be a view in the European policy debate that Europe can focus on elements of the value chain, </w:t>
      </w:r>
      <w:r w:rsidR="0009463F">
        <w:t>such as</w:t>
      </w:r>
      <w:r>
        <w:t xml:space="preserve"> manufacturing. However, for</w:t>
      </w:r>
      <w:r w:rsidR="00D17AA0">
        <w:t xml:space="preserve"> Europe to start </w:t>
      </w:r>
      <w:r w:rsidR="00A41328">
        <w:t>competing more effectively</w:t>
      </w:r>
      <w:r w:rsidR="009C1448">
        <w:t xml:space="preserve"> for ATMP </w:t>
      </w:r>
      <w:r w:rsidR="00A954DE">
        <w:t>investment</w:t>
      </w:r>
      <w:r w:rsidR="00A41328">
        <w:t xml:space="preserve">, </w:t>
      </w:r>
      <w:r w:rsidR="008424D8">
        <w:t xml:space="preserve">it </w:t>
      </w:r>
      <w:r>
        <w:t xml:space="preserve">needs to </w:t>
      </w:r>
      <w:r w:rsidR="008424D8">
        <w:t xml:space="preserve">recognise the </w:t>
      </w:r>
      <w:r>
        <w:t>increased</w:t>
      </w:r>
      <w:r w:rsidR="00CF1E72">
        <w:t xml:space="preserve"> complexity of the</w:t>
      </w:r>
      <w:r>
        <w:t>se</w:t>
      </w:r>
      <w:r w:rsidR="00CF1E72">
        <w:t xml:space="preserve"> </w:t>
      </w:r>
      <w:r>
        <w:t xml:space="preserve">new </w:t>
      </w:r>
      <w:r w:rsidR="00CF1E72">
        <w:t>technolog</w:t>
      </w:r>
      <w:r>
        <w:t>ies</w:t>
      </w:r>
      <w:r w:rsidR="00827E24">
        <w:t xml:space="preserve">, </w:t>
      </w:r>
      <w:r w:rsidR="00CF1E72">
        <w:t xml:space="preserve">and </w:t>
      </w:r>
      <w:r w:rsidR="00D06BE7">
        <w:t xml:space="preserve">the scientific and logistical precision </w:t>
      </w:r>
      <w:r w:rsidR="00605766">
        <w:t xml:space="preserve">required </w:t>
      </w:r>
      <w:r w:rsidR="00D06BE7">
        <w:t xml:space="preserve">to ensure </w:t>
      </w:r>
      <w:r w:rsidR="007B6E11">
        <w:t>effective</w:t>
      </w:r>
      <w:r w:rsidR="00F767B5">
        <w:t xml:space="preserve"> development</w:t>
      </w:r>
      <w:r w:rsidR="00E44F10">
        <w:t>, quality production and timely delivery to patients</w:t>
      </w:r>
      <w:r>
        <w:t>. This means</w:t>
      </w:r>
      <w:r w:rsidR="00E44F10">
        <w:t xml:space="preserve"> </w:t>
      </w:r>
      <w:r w:rsidR="009C5299">
        <w:t>the value</w:t>
      </w:r>
      <w:r w:rsidR="006E069A">
        <w:t xml:space="preserve"> </w:t>
      </w:r>
      <w:r w:rsidR="009C5299">
        <w:t xml:space="preserve">chain is </w:t>
      </w:r>
      <w:r>
        <w:t>likely</w:t>
      </w:r>
      <w:r w:rsidR="00662639">
        <w:t xml:space="preserve"> to be more interconnected</w:t>
      </w:r>
      <w:r w:rsidR="003F13A9">
        <w:t xml:space="preserve"> </w:t>
      </w:r>
      <w:r w:rsidR="00371003">
        <w:t>(</w:t>
      </w:r>
      <w:r w:rsidR="00371003" w:rsidRPr="000A2E03">
        <w:fldChar w:fldCharType="begin"/>
      </w:r>
      <w:r w:rsidR="00371003">
        <w:instrText xml:space="preserve"> REF _Ref109734246 \h </w:instrText>
      </w:r>
      <w:r w:rsidR="00371003" w:rsidRPr="000A2E03">
        <w:fldChar w:fldCharType="separate"/>
      </w:r>
      <w:r w:rsidR="006310F1">
        <w:t xml:space="preserve">Figure </w:t>
      </w:r>
      <w:r w:rsidR="006310F1">
        <w:rPr>
          <w:noProof/>
        </w:rPr>
        <w:t>19</w:t>
      </w:r>
      <w:r w:rsidR="00371003" w:rsidRPr="000A2E03">
        <w:fldChar w:fldCharType="end"/>
      </w:r>
      <w:r w:rsidR="00371003">
        <w:t>).</w:t>
      </w:r>
      <w:r w:rsidR="00827E24">
        <w:t xml:space="preserve"> </w:t>
      </w:r>
      <w:r w:rsidR="00BC4647">
        <w:t>When referring to interconnectivity, i</w:t>
      </w:r>
      <w:r w:rsidR="00E05346">
        <w:t xml:space="preserve">t is also important to distinguish between the implications for </w:t>
      </w:r>
      <w:r w:rsidR="00E05346" w:rsidRPr="00BE5921">
        <w:t>ex</w:t>
      </w:r>
      <w:r w:rsidR="00BE5921" w:rsidRPr="00BE5921">
        <w:t xml:space="preserve"> </w:t>
      </w:r>
      <w:r w:rsidR="00E05346" w:rsidRPr="00BE5921">
        <w:t>vivo</w:t>
      </w:r>
      <w:r w:rsidR="00E05346" w:rsidRPr="002823BC">
        <w:rPr>
          <w:i/>
          <w:iCs/>
        </w:rPr>
        <w:t xml:space="preserve"> </w:t>
      </w:r>
      <w:r w:rsidR="00E05346">
        <w:t xml:space="preserve">and </w:t>
      </w:r>
      <w:r w:rsidR="00E05346" w:rsidRPr="00BE5921">
        <w:t>in</w:t>
      </w:r>
      <w:r w:rsidR="00BE5921" w:rsidRPr="00BE5921">
        <w:t xml:space="preserve"> </w:t>
      </w:r>
      <w:r w:rsidR="00E05346" w:rsidRPr="00BE5921">
        <w:t>vivo</w:t>
      </w:r>
      <w:r w:rsidR="00E05346">
        <w:t xml:space="preserve"> technologies (as described in Chapter 3)</w:t>
      </w:r>
      <w:r w:rsidR="00BC4647">
        <w:t>. Close proximity and connection to the patient population</w:t>
      </w:r>
      <w:r w:rsidR="00C83E9E">
        <w:t>, for clinical trials and commercial launch,</w:t>
      </w:r>
      <w:r w:rsidR="00BC4647">
        <w:t xml:space="preserve"> is critical for ex</w:t>
      </w:r>
      <w:r w:rsidR="00BE5921">
        <w:t xml:space="preserve"> </w:t>
      </w:r>
      <w:r w:rsidR="00BC4647">
        <w:t>vivo technologies</w:t>
      </w:r>
      <w:r w:rsidR="00C83E9E">
        <w:t xml:space="preserve"> as these</w:t>
      </w:r>
      <w:r w:rsidR="00BC4647">
        <w:t xml:space="preserve"> rely on </w:t>
      </w:r>
      <w:r w:rsidR="00C00AC3">
        <w:t>tissues extracted from patients. For both ex</w:t>
      </w:r>
      <w:r w:rsidR="00BE5921">
        <w:t xml:space="preserve"> </w:t>
      </w:r>
      <w:r w:rsidR="00C00AC3">
        <w:t>vivo and in</w:t>
      </w:r>
      <w:r w:rsidR="00BE5921">
        <w:t xml:space="preserve"> </w:t>
      </w:r>
      <w:r w:rsidR="00C00AC3">
        <w:t xml:space="preserve">vivo technologies, </w:t>
      </w:r>
      <w:r w:rsidR="002E156C">
        <w:t xml:space="preserve">proximity with the patient population is not a deciding factor </w:t>
      </w:r>
      <w:r w:rsidR="00BD2915">
        <w:t>for</w:t>
      </w:r>
      <w:r w:rsidR="002E156C">
        <w:t xml:space="preserve"> the location of investment, but interconnectedness with the right labour pool and knowledge-sharing across the value</w:t>
      </w:r>
      <w:r w:rsidR="006E069A">
        <w:t xml:space="preserve"> </w:t>
      </w:r>
      <w:r w:rsidR="002E156C">
        <w:t xml:space="preserve">chain (e.g. between </w:t>
      </w:r>
      <w:r w:rsidR="00C83E9E">
        <w:t>early research, process development and manufacturing)</w:t>
      </w:r>
      <w:r w:rsidR="004336C9">
        <w:t xml:space="preserve"> bring substantial benefits.</w:t>
      </w:r>
    </w:p>
    <w:p w14:paraId="57CD64D4" w14:textId="46633A28" w:rsidR="00ED14AD" w:rsidRDefault="00ED14AD" w:rsidP="00ED14AD">
      <w:pPr>
        <w:pStyle w:val="Legenda"/>
      </w:pPr>
      <w:bookmarkStart w:id="210" w:name="_Ref109734246"/>
      <w:bookmarkStart w:id="211" w:name="_Toc115717812"/>
      <w:r>
        <w:t xml:space="preserve">Figure </w:t>
      </w:r>
      <w:r w:rsidR="00F64CC5" w:rsidRPr="000A2E03">
        <w:fldChar w:fldCharType="begin"/>
      </w:r>
      <w:r w:rsidR="00F64CC5">
        <w:instrText xml:space="preserve"> SEQ Figure \* ARABIC </w:instrText>
      </w:r>
      <w:r w:rsidR="00F64CC5" w:rsidRPr="000A2E03">
        <w:fldChar w:fldCharType="separate"/>
      </w:r>
      <w:r w:rsidR="006310F1">
        <w:rPr>
          <w:noProof/>
        </w:rPr>
        <w:t>19</w:t>
      </w:r>
      <w:r w:rsidR="00F64CC5" w:rsidRPr="000A2E03">
        <w:fldChar w:fldCharType="end"/>
      </w:r>
      <w:bookmarkEnd w:id="210"/>
      <w:r>
        <w:t xml:space="preserve">: </w:t>
      </w:r>
      <w:r w:rsidR="008C0DAE">
        <w:t>Th</w:t>
      </w:r>
      <w:r w:rsidR="009808A4">
        <w:t>ere is a degree of interconnectivity in the value chain for ATMPs, between research, clinical development and manufacturing</w:t>
      </w:r>
      <w:bookmarkEnd w:id="211"/>
    </w:p>
    <w:p w14:paraId="1B4096A1" w14:textId="5B117D6F" w:rsidR="00BF0F7E" w:rsidRDefault="00BF0F7E" w:rsidP="00EC179C">
      <w:pPr>
        <w:pStyle w:val="Tekstpodstawowy"/>
        <w:rPr>
          <w:color w:val="FF0000"/>
        </w:rPr>
      </w:pPr>
      <w:r>
        <w:rPr>
          <w:noProof/>
          <w:color w:val="FF0000"/>
        </w:rPr>
        <w:drawing>
          <wp:inline distT="0" distB="0" distL="0" distR="0" wp14:anchorId="22B9A024" wp14:editId="0EE0A21F">
            <wp:extent cx="5078762" cy="2856506"/>
            <wp:effectExtent l="19050" t="19050" r="26670"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9075" cy="2867931"/>
                    </a:xfrm>
                    <a:prstGeom prst="rect">
                      <a:avLst/>
                    </a:prstGeom>
                    <a:noFill/>
                    <a:ln>
                      <a:solidFill>
                        <a:schemeClr val="tx2"/>
                      </a:solidFill>
                    </a:ln>
                  </pic:spPr>
                </pic:pic>
              </a:graphicData>
            </a:graphic>
          </wp:inline>
        </w:drawing>
      </w:r>
    </w:p>
    <w:p w14:paraId="403B270E" w14:textId="30DF834F" w:rsidR="004C2399" w:rsidRDefault="004C2399" w:rsidP="00EC179C">
      <w:pPr>
        <w:pStyle w:val="Tekstpodstawowy"/>
        <w:rPr>
          <w:color w:val="000000" w:themeColor="text1"/>
        </w:rPr>
      </w:pPr>
      <w:r w:rsidRPr="00D53D69">
        <w:rPr>
          <w:sz w:val="16"/>
          <w:szCs w:val="16"/>
        </w:rPr>
        <w:t>Source:</w:t>
      </w:r>
      <w:r>
        <w:rPr>
          <w:sz w:val="16"/>
          <w:szCs w:val="16"/>
        </w:rPr>
        <w:t xml:space="preserve"> Interviews with companies locating activities associated to ATMPs</w:t>
      </w:r>
    </w:p>
    <w:p w14:paraId="27481D30" w14:textId="178D780A" w:rsidR="006F1C2B" w:rsidRDefault="003E5F06" w:rsidP="00EC179C">
      <w:pPr>
        <w:pStyle w:val="Tekstpodstawowy"/>
        <w:rPr>
          <w:color w:val="000000" w:themeColor="text1"/>
        </w:rPr>
      </w:pPr>
      <w:r>
        <w:rPr>
          <w:color w:val="000000" w:themeColor="text1"/>
        </w:rPr>
        <w:lastRenderedPageBreak/>
        <w:t xml:space="preserve">Competing globally for investment starts with attracting research. </w:t>
      </w:r>
      <w:r w:rsidR="00194CBD">
        <w:rPr>
          <w:color w:val="000000" w:themeColor="text1"/>
        </w:rPr>
        <w:t xml:space="preserve">Private investment into </w:t>
      </w:r>
      <w:r w:rsidR="00D91EB1">
        <w:rPr>
          <w:color w:val="000000" w:themeColor="text1"/>
        </w:rPr>
        <w:t xml:space="preserve">ATMP research </w:t>
      </w:r>
      <w:r w:rsidR="00194CBD">
        <w:rPr>
          <w:color w:val="000000" w:themeColor="text1"/>
        </w:rPr>
        <w:t xml:space="preserve">is primarily </w:t>
      </w:r>
      <w:r w:rsidR="009C3416">
        <w:rPr>
          <w:color w:val="000000" w:themeColor="text1"/>
        </w:rPr>
        <w:t xml:space="preserve">drawn </w:t>
      </w:r>
      <w:r w:rsidR="00194CBD">
        <w:rPr>
          <w:color w:val="000000" w:themeColor="text1"/>
        </w:rPr>
        <w:t>to where the academic expertise exists and is supported by</w:t>
      </w:r>
      <w:r w:rsidR="00152793">
        <w:rPr>
          <w:color w:val="000000" w:themeColor="text1"/>
        </w:rPr>
        <w:t xml:space="preserve"> a</w:t>
      </w:r>
      <w:r w:rsidR="009B26C6">
        <w:rPr>
          <w:color w:val="000000" w:themeColor="text1"/>
        </w:rPr>
        <w:t xml:space="preserve"> well-developed, innovation-oriented ecosystem.</w:t>
      </w:r>
      <w:r w:rsidR="00936269">
        <w:rPr>
          <w:color w:val="000000" w:themeColor="text1"/>
        </w:rPr>
        <w:t xml:space="preserve"> Europe </w:t>
      </w:r>
      <w:r w:rsidR="0066479F">
        <w:rPr>
          <w:color w:val="000000" w:themeColor="text1"/>
        </w:rPr>
        <w:t>performs strongly in academic research for</w:t>
      </w:r>
      <w:r w:rsidR="005B459A">
        <w:rPr>
          <w:color w:val="000000" w:themeColor="text1"/>
        </w:rPr>
        <w:t xml:space="preserve"> ATMPs</w:t>
      </w:r>
      <w:r w:rsidR="0066479F">
        <w:rPr>
          <w:color w:val="000000" w:themeColor="text1"/>
        </w:rPr>
        <w:t xml:space="preserve">, </w:t>
      </w:r>
      <w:r w:rsidR="00AD7B89">
        <w:rPr>
          <w:color w:val="000000" w:themeColor="text1"/>
        </w:rPr>
        <w:t xml:space="preserve">with European institutions </w:t>
      </w:r>
      <w:r w:rsidR="00531B49">
        <w:rPr>
          <w:color w:val="000000" w:themeColor="text1"/>
        </w:rPr>
        <w:t xml:space="preserve">authoring </w:t>
      </w:r>
      <w:r w:rsidR="005B7DA8">
        <w:rPr>
          <w:color w:val="000000" w:themeColor="text1"/>
        </w:rPr>
        <w:t>48</w:t>
      </w:r>
      <w:r w:rsidR="00531B49">
        <w:rPr>
          <w:color w:val="000000" w:themeColor="text1"/>
        </w:rPr>
        <w:t xml:space="preserve">,000 more </w:t>
      </w:r>
      <w:r w:rsidR="00AD7B89">
        <w:rPr>
          <w:color w:val="000000" w:themeColor="text1"/>
        </w:rPr>
        <w:t xml:space="preserve">publications </w:t>
      </w:r>
      <w:r w:rsidR="006B2A4A">
        <w:rPr>
          <w:color w:val="000000" w:themeColor="text1"/>
        </w:rPr>
        <w:t xml:space="preserve">than the US between 2017 and 2019, and </w:t>
      </w:r>
      <w:r w:rsidR="005B7DA8">
        <w:rPr>
          <w:color w:val="000000" w:themeColor="text1"/>
        </w:rPr>
        <w:t>20,000 more than China.</w:t>
      </w:r>
      <w:r w:rsidR="005B7DA8">
        <w:rPr>
          <w:rStyle w:val="Odwoanieprzypisudolnego"/>
          <w:color w:val="000000" w:themeColor="text1"/>
        </w:rPr>
        <w:footnoteReference w:id="204"/>
      </w:r>
      <w:r w:rsidR="009A3D05">
        <w:rPr>
          <w:color w:val="000000" w:themeColor="text1"/>
        </w:rPr>
        <w:t xml:space="preserve"> This provides a</w:t>
      </w:r>
      <w:r w:rsidR="00F5660E">
        <w:rPr>
          <w:color w:val="000000" w:themeColor="text1"/>
        </w:rPr>
        <w:t xml:space="preserve"> highly educated, highly trained </w:t>
      </w:r>
      <w:r w:rsidR="00D90E3B">
        <w:rPr>
          <w:color w:val="000000" w:themeColor="text1"/>
        </w:rPr>
        <w:t xml:space="preserve">workforce for </w:t>
      </w:r>
      <w:r w:rsidR="00D7165A">
        <w:rPr>
          <w:color w:val="000000" w:themeColor="text1"/>
        </w:rPr>
        <w:t xml:space="preserve">biopharma companies. Where Europe lags behind the US is in the supportiveness of the broader ecosystem. </w:t>
      </w:r>
      <w:r w:rsidR="00B36E73">
        <w:rPr>
          <w:color w:val="000000" w:themeColor="text1"/>
        </w:rPr>
        <w:t xml:space="preserve">The success of </w:t>
      </w:r>
      <w:r w:rsidR="00425556">
        <w:rPr>
          <w:color w:val="000000" w:themeColor="text1"/>
        </w:rPr>
        <w:t>supportive ecosyst</w:t>
      </w:r>
      <w:r w:rsidR="005B459A">
        <w:rPr>
          <w:color w:val="000000" w:themeColor="text1"/>
        </w:rPr>
        <w:t>e</w:t>
      </w:r>
      <w:r w:rsidR="00425556">
        <w:rPr>
          <w:color w:val="000000" w:themeColor="text1"/>
        </w:rPr>
        <w:t>ms</w:t>
      </w:r>
      <w:r w:rsidR="006F4CC3">
        <w:rPr>
          <w:color w:val="000000" w:themeColor="text1"/>
        </w:rPr>
        <w:t xml:space="preserve"> in attracting investment is evident in the emergence and growth </w:t>
      </w:r>
      <w:r w:rsidR="00425556">
        <w:rPr>
          <w:color w:val="000000" w:themeColor="text1"/>
        </w:rPr>
        <w:t xml:space="preserve">of </w:t>
      </w:r>
      <w:r w:rsidR="00207224">
        <w:rPr>
          <w:color w:val="000000" w:themeColor="text1"/>
        </w:rPr>
        <w:t xml:space="preserve">a </w:t>
      </w:r>
      <w:r w:rsidR="00425556">
        <w:rPr>
          <w:color w:val="000000" w:themeColor="text1"/>
        </w:rPr>
        <w:t xml:space="preserve">few key </w:t>
      </w:r>
      <w:r w:rsidR="005B459A">
        <w:rPr>
          <w:color w:val="000000" w:themeColor="text1"/>
        </w:rPr>
        <w:t>ATMP</w:t>
      </w:r>
      <w:r w:rsidR="002773E8">
        <w:rPr>
          <w:color w:val="000000" w:themeColor="text1"/>
        </w:rPr>
        <w:t xml:space="preserve"> </w:t>
      </w:r>
      <w:r w:rsidR="00425556">
        <w:rPr>
          <w:color w:val="000000" w:themeColor="text1"/>
        </w:rPr>
        <w:t xml:space="preserve">clusters, </w:t>
      </w:r>
      <w:r w:rsidR="00FD6D84">
        <w:rPr>
          <w:color w:val="000000" w:themeColor="text1"/>
        </w:rPr>
        <w:t xml:space="preserve">for example in Boston and </w:t>
      </w:r>
      <w:r w:rsidR="00442083">
        <w:rPr>
          <w:color w:val="000000" w:themeColor="text1"/>
        </w:rPr>
        <w:t>North Carolina</w:t>
      </w:r>
      <w:r w:rsidR="00B312CD">
        <w:rPr>
          <w:color w:val="000000" w:themeColor="text1"/>
        </w:rPr>
        <w:t xml:space="preserve">, where investing companies </w:t>
      </w:r>
      <w:r w:rsidR="0034138D">
        <w:rPr>
          <w:color w:val="000000" w:themeColor="text1"/>
        </w:rPr>
        <w:t xml:space="preserve">can </w:t>
      </w:r>
      <w:r w:rsidR="00F32547">
        <w:rPr>
          <w:color w:val="000000" w:themeColor="text1"/>
        </w:rPr>
        <w:t>establish partnerships with leading universities, medical schools and hospitals, and access the facilities of incubators</w:t>
      </w:r>
      <w:r w:rsidR="0009463F">
        <w:rPr>
          <w:color w:val="000000" w:themeColor="text1"/>
        </w:rPr>
        <w:t xml:space="preserve">, </w:t>
      </w:r>
      <w:r w:rsidR="00F32547">
        <w:rPr>
          <w:color w:val="000000" w:themeColor="text1"/>
        </w:rPr>
        <w:t>accelerators and research parks</w:t>
      </w:r>
      <w:r w:rsidR="00FD6D84">
        <w:rPr>
          <w:color w:val="000000" w:themeColor="text1"/>
        </w:rPr>
        <w:t>.</w:t>
      </w:r>
      <w:r w:rsidR="00F32547">
        <w:rPr>
          <w:rStyle w:val="Odwoanieprzypisudolnego"/>
          <w:color w:val="000000" w:themeColor="text1"/>
        </w:rPr>
        <w:footnoteReference w:id="205"/>
      </w:r>
      <w:r w:rsidR="00FD6D84">
        <w:rPr>
          <w:color w:val="000000" w:themeColor="text1"/>
        </w:rPr>
        <w:t xml:space="preserve"> </w:t>
      </w:r>
    </w:p>
    <w:p w14:paraId="3C198020" w14:textId="08139FCF" w:rsidR="00654351" w:rsidRDefault="00C04ECA" w:rsidP="00EC179C">
      <w:pPr>
        <w:pStyle w:val="Tekstpodstawowy"/>
        <w:rPr>
          <w:color w:val="FF0000"/>
        </w:rPr>
      </w:pPr>
      <w:r>
        <w:rPr>
          <w:color w:val="000000" w:themeColor="text1"/>
        </w:rPr>
        <w:t>IMP manufacturing</w:t>
      </w:r>
      <w:r w:rsidR="00565060">
        <w:rPr>
          <w:color w:val="000000" w:themeColor="text1"/>
        </w:rPr>
        <w:t xml:space="preserve"> for ATMPs</w:t>
      </w:r>
      <w:r w:rsidR="005D3C40">
        <w:rPr>
          <w:color w:val="000000" w:themeColor="text1"/>
        </w:rPr>
        <w:t xml:space="preserve">, </w:t>
      </w:r>
      <w:r w:rsidR="00A95B66">
        <w:rPr>
          <w:color w:val="000000" w:themeColor="text1"/>
        </w:rPr>
        <w:t xml:space="preserve">which </w:t>
      </w:r>
      <w:r w:rsidR="009335B9">
        <w:rPr>
          <w:color w:val="000000" w:themeColor="text1"/>
        </w:rPr>
        <w:t>occurs at a lower production scale and relies on</w:t>
      </w:r>
      <w:r w:rsidR="005D3C40">
        <w:rPr>
          <w:color w:val="000000" w:themeColor="text1"/>
        </w:rPr>
        <w:t xml:space="preserve"> specific, innovative techniques,</w:t>
      </w:r>
      <w:r>
        <w:rPr>
          <w:color w:val="000000" w:themeColor="text1"/>
        </w:rPr>
        <w:t xml:space="preserve"> is </w:t>
      </w:r>
      <w:r w:rsidR="00BF7DB2">
        <w:rPr>
          <w:color w:val="000000" w:themeColor="text1"/>
        </w:rPr>
        <w:t>likely to be co-located with research activities</w:t>
      </w:r>
      <w:r w:rsidR="00565060">
        <w:rPr>
          <w:color w:val="000000" w:themeColor="text1"/>
        </w:rPr>
        <w:t>. E</w:t>
      </w:r>
      <w:r w:rsidR="00AA5B22">
        <w:rPr>
          <w:color w:val="000000" w:themeColor="text1"/>
        </w:rPr>
        <w:t xml:space="preserve">ven more than biologics, </w:t>
      </w:r>
      <w:r w:rsidR="00565060">
        <w:rPr>
          <w:color w:val="000000" w:themeColor="text1"/>
        </w:rPr>
        <w:t xml:space="preserve">for </w:t>
      </w:r>
      <w:r w:rsidR="003B498E">
        <w:rPr>
          <w:color w:val="000000" w:themeColor="text1"/>
        </w:rPr>
        <w:t xml:space="preserve">ATMPs </w:t>
      </w:r>
      <w:r w:rsidR="000B71C6">
        <w:t xml:space="preserve">“the process is the product” and </w:t>
      </w:r>
      <w:r w:rsidR="00CC41A9">
        <w:t>ability to transfer and share knowledge iteratively with research staff during the development of production processes is critical.</w:t>
      </w:r>
      <w:r w:rsidR="00CC41A9">
        <w:rPr>
          <w:rStyle w:val="Odwoanieprzypisudolnego"/>
        </w:rPr>
        <w:footnoteReference w:id="206"/>
      </w:r>
      <w:r w:rsidR="00BD0C88">
        <w:t xml:space="preserve"> This </w:t>
      </w:r>
      <w:r w:rsidR="00B54A4F">
        <w:t xml:space="preserve">is consistent with broader </w:t>
      </w:r>
      <w:r w:rsidR="00B54A4F" w:rsidRPr="00D53D69">
        <w:rPr>
          <w:color w:val="000000" w:themeColor="text1"/>
        </w:rPr>
        <w:t>literature that finds that</w:t>
      </w:r>
      <w:r w:rsidR="00CC41A9" w:rsidRPr="00D53D69">
        <w:rPr>
          <w:color w:val="000000" w:themeColor="text1"/>
        </w:rPr>
        <w:t xml:space="preserve"> </w:t>
      </w:r>
      <w:r w:rsidR="00B54A4F" w:rsidRPr="00D53D69">
        <w:rPr>
          <w:color w:val="000000" w:themeColor="text1"/>
        </w:rPr>
        <w:t>“t</w:t>
      </w:r>
      <w:r w:rsidR="00BD0C88" w:rsidRPr="00D53D69">
        <w:rPr>
          <w:color w:val="000000" w:themeColor="text1"/>
        </w:rPr>
        <w:t>he complexity of products and processes, the increasing rate of industry change and new product introduction, low maturity of production process and low degree of modularity are factors that may increase the need of proximity”</w:t>
      </w:r>
      <w:r w:rsidR="00B54A4F" w:rsidRPr="00D53D69">
        <w:rPr>
          <w:color w:val="000000" w:themeColor="text1"/>
        </w:rPr>
        <w:t xml:space="preserve"> of R&amp;D and production.</w:t>
      </w:r>
      <w:r w:rsidR="002E1F45">
        <w:rPr>
          <w:rStyle w:val="Odwoanieprzypisudolnego"/>
          <w:color w:val="000000" w:themeColor="text1"/>
        </w:rPr>
        <w:footnoteReference w:id="207"/>
      </w:r>
      <w:r w:rsidR="00041A81" w:rsidRPr="00D2528A">
        <w:rPr>
          <w:color w:val="000000" w:themeColor="text1"/>
        </w:rPr>
        <w:t xml:space="preserve"> </w:t>
      </w:r>
      <w:r w:rsidR="00B207B3">
        <w:t>We</w:t>
      </w:r>
      <w:r w:rsidR="00252278">
        <w:t xml:space="preserve"> also</w:t>
      </w:r>
      <w:r w:rsidR="00B207B3">
        <w:t xml:space="preserve"> see </w:t>
      </w:r>
      <w:r w:rsidR="002B29F5">
        <w:t xml:space="preserve">co-location </w:t>
      </w:r>
      <w:r w:rsidR="00B207B3">
        <w:t>evidenced in the US:</w:t>
      </w:r>
    </w:p>
    <w:p w14:paraId="1470C585" w14:textId="2942E8B5" w:rsidR="00654351" w:rsidRDefault="002E5A92" w:rsidP="000A2E03">
      <w:pPr>
        <w:pStyle w:val="Tekstpodstawowy"/>
        <w:numPr>
          <w:ilvl w:val="0"/>
          <w:numId w:val="158"/>
        </w:numPr>
        <w:rPr>
          <w:color w:val="000000" w:themeColor="text1"/>
        </w:rPr>
      </w:pPr>
      <w:r>
        <w:rPr>
          <w:color w:val="000000" w:themeColor="text1"/>
        </w:rPr>
        <w:t>In 20</w:t>
      </w:r>
      <w:r w:rsidR="00C000EB">
        <w:rPr>
          <w:color w:val="000000" w:themeColor="text1"/>
        </w:rPr>
        <w:t>21</w:t>
      </w:r>
      <w:r>
        <w:rPr>
          <w:color w:val="000000" w:themeColor="text1"/>
        </w:rPr>
        <w:t xml:space="preserve">, </w:t>
      </w:r>
      <w:r w:rsidR="00AB276D">
        <w:rPr>
          <w:color w:val="000000" w:themeColor="text1"/>
        </w:rPr>
        <w:t xml:space="preserve">the </w:t>
      </w:r>
      <w:proofErr w:type="spellStart"/>
      <w:r w:rsidR="00AB276D">
        <w:rPr>
          <w:color w:val="000000" w:themeColor="text1"/>
        </w:rPr>
        <w:t>Cent</w:t>
      </w:r>
      <w:r w:rsidR="000B42E1">
        <w:rPr>
          <w:color w:val="000000" w:themeColor="text1"/>
        </w:rPr>
        <w:t>er</w:t>
      </w:r>
      <w:proofErr w:type="spellEnd"/>
      <w:r w:rsidR="00AB276D">
        <w:rPr>
          <w:color w:val="000000" w:themeColor="text1"/>
        </w:rPr>
        <w:t xml:space="preserve"> for Advanced Biological Innovation and Manufacturing (CABIM)</w:t>
      </w:r>
      <w:r w:rsidR="00C000EB">
        <w:rPr>
          <w:color w:val="000000" w:themeColor="text1"/>
        </w:rPr>
        <w:t xml:space="preserve">, </w:t>
      </w:r>
      <w:r w:rsidR="00F40344">
        <w:rPr>
          <w:color w:val="000000" w:themeColor="text1"/>
        </w:rPr>
        <w:t xml:space="preserve">a public-private partnership </w:t>
      </w:r>
      <w:r w:rsidR="00C000EB" w:rsidRPr="00C000EB">
        <w:rPr>
          <w:color w:val="000000" w:themeColor="text1"/>
        </w:rPr>
        <w:t>led by Harvard and the Massachusetts Institute of Technolog</w:t>
      </w:r>
      <w:r w:rsidR="00C000EB">
        <w:rPr>
          <w:color w:val="000000" w:themeColor="text1"/>
        </w:rPr>
        <w:t>y</w:t>
      </w:r>
      <w:r w:rsidR="005B459A">
        <w:rPr>
          <w:color w:val="000000" w:themeColor="text1"/>
        </w:rPr>
        <w:t xml:space="preserve"> (MIT)</w:t>
      </w:r>
      <w:r w:rsidR="00C000EB">
        <w:rPr>
          <w:color w:val="000000" w:themeColor="text1"/>
        </w:rPr>
        <w:t xml:space="preserve">, announced the </w:t>
      </w:r>
      <w:r w:rsidR="00370E10">
        <w:rPr>
          <w:color w:val="000000" w:themeColor="text1"/>
        </w:rPr>
        <w:t xml:space="preserve">acquisition of a site in Massachusetts </w:t>
      </w:r>
      <w:r w:rsidR="008945BB">
        <w:rPr>
          <w:color w:val="000000" w:themeColor="text1"/>
        </w:rPr>
        <w:t xml:space="preserve">that will contain both </w:t>
      </w:r>
      <w:r w:rsidR="008A7245" w:rsidRPr="00D53D69">
        <w:rPr>
          <w:i/>
          <w:iCs/>
          <w:color w:val="000000" w:themeColor="text1"/>
        </w:rPr>
        <w:t xml:space="preserve">research and manufacturing </w:t>
      </w:r>
      <w:r w:rsidR="00510B32" w:rsidRPr="00D53D69">
        <w:rPr>
          <w:i/>
          <w:iCs/>
          <w:color w:val="000000" w:themeColor="text1"/>
        </w:rPr>
        <w:t>facilities</w:t>
      </w:r>
      <w:r w:rsidR="00B65004">
        <w:rPr>
          <w:color w:val="000000" w:themeColor="text1"/>
        </w:rPr>
        <w:t xml:space="preserve"> to provide a bridge between </w:t>
      </w:r>
      <w:r w:rsidR="00E51AA6">
        <w:rPr>
          <w:color w:val="000000" w:themeColor="text1"/>
        </w:rPr>
        <w:t>academic research and private investment.</w:t>
      </w:r>
      <w:r w:rsidR="002B29F5">
        <w:rPr>
          <w:rStyle w:val="Odwoanieprzypisudolnego"/>
          <w:color w:val="000000" w:themeColor="text1"/>
        </w:rPr>
        <w:footnoteReference w:id="208"/>
      </w:r>
    </w:p>
    <w:p w14:paraId="1B90BD3E" w14:textId="13F8FA56" w:rsidR="00D7195F" w:rsidRPr="00654351" w:rsidRDefault="005120DD" w:rsidP="000A2E03">
      <w:pPr>
        <w:pStyle w:val="Tekstpodstawowy"/>
        <w:numPr>
          <w:ilvl w:val="0"/>
          <w:numId w:val="158"/>
        </w:numPr>
        <w:rPr>
          <w:color w:val="000000" w:themeColor="text1"/>
        </w:rPr>
      </w:pPr>
      <w:r w:rsidRPr="00654351">
        <w:rPr>
          <w:color w:val="000000" w:themeColor="text1"/>
        </w:rPr>
        <w:t>In 2022, V</w:t>
      </w:r>
      <w:r w:rsidR="0050269A" w:rsidRPr="00654351">
        <w:rPr>
          <w:color w:val="000000" w:themeColor="text1"/>
        </w:rPr>
        <w:t>ertex</w:t>
      </w:r>
      <w:r w:rsidRPr="00654351">
        <w:rPr>
          <w:color w:val="000000" w:themeColor="text1"/>
        </w:rPr>
        <w:t xml:space="preserve"> opened a</w:t>
      </w:r>
      <w:r w:rsidR="00B71B2C" w:rsidRPr="00654351">
        <w:rPr>
          <w:color w:val="000000" w:themeColor="text1"/>
        </w:rPr>
        <w:t xml:space="preserve"> new </w:t>
      </w:r>
      <w:r w:rsidR="00A3472F" w:rsidRPr="00654351">
        <w:rPr>
          <w:color w:val="000000" w:themeColor="text1"/>
        </w:rPr>
        <w:t xml:space="preserve">ATMP </w:t>
      </w:r>
      <w:r w:rsidR="00B71B2C" w:rsidRPr="00654351">
        <w:rPr>
          <w:i/>
          <w:iCs/>
          <w:color w:val="000000" w:themeColor="text1"/>
        </w:rPr>
        <w:t>research and clinical manufacturing site</w:t>
      </w:r>
      <w:r w:rsidR="00B71B2C" w:rsidRPr="00654351">
        <w:rPr>
          <w:color w:val="000000" w:themeColor="text1"/>
        </w:rPr>
        <w:t xml:space="preserve"> in the Boston cluster</w:t>
      </w:r>
      <w:r w:rsidR="00DE2DA6" w:rsidRPr="00654351">
        <w:rPr>
          <w:color w:val="000000" w:themeColor="text1"/>
        </w:rPr>
        <w:t xml:space="preserve"> and at the same time announc</w:t>
      </w:r>
      <w:r w:rsidR="0097022B" w:rsidRPr="00654351">
        <w:rPr>
          <w:color w:val="000000" w:themeColor="text1"/>
        </w:rPr>
        <w:t>e</w:t>
      </w:r>
      <w:r w:rsidR="00DE2DA6" w:rsidRPr="00654351">
        <w:rPr>
          <w:color w:val="000000" w:themeColor="text1"/>
        </w:rPr>
        <w:t xml:space="preserve">d an additional facility </w:t>
      </w:r>
      <w:r w:rsidR="003C6445" w:rsidRPr="00654351">
        <w:rPr>
          <w:color w:val="000000" w:themeColor="text1"/>
        </w:rPr>
        <w:t>in Boston</w:t>
      </w:r>
      <w:r w:rsidR="00296725" w:rsidRPr="00654351">
        <w:rPr>
          <w:color w:val="000000" w:themeColor="text1"/>
        </w:rPr>
        <w:t xml:space="preserve"> for </w:t>
      </w:r>
      <w:r w:rsidR="00296725" w:rsidRPr="00654351">
        <w:rPr>
          <w:i/>
          <w:iCs/>
          <w:color w:val="000000" w:themeColor="text1"/>
        </w:rPr>
        <w:t>research and clinical manufacturing</w:t>
      </w:r>
      <w:r w:rsidR="00296725" w:rsidRPr="00654351">
        <w:rPr>
          <w:color w:val="000000" w:themeColor="text1"/>
        </w:rPr>
        <w:t xml:space="preserve"> activities.</w:t>
      </w:r>
      <w:r w:rsidR="00296725">
        <w:rPr>
          <w:rStyle w:val="Odwoanieprzypisudolnego"/>
          <w:color w:val="000000" w:themeColor="text1"/>
        </w:rPr>
        <w:footnoteReference w:id="209"/>
      </w:r>
    </w:p>
    <w:p w14:paraId="0BB570DD" w14:textId="7B40B34F" w:rsidR="003664AA" w:rsidRPr="00D7195F" w:rsidRDefault="006E3DF6" w:rsidP="000A2E03">
      <w:pPr>
        <w:pStyle w:val="Tekstpodstawowy"/>
        <w:numPr>
          <w:ilvl w:val="0"/>
          <w:numId w:val="158"/>
        </w:numPr>
        <w:rPr>
          <w:color w:val="000000" w:themeColor="text1"/>
        </w:rPr>
      </w:pPr>
      <w:r w:rsidRPr="00D7195F">
        <w:rPr>
          <w:color w:val="000000" w:themeColor="text1"/>
        </w:rPr>
        <w:t>ATMP clusters are</w:t>
      </w:r>
      <w:r w:rsidR="00AB762F" w:rsidRPr="00D7195F">
        <w:rPr>
          <w:color w:val="000000" w:themeColor="text1"/>
        </w:rPr>
        <w:t>,</w:t>
      </w:r>
      <w:r w:rsidRPr="00D7195F">
        <w:rPr>
          <w:color w:val="000000" w:themeColor="text1"/>
        </w:rPr>
        <w:t xml:space="preserve"> in general</w:t>
      </w:r>
      <w:r w:rsidR="00AB762F" w:rsidRPr="00D7195F">
        <w:rPr>
          <w:color w:val="000000" w:themeColor="text1"/>
        </w:rPr>
        <w:t>,</w:t>
      </w:r>
      <w:r w:rsidRPr="00D7195F">
        <w:rPr>
          <w:color w:val="000000" w:themeColor="text1"/>
        </w:rPr>
        <w:t xml:space="preserve"> hybrids </w:t>
      </w:r>
      <w:r w:rsidR="00DA32CC" w:rsidRPr="00D7195F">
        <w:rPr>
          <w:color w:val="000000" w:themeColor="text1"/>
        </w:rPr>
        <w:t>of both R&amp;D and manufacturing activity.</w:t>
      </w:r>
      <w:r w:rsidR="005C76F6" w:rsidRPr="00D7195F">
        <w:rPr>
          <w:color w:val="000000" w:themeColor="text1"/>
        </w:rPr>
        <w:t xml:space="preserve"> </w:t>
      </w:r>
      <w:r w:rsidR="000311D2" w:rsidRPr="00D7195F">
        <w:rPr>
          <w:color w:val="000000" w:themeColor="text1"/>
        </w:rPr>
        <w:t xml:space="preserve">In North Carolina, for example, there is a density of </w:t>
      </w:r>
      <w:r w:rsidR="0044562D" w:rsidRPr="00D7195F">
        <w:rPr>
          <w:color w:val="000000" w:themeColor="text1"/>
        </w:rPr>
        <w:t xml:space="preserve">academic and </w:t>
      </w:r>
      <w:r w:rsidR="00777BD1" w:rsidRPr="00D7195F">
        <w:rPr>
          <w:color w:val="000000" w:themeColor="text1"/>
        </w:rPr>
        <w:t xml:space="preserve">corporate research, </w:t>
      </w:r>
      <w:r w:rsidR="00777BD1" w:rsidRPr="00D7195F">
        <w:rPr>
          <w:color w:val="000000" w:themeColor="text1"/>
        </w:rPr>
        <w:lastRenderedPageBreak/>
        <w:t>CROs</w:t>
      </w:r>
      <w:r w:rsidR="006875D1" w:rsidRPr="00D7195F">
        <w:rPr>
          <w:color w:val="000000" w:themeColor="text1"/>
        </w:rPr>
        <w:t>, CMOs, and IMP and commercial-scale manufacturing capabilities.</w:t>
      </w:r>
      <w:r w:rsidR="006875D1">
        <w:rPr>
          <w:rStyle w:val="Odwoanieprzypisudolnego"/>
          <w:color w:val="000000" w:themeColor="text1"/>
        </w:rPr>
        <w:footnoteReference w:id="210"/>
      </w:r>
      <w:r w:rsidR="006875D1" w:rsidRPr="00D7195F">
        <w:rPr>
          <w:color w:val="000000" w:themeColor="text1"/>
        </w:rPr>
        <w:t xml:space="preserve"> This </w:t>
      </w:r>
      <w:r w:rsidR="00D336C0" w:rsidRPr="00D7195F">
        <w:rPr>
          <w:color w:val="000000" w:themeColor="text1"/>
        </w:rPr>
        <w:t>differs from the pattern observed in other biopharma clusters, where R&amp;D (</w:t>
      </w:r>
      <w:r w:rsidR="005B5355">
        <w:rPr>
          <w:color w:val="000000" w:themeColor="text1"/>
        </w:rPr>
        <w:t>e.g.</w:t>
      </w:r>
      <w:r w:rsidR="00D336C0" w:rsidRPr="00D7195F">
        <w:rPr>
          <w:color w:val="000000" w:themeColor="text1"/>
        </w:rPr>
        <w:t xml:space="preserve"> </w:t>
      </w:r>
      <w:r w:rsidR="0082403F" w:rsidRPr="00D7195F">
        <w:rPr>
          <w:color w:val="000000" w:themeColor="text1"/>
        </w:rPr>
        <w:t xml:space="preserve">Basel in </w:t>
      </w:r>
      <w:r w:rsidR="00D336C0" w:rsidRPr="00D7195F">
        <w:rPr>
          <w:color w:val="000000" w:themeColor="text1"/>
        </w:rPr>
        <w:t xml:space="preserve">Switzerland, </w:t>
      </w:r>
      <w:r w:rsidR="0082403F" w:rsidRPr="00D7195F">
        <w:rPr>
          <w:color w:val="000000" w:themeColor="text1"/>
        </w:rPr>
        <w:t>Cambridge</w:t>
      </w:r>
      <w:r w:rsidR="00A66F29" w:rsidRPr="00D7195F">
        <w:rPr>
          <w:color w:val="000000" w:themeColor="text1"/>
        </w:rPr>
        <w:t>-Oxford-London</w:t>
      </w:r>
      <w:r w:rsidR="0082403F" w:rsidRPr="00D7195F">
        <w:rPr>
          <w:color w:val="000000" w:themeColor="text1"/>
        </w:rPr>
        <w:t xml:space="preserve"> in the UK</w:t>
      </w:r>
      <w:r w:rsidR="00D336C0" w:rsidRPr="00D7195F">
        <w:rPr>
          <w:color w:val="000000" w:themeColor="text1"/>
        </w:rPr>
        <w:t>) and manufacturing (</w:t>
      </w:r>
      <w:r w:rsidR="005B5355">
        <w:rPr>
          <w:color w:val="000000" w:themeColor="text1"/>
        </w:rPr>
        <w:t>e.g.</w:t>
      </w:r>
      <w:r w:rsidR="00D7195F">
        <w:rPr>
          <w:color w:val="000000" w:themeColor="text1"/>
        </w:rPr>
        <w:t xml:space="preserve"> </w:t>
      </w:r>
      <w:r w:rsidR="00D336C0" w:rsidRPr="00D7195F">
        <w:rPr>
          <w:color w:val="000000" w:themeColor="text1"/>
        </w:rPr>
        <w:t xml:space="preserve">Ireland, Singapore) </w:t>
      </w:r>
      <w:r w:rsidR="0082403F" w:rsidRPr="00D7195F">
        <w:rPr>
          <w:color w:val="000000" w:themeColor="text1"/>
        </w:rPr>
        <w:t xml:space="preserve">activities </w:t>
      </w:r>
      <w:r w:rsidR="00D336C0" w:rsidRPr="00D7195F">
        <w:rPr>
          <w:color w:val="000000" w:themeColor="text1"/>
        </w:rPr>
        <w:t>tend to</w:t>
      </w:r>
      <w:r w:rsidR="00AB762F" w:rsidRPr="00D7195F">
        <w:rPr>
          <w:color w:val="000000" w:themeColor="text1"/>
        </w:rPr>
        <w:t xml:space="preserve"> cluster in</w:t>
      </w:r>
      <w:r w:rsidR="00D336C0" w:rsidRPr="00D7195F">
        <w:rPr>
          <w:color w:val="000000" w:themeColor="text1"/>
        </w:rPr>
        <w:t xml:space="preserve"> separate locations.</w:t>
      </w:r>
    </w:p>
    <w:p w14:paraId="59822950" w14:textId="36F01B11" w:rsidR="009A12EC" w:rsidRDefault="00BD0C88" w:rsidP="00EC179C">
      <w:pPr>
        <w:pStyle w:val="Tekstpodstawowy"/>
        <w:rPr>
          <w:color w:val="000000" w:themeColor="text1"/>
        </w:rPr>
      </w:pPr>
      <w:r>
        <w:t xml:space="preserve">Improving Europe’s competitiveness in attracting early- and late-stage research is therefore likely to lead to </w:t>
      </w:r>
      <w:proofErr w:type="spellStart"/>
      <w:r>
        <w:t>spillover</w:t>
      </w:r>
      <w:proofErr w:type="spellEnd"/>
      <w:r>
        <w:t xml:space="preserve"> benefits in attracting greater investments in early </w:t>
      </w:r>
      <w:r w:rsidR="005E5994">
        <w:t xml:space="preserve">manufacturing. Europe has an opportunity to catch up by innovating future new modalities. </w:t>
      </w:r>
      <w:r w:rsidR="008E60E6" w:rsidRPr="00F22C77">
        <w:rPr>
          <w:color w:val="000000" w:themeColor="text1"/>
        </w:rPr>
        <w:t xml:space="preserve">Commercial manufacturing </w:t>
      </w:r>
      <w:r w:rsidR="00A3472F">
        <w:rPr>
          <w:color w:val="000000" w:themeColor="text1"/>
        </w:rPr>
        <w:t xml:space="preserve">is </w:t>
      </w:r>
      <w:r w:rsidR="00CD4706" w:rsidRPr="00D53D69">
        <w:rPr>
          <w:color w:val="000000" w:themeColor="text1"/>
        </w:rPr>
        <w:t>similarly</w:t>
      </w:r>
      <w:r w:rsidR="008E60E6" w:rsidRPr="00F22C77">
        <w:rPr>
          <w:color w:val="000000" w:themeColor="text1"/>
        </w:rPr>
        <w:t xml:space="preserve"> likely to follow</w:t>
      </w:r>
      <w:r w:rsidR="001B2902" w:rsidRPr="00F22C77">
        <w:rPr>
          <w:color w:val="000000" w:themeColor="text1"/>
        </w:rPr>
        <w:t xml:space="preserve"> suit</w:t>
      </w:r>
      <w:r w:rsidR="008E60E6" w:rsidRPr="00F22C77">
        <w:rPr>
          <w:color w:val="000000" w:themeColor="text1"/>
        </w:rPr>
        <w:t xml:space="preserve"> because of complexities involved in moving</w:t>
      </w:r>
      <w:r w:rsidR="00CD4706" w:rsidRPr="00D53D69">
        <w:rPr>
          <w:color w:val="000000" w:themeColor="text1"/>
        </w:rPr>
        <w:t xml:space="preserve"> </w:t>
      </w:r>
      <w:r w:rsidR="00CA34DB" w:rsidRPr="00D53D69">
        <w:rPr>
          <w:color w:val="000000" w:themeColor="text1"/>
        </w:rPr>
        <w:t xml:space="preserve">activities </w:t>
      </w:r>
      <w:r w:rsidR="00F22C77" w:rsidRPr="00D53D69">
        <w:rPr>
          <w:color w:val="000000" w:themeColor="text1"/>
        </w:rPr>
        <w:t>away</w:t>
      </w:r>
      <w:r w:rsidR="001B2902" w:rsidRPr="00F22C77">
        <w:rPr>
          <w:color w:val="000000" w:themeColor="text1"/>
        </w:rPr>
        <w:t xml:space="preserve"> from </w:t>
      </w:r>
      <w:r w:rsidR="00436712">
        <w:rPr>
          <w:color w:val="000000" w:themeColor="text1"/>
        </w:rPr>
        <w:t xml:space="preserve">the </w:t>
      </w:r>
      <w:r w:rsidR="001B2902" w:rsidRPr="00F22C77">
        <w:rPr>
          <w:color w:val="000000" w:themeColor="text1"/>
        </w:rPr>
        <w:t>site of IMP production</w:t>
      </w:r>
      <w:r w:rsidR="00A4106F">
        <w:rPr>
          <w:color w:val="000000" w:themeColor="text1"/>
        </w:rPr>
        <w:t xml:space="preserve"> </w:t>
      </w:r>
      <w:r w:rsidR="006E069A">
        <w:rPr>
          <w:color w:val="000000" w:themeColor="text1"/>
        </w:rPr>
        <w:t>while</w:t>
      </w:r>
      <w:r w:rsidR="00A4106F">
        <w:rPr>
          <w:color w:val="000000" w:themeColor="text1"/>
        </w:rPr>
        <w:t xml:space="preserve"> ensuring absolute consistency in the manufacturing process and resulting product</w:t>
      </w:r>
      <w:r w:rsidR="00F22C77" w:rsidRPr="00D53D69">
        <w:rPr>
          <w:color w:val="000000" w:themeColor="text1"/>
        </w:rPr>
        <w:t>.</w:t>
      </w:r>
      <w:r w:rsidR="00577DD5">
        <w:rPr>
          <w:color w:val="000000" w:themeColor="text1"/>
        </w:rPr>
        <w:t xml:space="preserve"> This again diverges from the traditional biopharma </w:t>
      </w:r>
      <w:r w:rsidR="00FF0536">
        <w:rPr>
          <w:color w:val="000000" w:themeColor="text1"/>
        </w:rPr>
        <w:t xml:space="preserve">business model, under which typically commercial manufacturing will be drawn towards </w:t>
      </w:r>
      <w:r w:rsidR="00E16D57">
        <w:rPr>
          <w:color w:val="000000" w:themeColor="text1"/>
        </w:rPr>
        <w:t>locations in which scaling-up production can be done in a cost-efficient way (for example, due to lower labour costs or favourable tax rates).</w:t>
      </w:r>
    </w:p>
    <w:p w14:paraId="377DD48A" w14:textId="3B9836FB" w:rsidR="008D5FE5" w:rsidRPr="000A2E03" w:rsidRDefault="008D5FE5" w:rsidP="00EC179C">
      <w:pPr>
        <w:pStyle w:val="Tekstpodstawowy"/>
        <w:rPr>
          <w:b/>
          <w:bCs/>
          <w:color w:val="0073AE" w:themeColor="accent1"/>
          <w:u w:val="single"/>
        </w:rPr>
      </w:pPr>
      <w:r w:rsidRPr="000A2E03">
        <w:rPr>
          <w:b/>
          <w:bCs/>
          <w:color w:val="0073AE" w:themeColor="accent1"/>
          <w:u w:val="single"/>
        </w:rPr>
        <w:t>Recommendation</w:t>
      </w:r>
    </w:p>
    <w:p w14:paraId="1A087E61" w14:textId="42C7FCF0" w:rsidR="00810B91" w:rsidRDefault="006F20CF" w:rsidP="00FF0A79">
      <w:pPr>
        <w:pStyle w:val="Tekstpodstawowy"/>
        <w:rPr>
          <w:color w:val="000000" w:themeColor="text1"/>
        </w:rPr>
      </w:pPr>
      <w:r>
        <w:rPr>
          <w:color w:val="000000" w:themeColor="text1"/>
        </w:rPr>
        <w:t xml:space="preserve">There are positive examples in Europe </w:t>
      </w:r>
      <w:r w:rsidR="001601E4">
        <w:rPr>
          <w:color w:val="000000" w:themeColor="text1"/>
        </w:rPr>
        <w:t xml:space="preserve">of </w:t>
      </w:r>
      <w:r w:rsidR="005251DD">
        <w:rPr>
          <w:color w:val="000000" w:themeColor="text1"/>
        </w:rPr>
        <w:t>ATMP investment clusters. Stev</w:t>
      </w:r>
      <w:r w:rsidR="00BA00F0">
        <w:rPr>
          <w:color w:val="000000" w:themeColor="text1"/>
        </w:rPr>
        <w:t>e</w:t>
      </w:r>
      <w:r w:rsidR="005251DD">
        <w:rPr>
          <w:color w:val="000000" w:themeColor="text1"/>
        </w:rPr>
        <w:t xml:space="preserve">nage in the </w:t>
      </w:r>
      <w:r w:rsidR="00BA00F0">
        <w:rPr>
          <w:color w:val="000000" w:themeColor="text1"/>
        </w:rPr>
        <w:t>UK</w:t>
      </w:r>
      <w:r w:rsidR="00C83E24">
        <w:rPr>
          <w:color w:val="000000" w:themeColor="text1"/>
        </w:rPr>
        <w:t xml:space="preserve">, for example, is home to 13 </w:t>
      </w:r>
      <w:r w:rsidR="00F31A33">
        <w:rPr>
          <w:color w:val="000000" w:themeColor="text1"/>
        </w:rPr>
        <w:t>ATMP</w:t>
      </w:r>
      <w:r w:rsidR="00C83E24">
        <w:rPr>
          <w:color w:val="000000" w:themeColor="text1"/>
        </w:rPr>
        <w:t xml:space="preserve"> companies</w:t>
      </w:r>
      <w:r w:rsidR="00906453">
        <w:rPr>
          <w:color w:val="000000" w:themeColor="text1"/>
        </w:rPr>
        <w:t xml:space="preserve">, benefitting from proximity to the government-supported Stevenage Bioscience Catalyst (SBC) and the Cell and Gene Therapy Catapult </w:t>
      </w:r>
      <w:r w:rsidR="000B42E1">
        <w:rPr>
          <w:color w:val="000000" w:themeColor="text1"/>
        </w:rPr>
        <w:t>m</w:t>
      </w:r>
      <w:r w:rsidR="00906453">
        <w:rPr>
          <w:color w:val="000000" w:themeColor="text1"/>
        </w:rPr>
        <w:t xml:space="preserve">anufacturing </w:t>
      </w:r>
      <w:r w:rsidR="000B42E1">
        <w:rPr>
          <w:color w:val="000000" w:themeColor="text1"/>
        </w:rPr>
        <w:t>c</w:t>
      </w:r>
      <w:r w:rsidR="00906453">
        <w:rPr>
          <w:color w:val="000000" w:themeColor="text1"/>
        </w:rPr>
        <w:t>entre</w:t>
      </w:r>
      <w:r w:rsidR="00A37A45">
        <w:rPr>
          <w:color w:val="000000" w:themeColor="text1"/>
        </w:rPr>
        <w:t>, who work with companies to help progress therapies through development and production.</w:t>
      </w:r>
      <w:r w:rsidR="00115C23">
        <w:rPr>
          <w:rStyle w:val="Odwoanieprzypisudolnego"/>
          <w:color w:val="000000" w:themeColor="text1"/>
        </w:rPr>
        <w:footnoteReference w:id="211"/>
      </w:r>
      <w:r w:rsidR="00B554C9">
        <w:rPr>
          <w:color w:val="000000" w:themeColor="text1"/>
        </w:rPr>
        <w:t xml:space="preserve"> The Belgian region of Wallonia</w:t>
      </w:r>
      <w:r w:rsidR="00AF34BF">
        <w:rPr>
          <w:color w:val="000000" w:themeColor="text1"/>
        </w:rPr>
        <w:t xml:space="preserve"> has become a “global powerhouse of cell therapy research and development”</w:t>
      </w:r>
      <w:r w:rsidR="0070739D">
        <w:rPr>
          <w:rStyle w:val="Odwoanieprzypisudolnego"/>
          <w:color w:val="000000" w:themeColor="text1"/>
        </w:rPr>
        <w:footnoteReference w:id="212"/>
      </w:r>
      <w:r w:rsidR="0070739D">
        <w:rPr>
          <w:color w:val="000000" w:themeColor="text1"/>
        </w:rPr>
        <w:t xml:space="preserve"> over the past 20 years</w:t>
      </w:r>
      <w:r w:rsidR="00E41A6D">
        <w:rPr>
          <w:color w:val="000000" w:themeColor="text1"/>
        </w:rPr>
        <w:t xml:space="preserve"> and continues to attract investment</w:t>
      </w:r>
      <w:r w:rsidR="00797472">
        <w:rPr>
          <w:color w:val="000000" w:themeColor="text1"/>
        </w:rPr>
        <w:t xml:space="preserve"> for other advanced therapies</w:t>
      </w:r>
      <w:r w:rsidR="00FE2512">
        <w:rPr>
          <w:color w:val="000000" w:themeColor="text1"/>
        </w:rPr>
        <w:t xml:space="preserve">. </w:t>
      </w:r>
      <w:r w:rsidR="00797472">
        <w:rPr>
          <w:color w:val="000000" w:themeColor="text1"/>
        </w:rPr>
        <w:t xml:space="preserve">In 2022, UCB </w:t>
      </w:r>
      <w:r w:rsidR="00797472" w:rsidRPr="00797472">
        <w:rPr>
          <w:color w:val="000000" w:themeColor="text1"/>
        </w:rPr>
        <w:t>announced their decision to locate their new gene therapy facility in Belgium</w:t>
      </w:r>
      <w:r w:rsidR="00A64BE1">
        <w:rPr>
          <w:color w:val="000000" w:themeColor="text1"/>
        </w:rPr>
        <w:t xml:space="preserve"> in order to tap into the existing community of </w:t>
      </w:r>
      <w:r w:rsidR="00A64BE1" w:rsidRPr="00A64BE1">
        <w:rPr>
          <w:color w:val="000000" w:themeColor="text1"/>
        </w:rPr>
        <w:t>scientists, technicians, engineers and manufacturing personnel</w:t>
      </w:r>
      <w:r w:rsidR="00715A67">
        <w:rPr>
          <w:color w:val="000000" w:themeColor="text1"/>
        </w:rPr>
        <w:t>.</w:t>
      </w:r>
      <w:r w:rsidR="00715A67">
        <w:rPr>
          <w:rStyle w:val="Odwoanieprzypisudolnego"/>
          <w:color w:val="000000" w:themeColor="text1"/>
        </w:rPr>
        <w:footnoteReference w:id="213"/>
      </w:r>
      <w:r w:rsidR="00A97743">
        <w:rPr>
          <w:color w:val="000000" w:themeColor="text1"/>
        </w:rPr>
        <w:t xml:space="preserve"> </w:t>
      </w:r>
    </w:p>
    <w:p w14:paraId="6EC413D5" w14:textId="211BA2AE" w:rsidR="009E7E08" w:rsidRDefault="00A97743" w:rsidP="00FF0A79">
      <w:pPr>
        <w:pStyle w:val="Tekstpodstawowy"/>
        <w:rPr>
          <w:color w:val="000000" w:themeColor="text1"/>
        </w:rPr>
      </w:pPr>
      <w:r>
        <w:rPr>
          <w:color w:val="000000" w:themeColor="text1"/>
        </w:rPr>
        <w:t xml:space="preserve">The EU could benefit from </w:t>
      </w:r>
      <w:r w:rsidR="009A6B47">
        <w:rPr>
          <w:color w:val="000000" w:themeColor="text1"/>
        </w:rPr>
        <w:t xml:space="preserve">taking a more </w:t>
      </w:r>
      <w:r w:rsidR="00C9335F">
        <w:rPr>
          <w:color w:val="000000" w:themeColor="text1"/>
        </w:rPr>
        <w:t xml:space="preserve">proactive </w:t>
      </w:r>
      <w:r w:rsidR="00C43626">
        <w:rPr>
          <w:color w:val="000000" w:themeColor="text1"/>
        </w:rPr>
        <w:t xml:space="preserve">role in </w:t>
      </w:r>
      <w:r w:rsidR="00C9335F">
        <w:rPr>
          <w:color w:val="000000" w:themeColor="text1"/>
        </w:rPr>
        <w:t>coordinat</w:t>
      </w:r>
      <w:r w:rsidR="00C43626">
        <w:rPr>
          <w:color w:val="000000" w:themeColor="text1"/>
        </w:rPr>
        <w:t>ing</w:t>
      </w:r>
      <w:r w:rsidR="009A6B47">
        <w:rPr>
          <w:color w:val="000000" w:themeColor="text1"/>
        </w:rPr>
        <w:t xml:space="preserve"> </w:t>
      </w:r>
      <w:r w:rsidR="00C9335F">
        <w:rPr>
          <w:color w:val="000000" w:themeColor="text1"/>
        </w:rPr>
        <w:t xml:space="preserve">and fostering </w:t>
      </w:r>
      <w:r w:rsidR="00C43626">
        <w:rPr>
          <w:color w:val="000000" w:themeColor="text1"/>
        </w:rPr>
        <w:t xml:space="preserve">the </w:t>
      </w:r>
      <w:r w:rsidR="00C9335F">
        <w:rPr>
          <w:color w:val="000000" w:themeColor="text1"/>
        </w:rPr>
        <w:t>growth of these emerging</w:t>
      </w:r>
      <w:r w:rsidR="009A6B47">
        <w:rPr>
          <w:color w:val="000000" w:themeColor="text1"/>
        </w:rPr>
        <w:t xml:space="preserve"> ATMP</w:t>
      </w:r>
      <w:r w:rsidR="00C9335F">
        <w:rPr>
          <w:color w:val="000000" w:themeColor="text1"/>
        </w:rPr>
        <w:t xml:space="preserve"> clusters</w:t>
      </w:r>
      <w:r w:rsidR="00572E77">
        <w:rPr>
          <w:color w:val="000000" w:themeColor="text1"/>
        </w:rPr>
        <w:t xml:space="preserve"> and </w:t>
      </w:r>
      <w:r w:rsidR="00C43626">
        <w:rPr>
          <w:color w:val="000000" w:themeColor="text1"/>
        </w:rPr>
        <w:t xml:space="preserve">by </w:t>
      </w:r>
      <w:r w:rsidR="00572E77">
        <w:rPr>
          <w:color w:val="000000" w:themeColor="text1"/>
        </w:rPr>
        <w:t xml:space="preserve">seeing R&amp;D, IMP and commercial manufacturing as </w:t>
      </w:r>
      <w:r w:rsidR="0097022B">
        <w:rPr>
          <w:color w:val="000000" w:themeColor="text1"/>
        </w:rPr>
        <w:t>interdependent</w:t>
      </w:r>
      <w:r w:rsidR="009A6B47">
        <w:rPr>
          <w:color w:val="000000" w:themeColor="text1"/>
        </w:rPr>
        <w:t>. This could involve</w:t>
      </w:r>
      <w:r w:rsidR="00CC3263">
        <w:rPr>
          <w:color w:val="000000" w:themeColor="text1"/>
        </w:rPr>
        <w:t xml:space="preserve"> directing funding and supporting talent development to meet </w:t>
      </w:r>
      <w:r w:rsidR="009A6B47">
        <w:rPr>
          <w:color w:val="000000" w:themeColor="text1"/>
        </w:rPr>
        <w:t>the needs of the interconnected activities concentrated at these locations.</w:t>
      </w:r>
      <w:r w:rsidR="005E5994">
        <w:rPr>
          <w:color w:val="000000" w:themeColor="text1"/>
        </w:rPr>
        <w:t xml:space="preserve"> </w:t>
      </w:r>
      <w:r w:rsidR="000C6891">
        <w:rPr>
          <w:color w:val="000000" w:themeColor="text1"/>
        </w:rPr>
        <w:t>Learnings can also be taken from the Commission’s reaction to the COVID-19 pandemic, during which the genetically modified organism (</w:t>
      </w:r>
      <w:r w:rsidR="000C6891" w:rsidRPr="009E7E08">
        <w:rPr>
          <w:color w:val="000000" w:themeColor="text1"/>
        </w:rPr>
        <w:t>GMO</w:t>
      </w:r>
      <w:r w:rsidR="000C6891">
        <w:rPr>
          <w:color w:val="000000" w:themeColor="text1"/>
        </w:rPr>
        <w:t xml:space="preserve">) </w:t>
      </w:r>
      <w:r w:rsidR="000C6891" w:rsidRPr="009E7E08">
        <w:rPr>
          <w:color w:val="000000" w:themeColor="text1"/>
        </w:rPr>
        <w:t xml:space="preserve">approval </w:t>
      </w:r>
      <w:r w:rsidR="000C6891">
        <w:rPr>
          <w:color w:val="000000" w:themeColor="text1"/>
        </w:rPr>
        <w:t xml:space="preserve">requirement </w:t>
      </w:r>
      <w:r w:rsidR="000C6891" w:rsidRPr="009E7E08">
        <w:rPr>
          <w:color w:val="000000" w:themeColor="text1"/>
        </w:rPr>
        <w:t xml:space="preserve">for clinical trials </w:t>
      </w:r>
      <w:r w:rsidR="000C6891">
        <w:rPr>
          <w:color w:val="000000" w:themeColor="text1"/>
        </w:rPr>
        <w:t xml:space="preserve">was suspended for </w:t>
      </w:r>
      <w:r w:rsidR="000C6891" w:rsidRPr="009E7E08">
        <w:rPr>
          <w:color w:val="000000" w:themeColor="text1"/>
        </w:rPr>
        <w:t>COVID-19 vaccines and therapeutics</w:t>
      </w:r>
      <w:r w:rsidR="000C6891">
        <w:rPr>
          <w:color w:val="000000" w:themeColor="text1"/>
        </w:rPr>
        <w:t xml:space="preserve">. Extending this </w:t>
      </w:r>
      <w:r w:rsidR="001F33E3">
        <w:rPr>
          <w:color w:val="000000" w:themeColor="text1"/>
        </w:rPr>
        <w:t>more broadly c</w:t>
      </w:r>
      <w:r w:rsidR="00035EAF">
        <w:rPr>
          <w:color w:val="000000" w:themeColor="text1"/>
        </w:rPr>
        <w:t xml:space="preserve">ould </w:t>
      </w:r>
      <w:r w:rsidR="009E7E08" w:rsidRPr="009E7E08">
        <w:rPr>
          <w:color w:val="000000" w:themeColor="text1"/>
        </w:rPr>
        <w:t xml:space="preserve">increase </w:t>
      </w:r>
      <w:r w:rsidR="001F33E3">
        <w:rPr>
          <w:color w:val="000000" w:themeColor="text1"/>
        </w:rPr>
        <w:t>manufacturers</w:t>
      </w:r>
      <w:r w:rsidR="00C43626">
        <w:rPr>
          <w:color w:val="000000" w:themeColor="text1"/>
        </w:rPr>
        <w:t>’ interest</w:t>
      </w:r>
      <w:r w:rsidR="009E7E08" w:rsidRPr="009E7E08">
        <w:rPr>
          <w:color w:val="000000" w:themeColor="text1"/>
        </w:rPr>
        <w:t xml:space="preserve"> </w:t>
      </w:r>
      <w:r w:rsidR="00C43626">
        <w:rPr>
          <w:color w:val="000000" w:themeColor="text1"/>
        </w:rPr>
        <w:t>in</w:t>
      </w:r>
      <w:r w:rsidR="009E7E08" w:rsidRPr="009E7E08">
        <w:rPr>
          <w:color w:val="000000" w:themeColor="text1"/>
        </w:rPr>
        <w:t xml:space="preserve"> perform</w:t>
      </w:r>
      <w:r w:rsidR="00C43626">
        <w:rPr>
          <w:color w:val="000000" w:themeColor="text1"/>
        </w:rPr>
        <w:t>ing</w:t>
      </w:r>
      <w:r w:rsidR="001F33E3">
        <w:rPr>
          <w:color w:val="000000" w:themeColor="text1"/>
        </w:rPr>
        <w:t xml:space="preserve"> ATMP</w:t>
      </w:r>
      <w:r w:rsidR="009E7E08" w:rsidRPr="009E7E08">
        <w:rPr>
          <w:color w:val="000000" w:themeColor="text1"/>
        </w:rPr>
        <w:t xml:space="preserve"> clinical trials in Europe</w:t>
      </w:r>
      <w:r w:rsidR="001F33E3">
        <w:rPr>
          <w:color w:val="000000" w:themeColor="text1"/>
        </w:rPr>
        <w:t xml:space="preserve">, </w:t>
      </w:r>
      <w:r w:rsidR="001F33E3">
        <w:rPr>
          <w:color w:val="000000" w:themeColor="text1"/>
        </w:rPr>
        <w:lastRenderedPageBreak/>
        <w:t>which, given the interconnectedness of value chains</w:t>
      </w:r>
      <w:r w:rsidR="00C43626">
        <w:rPr>
          <w:color w:val="000000" w:themeColor="text1"/>
        </w:rPr>
        <w:t>,</w:t>
      </w:r>
      <w:r w:rsidR="001F33E3">
        <w:rPr>
          <w:color w:val="000000" w:themeColor="text1"/>
        </w:rPr>
        <w:t xml:space="preserve"> particularly for ex</w:t>
      </w:r>
      <w:r w:rsidR="00BE5921">
        <w:rPr>
          <w:color w:val="000000" w:themeColor="text1"/>
        </w:rPr>
        <w:t xml:space="preserve"> </w:t>
      </w:r>
      <w:r w:rsidR="001F33E3">
        <w:rPr>
          <w:color w:val="000000" w:themeColor="text1"/>
        </w:rPr>
        <w:t xml:space="preserve">vivo therapies, could also </w:t>
      </w:r>
      <w:r w:rsidR="000B4C31">
        <w:rPr>
          <w:color w:val="000000" w:themeColor="text1"/>
        </w:rPr>
        <w:t xml:space="preserve">positively </w:t>
      </w:r>
      <w:r w:rsidR="009E7E08" w:rsidRPr="009E7E08">
        <w:rPr>
          <w:color w:val="000000" w:themeColor="text1"/>
        </w:rPr>
        <w:t xml:space="preserve">affect </w:t>
      </w:r>
      <w:r w:rsidR="000B4C31">
        <w:rPr>
          <w:color w:val="000000" w:themeColor="text1"/>
        </w:rPr>
        <w:t xml:space="preserve">IMP </w:t>
      </w:r>
      <w:r w:rsidR="009E7E08" w:rsidRPr="009E7E08">
        <w:rPr>
          <w:color w:val="000000" w:themeColor="text1"/>
        </w:rPr>
        <w:t xml:space="preserve">manufacturing </w:t>
      </w:r>
      <w:r w:rsidR="001F33E3">
        <w:rPr>
          <w:color w:val="000000" w:themeColor="text1"/>
        </w:rPr>
        <w:t>investment</w:t>
      </w:r>
      <w:r w:rsidR="000B4C31">
        <w:rPr>
          <w:color w:val="000000" w:themeColor="text1"/>
        </w:rPr>
        <w:t>s</w:t>
      </w:r>
      <w:r w:rsidR="009E7E08" w:rsidRPr="009E7E08">
        <w:rPr>
          <w:color w:val="000000" w:themeColor="text1"/>
        </w:rPr>
        <w:t>.</w:t>
      </w:r>
      <w:r w:rsidR="000B44DB">
        <w:rPr>
          <w:rStyle w:val="Odwoanieprzypisudolnego"/>
          <w:color w:val="000000" w:themeColor="text1"/>
        </w:rPr>
        <w:footnoteReference w:id="214"/>
      </w:r>
    </w:p>
    <w:p w14:paraId="5171C054" w14:textId="6BD2BABF" w:rsidR="0098069F" w:rsidRDefault="005E5994" w:rsidP="00FF0A79">
      <w:pPr>
        <w:pStyle w:val="Tekstpodstawowy"/>
        <w:rPr>
          <w:color w:val="000000" w:themeColor="text1"/>
        </w:rPr>
      </w:pPr>
      <w:r>
        <w:rPr>
          <w:color w:val="000000" w:themeColor="text1"/>
        </w:rPr>
        <w:t>The learnings f</w:t>
      </w:r>
      <w:r w:rsidR="008400F8">
        <w:rPr>
          <w:color w:val="000000" w:themeColor="text1"/>
        </w:rPr>
        <w:t>r</w:t>
      </w:r>
      <w:r>
        <w:rPr>
          <w:color w:val="000000" w:themeColor="text1"/>
        </w:rPr>
        <w:t xml:space="preserve">om the ATMP example </w:t>
      </w:r>
      <w:r w:rsidR="001F33E3">
        <w:rPr>
          <w:color w:val="000000" w:themeColor="text1"/>
        </w:rPr>
        <w:t>should</w:t>
      </w:r>
      <w:r>
        <w:rPr>
          <w:color w:val="000000" w:themeColor="text1"/>
        </w:rPr>
        <w:t xml:space="preserve"> be used</w:t>
      </w:r>
      <w:r w:rsidR="001F33E3">
        <w:rPr>
          <w:color w:val="000000" w:themeColor="text1"/>
        </w:rPr>
        <w:t xml:space="preserve"> in</w:t>
      </w:r>
      <w:r>
        <w:rPr>
          <w:color w:val="000000" w:themeColor="text1"/>
        </w:rPr>
        <w:t xml:space="preserve"> prepar</w:t>
      </w:r>
      <w:r w:rsidR="008400F8">
        <w:rPr>
          <w:color w:val="000000" w:themeColor="text1"/>
        </w:rPr>
        <w:t>i</w:t>
      </w:r>
      <w:r w:rsidR="00AA6550">
        <w:rPr>
          <w:color w:val="000000" w:themeColor="text1"/>
        </w:rPr>
        <w:t>n</w:t>
      </w:r>
      <w:r w:rsidR="008400F8">
        <w:rPr>
          <w:color w:val="000000" w:themeColor="text1"/>
        </w:rPr>
        <w:t>g</w:t>
      </w:r>
      <w:r>
        <w:rPr>
          <w:color w:val="000000" w:themeColor="text1"/>
        </w:rPr>
        <w:t xml:space="preserve"> Europe </w:t>
      </w:r>
      <w:r w:rsidR="00C43626">
        <w:rPr>
          <w:color w:val="000000" w:themeColor="text1"/>
        </w:rPr>
        <w:t xml:space="preserve">to create </w:t>
      </w:r>
      <w:r>
        <w:rPr>
          <w:color w:val="000000" w:themeColor="text1"/>
        </w:rPr>
        <w:t>ideas and support future innovation</w:t>
      </w:r>
      <w:r w:rsidR="001F33E3">
        <w:rPr>
          <w:color w:val="000000" w:themeColor="text1"/>
        </w:rPr>
        <w:t xml:space="preserve"> more broadly</w:t>
      </w:r>
      <w:r>
        <w:rPr>
          <w:color w:val="000000" w:themeColor="text1"/>
        </w:rPr>
        <w:t>.</w:t>
      </w:r>
    </w:p>
    <w:p w14:paraId="004A738C" w14:textId="7CDEF342" w:rsidR="008D5FE5" w:rsidRPr="000A2E03" w:rsidRDefault="008D5FE5" w:rsidP="00FF0A79">
      <w:pPr>
        <w:pStyle w:val="Tekstpodstawowy"/>
        <w:rPr>
          <w:b/>
          <w:bCs/>
          <w:color w:val="0073AE" w:themeColor="accent1"/>
          <w:u w:val="single"/>
        </w:rPr>
      </w:pPr>
      <w:r w:rsidRPr="000A2E03">
        <w:rPr>
          <w:b/>
          <w:bCs/>
          <w:color w:val="0073AE" w:themeColor="accent1"/>
          <w:u w:val="single"/>
        </w:rPr>
        <w:t>Current policy prioritie</w:t>
      </w:r>
      <w:r w:rsidR="00C1231D" w:rsidRPr="000A2E03">
        <w:rPr>
          <w:b/>
          <w:bCs/>
          <w:color w:val="0073AE" w:themeColor="accent1"/>
          <w:u w:val="single"/>
        </w:rPr>
        <w:t>s</w:t>
      </w:r>
    </w:p>
    <w:p w14:paraId="37DFED13" w14:textId="0E531D83" w:rsidR="008D5FE5" w:rsidRDefault="002C6A51" w:rsidP="00FF0A79">
      <w:pPr>
        <w:pStyle w:val="Tekstpodstawowy"/>
        <w:rPr>
          <w:color w:val="000000" w:themeColor="text1"/>
        </w:rPr>
      </w:pPr>
      <w:r>
        <w:rPr>
          <w:color w:val="000000" w:themeColor="text1"/>
        </w:rPr>
        <w:t xml:space="preserve">The Pharmaceutical Strategy for Europe emphasises the complexity of </w:t>
      </w:r>
      <w:r w:rsidR="005B58A0">
        <w:rPr>
          <w:color w:val="000000" w:themeColor="text1"/>
        </w:rPr>
        <w:t>pharmaceutical manufacturing and supply chains but not their interconnectedness with research activity and clinical trials</w:t>
      </w:r>
      <w:r w:rsidR="004D0A85">
        <w:rPr>
          <w:color w:val="000000" w:themeColor="text1"/>
        </w:rPr>
        <w:t xml:space="preserve">, nor the specific challenges presented by </w:t>
      </w:r>
      <w:r w:rsidR="001A3F88">
        <w:rPr>
          <w:color w:val="000000" w:themeColor="text1"/>
        </w:rPr>
        <w:t>new</w:t>
      </w:r>
      <w:r w:rsidR="00747EF6">
        <w:rPr>
          <w:color w:val="000000" w:themeColor="text1"/>
        </w:rPr>
        <w:t xml:space="preserve"> life sciences</w:t>
      </w:r>
      <w:r w:rsidR="001A3F88">
        <w:rPr>
          <w:color w:val="000000" w:themeColor="text1"/>
        </w:rPr>
        <w:t xml:space="preserve"> technologies.</w:t>
      </w:r>
      <w:r w:rsidR="001A3F88">
        <w:rPr>
          <w:rStyle w:val="Odwoanieprzypisudolnego"/>
          <w:color w:val="000000" w:themeColor="text1"/>
        </w:rPr>
        <w:footnoteReference w:id="215"/>
      </w:r>
    </w:p>
    <w:p w14:paraId="12B5FC24" w14:textId="0372A8B1" w:rsidR="00FF0A79" w:rsidRPr="0004143D" w:rsidRDefault="001D4BA1" w:rsidP="000A2E03">
      <w:pPr>
        <w:pStyle w:val="Nagwek4"/>
      </w:pPr>
      <w:r>
        <w:t xml:space="preserve">Recommendation 4: </w:t>
      </w:r>
      <w:r w:rsidR="00E70717" w:rsidRPr="00E70717">
        <w:t xml:space="preserve">Support innovation </w:t>
      </w:r>
      <w:r w:rsidR="00447CD4">
        <w:t>by implementing</w:t>
      </w:r>
      <w:r w:rsidR="00E70717" w:rsidRPr="00E70717">
        <w:t xml:space="preserve"> early access mechanisms, including generation and use of real-world evidence</w:t>
      </w:r>
      <w:r>
        <w:t xml:space="preserve"> </w:t>
      </w:r>
    </w:p>
    <w:p w14:paraId="378F464F" w14:textId="3DE1E919" w:rsidR="001D4BA1" w:rsidRDefault="001D4BA1">
      <w:pPr>
        <w:pStyle w:val="Tekstpodstawowy"/>
      </w:pPr>
      <w:r>
        <w:t>The traditional life</w:t>
      </w:r>
      <w:r w:rsidR="00F41050">
        <w:t xml:space="preserve"> </w:t>
      </w:r>
      <w:r>
        <w:t>cycle of medicine development is changing. Given the focus on rare diseases and precision medicines, it is more common for products to gain marketing approval with Phase II trials</w:t>
      </w:r>
      <w:r w:rsidR="001C42F9">
        <w:t>.</w:t>
      </w:r>
      <w:r w:rsidR="00D04866">
        <w:t xml:space="preserve"> </w:t>
      </w:r>
      <w:r w:rsidR="00500578">
        <w:t>For example, o</w:t>
      </w:r>
      <w:r w:rsidR="00D04866">
        <w:t xml:space="preserve">f </w:t>
      </w:r>
      <w:r w:rsidR="00F41050">
        <w:t xml:space="preserve">19 </w:t>
      </w:r>
      <w:r w:rsidR="00D04866">
        <w:t>ATMP approvals in Europe</w:t>
      </w:r>
      <w:r w:rsidR="001C42F9">
        <w:t xml:space="preserve"> </w:t>
      </w:r>
      <w:r w:rsidR="00EB3D09">
        <w:t>as of</w:t>
      </w:r>
      <w:r w:rsidR="00347190">
        <w:t xml:space="preserve"> September 2021, </w:t>
      </w:r>
      <w:r w:rsidR="00F41050">
        <w:t xml:space="preserve">fewer </w:t>
      </w:r>
      <w:r w:rsidR="00D06965">
        <w:t>than half included a pivotal Phase III trial.</w:t>
      </w:r>
      <w:r w:rsidR="005B7F91">
        <w:rPr>
          <w:rStyle w:val="Odwoanieprzypisudolnego"/>
        </w:rPr>
        <w:footnoteReference w:id="216"/>
      </w:r>
      <w:r w:rsidR="00D06965">
        <w:t xml:space="preserve"> </w:t>
      </w:r>
      <w:r w:rsidR="001C42F9">
        <w:t>Given the challenges in evidence development</w:t>
      </w:r>
      <w:r w:rsidR="00C45383">
        <w:t>,</w:t>
      </w:r>
      <w:r w:rsidR="001C42F9">
        <w:t xml:space="preserve"> it is more common for products to be given conditional approval and for </w:t>
      </w:r>
      <w:r w:rsidR="00F41050">
        <w:t xml:space="preserve">RWE </w:t>
      </w:r>
      <w:r w:rsidR="001C42F9">
        <w:t xml:space="preserve">to be collected. The regulatory, value assessment and price and reimbursement systems need to reflect this to </w:t>
      </w:r>
      <w:r w:rsidR="00F722EB">
        <w:t>ensure</w:t>
      </w:r>
      <w:r w:rsidR="001C42F9">
        <w:t xml:space="preserve"> patient access. However, this is also important for innovation.</w:t>
      </w:r>
    </w:p>
    <w:p w14:paraId="5909D2E1" w14:textId="1C1864D3" w:rsidR="001C1825" w:rsidRDefault="001E2627">
      <w:pPr>
        <w:pStyle w:val="Tekstpodstawowy"/>
      </w:pPr>
      <w:r>
        <w:t>Speed to market can be supported in part through internal factors, such as co-locating</w:t>
      </w:r>
      <w:r w:rsidR="00C4639F">
        <w:t xml:space="preserve"> R&amp;D</w:t>
      </w:r>
      <w:r>
        <w:t xml:space="preserve"> with existing </w:t>
      </w:r>
      <w:r w:rsidR="00C4639F">
        <w:t>company</w:t>
      </w:r>
      <w:r>
        <w:t xml:space="preserve"> footprints of expertise and infrastructure (see </w:t>
      </w:r>
      <w:r w:rsidR="002E3DC0">
        <w:t xml:space="preserve">Recommendation </w:t>
      </w:r>
      <w:r w:rsidR="009D4D21">
        <w:t xml:space="preserve">2) and with </w:t>
      </w:r>
      <w:r w:rsidR="004A710C">
        <w:t xml:space="preserve">the location of </w:t>
      </w:r>
      <w:r w:rsidR="00C4639F">
        <w:t>innovative, high-quality</w:t>
      </w:r>
      <w:r w:rsidR="004A710C">
        <w:t xml:space="preserve"> academic research (see </w:t>
      </w:r>
      <w:r w:rsidR="002E3DC0">
        <w:t xml:space="preserve">Recommendation </w:t>
      </w:r>
      <w:r w:rsidR="00FC7DE2">
        <w:t>3</w:t>
      </w:r>
      <w:r w:rsidR="004A710C">
        <w:t xml:space="preserve">). </w:t>
      </w:r>
      <w:r w:rsidR="00526B9F">
        <w:t xml:space="preserve">Biopharma companies are also continually exploring new CMC approaches to </w:t>
      </w:r>
      <w:r w:rsidR="00C41213">
        <w:t>reduce development time</w:t>
      </w:r>
      <w:r w:rsidR="00C4639F">
        <w:t xml:space="preserve"> of</w:t>
      </w:r>
      <w:r w:rsidR="00F7333F">
        <w:t xml:space="preserve"> ATMPs</w:t>
      </w:r>
      <w:r w:rsidR="00C41213">
        <w:t>.</w:t>
      </w:r>
      <w:r w:rsidR="00C41213">
        <w:rPr>
          <w:rStyle w:val="Odwoanieprzypisudolnego"/>
        </w:rPr>
        <w:footnoteReference w:id="217"/>
      </w:r>
      <w:r w:rsidR="00C41213">
        <w:t xml:space="preserve"> </w:t>
      </w:r>
    </w:p>
    <w:p w14:paraId="7DFEF59E" w14:textId="2CD80CF3" w:rsidR="00953924" w:rsidRDefault="00AC1A93">
      <w:pPr>
        <w:pStyle w:val="Tekstpodstawowy"/>
      </w:pPr>
      <w:r>
        <w:t xml:space="preserve">However, time and efficiency of the development process is also influenced by the external environment in which companies choose to locate their activities. </w:t>
      </w:r>
      <w:r w:rsidR="000976B6">
        <w:t xml:space="preserve">For example, this can be supported by </w:t>
      </w:r>
      <w:r w:rsidR="00974F27">
        <w:t xml:space="preserve">regulatory agencies </w:t>
      </w:r>
      <w:r w:rsidR="00D17F7C">
        <w:t>through</w:t>
      </w:r>
      <w:r w:rsidR="00974F27">
        <w:t xml:space="preserve"> </w:t>
      </w:r>
      <w:r w:rsidR="004E61F8">
        <w:t>use of adaptive regulatory frameworks to keep up with the fast pace of</w:t>
      </w:r>
      <w:r w:rsidR="00276B6C">
        <w:t xml:space="preserve"> pharmaceutical</w:t>
      </w:r>
      <w:r w:rsidR="004E61F8">
        <w:t xml:space="preserve"> innovation and expedite development and approval of new </w:t>
      </w:r>
      <w:r w:rsidR="00276B6C">
        <w:t>therapies</w:t>
      </w:r>
      <w:r w:rsidR="004E61F8">
        <w:t>.</w:t>
      </w:r>
      <w:r w:rsidR="00880EB9">
        <w:rPr>
          <w:rStyle w:val="Odwoanieprzypisudolnego"/>
        </w:rPr>
        <w:footnoteReference w:id="218"/>
      </w:r>
      <w:r w:rsidR="003A5F82">
        <w:t xml:space="preserve"> </w:t>
      </w:r>
      <w:r w:rsidR="00E17205">
        <w:t xml:space="preserve">Companies may also be drawn to conducting clinical trials in locations where there is support </w:t>
      </w:r>
      <w:r w:rsidR="00710191">
        <w:t xml:space="preserve">and infrastructure </w:t>
      </w:r>
      <w:r w:rsidR="00E17205">
        <w:t xml:space="preserve">for conducting </w:t>
      </w:r>
      <w:r w:rsidR="00373B4A">
        <w:t xml:space="preserve">long-term registry-based trials, given </w:t>
      </w:r>
      <w:r w:rsidR="00710191">
        <w:t xml:space="preserve">that regulators are increasingly </w:t>
      </w:r>
      <w:r w:rsidR="00895AFA">
        <w:t xml:space="preserve">looking at RWE of potentially curative therapies when </w:t>
      </w:r>
      <w:r w:rsidR="00895AFA">
        <w:lastRenderedPageBreak/>
        <w:t>assessing effectiveness</w:t>
      </w:r>
      <w:r w:rsidR="009E6E45">
        <w:t>.</w:t>
      </w:r>
      <w:r w:rsidR="00690248">
        <w:rPr>
          <w:rStyle w:val="Odwoanieprzypisudolnego"/>
        </w:rPr>
        <w:footnoteReference w:id="219"/>
      </w:r>
      <w:r w:rsidR="00F7691E">
        <w:t xml:space="preserve"> Even if long-term RWE is not required for initial marketing authorisation, companies </w:t>
      </w:r>
      <w:r w:rsidR="00071B6C">
        <w:t xml:space="preserve">will </w:t>
      </w:r>
      <w:r w:rsidR="00F7691E">
        <w:t xml:space="preserve">approach </w:t>
      </w:r>
      <w:r w:rsidR="00071B6C">
        <w:t xml:space="preserve">the decision on where to locate </w:t>
      </w:r>
      <w:r w:rsidR="00F7333F">
        <w:t xml:space="preserve">ATMP </w:t>
      </w:r>
      <w:r w:rsidR="005111C2">
        <w:t xml:space="preserve">pivotal </w:t>
      </w:r>
      <w:r w:rsidR="00071B6C">
        <w:t>studies</w:t>
      </w:r>
      <w:r w:rsidR="005111C2">
        <w:t xml:space="preserve"> with </w:t>
      </w:r>
      <w:r w:rsidR="00DC2A02">
        <w:t>this</w:t>
      </w:r>
      <w:r w:rsidR="005111C2">
        <w:t xml:space="preserve"> long-term view, given that these patients may be required to roll</w:t>
      </w:r>
      <w:r w:rsidR="00861145">
        <w:t xml:space="preserve"> </w:t>
      </w:r>
      <w:r w:rsidR="005111C2">
        <w:t>on to a</w:t>
      </w:r>
      <w:r w:rsidR="00FB5745">
        <w:t>n</w:t>
      </w:r>
      <w:r w:rsidR="005111C2">
        <w:t xml:space="preserve"> </w:t>
      </w:r>
      <w:r w:rsidR="002D558F">
        <w:t xml:space="preserve">extension study to generate the required RWE. </w:t>
      </w:r>
      <w:r w:rsidR="00B9432E">
        <w:t xml:space="preserve">It is also practical for companies to co-locate clinical trials with </w:t>
      </w:r>
      <w:r w:rsidR="0041016E">
        <w:t>target patient populations for</w:t>
      </w:r>
      <w:r w:rsidR="00F7333F">
        <w:t xml:space="preserve"> ATMPs</w:t>
      </w:r>
      <w:r w:rsidR="0041016E">
        <w:t>:</w:t>
      </w:r>
    </w:p>
    <w:p w14:paraId="78F039E3" w14:textId="792513AC" w:rsidR="0041016E" w:rsidRDefault="0041016E" w:rsidP="000A2E03">
      <w:pPr>
        <w:pStyle w:val="Tekstpodstawowy"/>
        <w:numPr>
          <w:ilvl w:val="0"/>
          <w:numId w:val="169"/>
        </w:numPr>
      </w:pPr>
      <w:r>
        <w:t xml:space="preserve">China’s leadership in attracting </w:t>
      </w:r>
      <w:r w:rsidR="00F7333F">
        <w:t xml:space="preserve">ATMP </w:t>
      </w:r>
      <w:r>
        <w:t xml:space="preserve">clinical trials </w:t>
      </w:r>
      <w:r w:rsidR="00640C87">
        <w:t xml:space="preserve">may be attributed to a range of factors, but at least in part </w:t>
      </w:r>
      <w:r w:rsidR="00861145">
        <w:t xml:space="preserve">to </w:t>
      </w:r>
      <w:r w:rsidR="00640C87">
        <w:t>the large demand for acc</w:t>
      </w:r>
      <w:r w:rsidR="001D733D">
        <w:t xml:space="preserve">ess to these therapies. </w:t>
      </w:r>
      <w:r w:rsidR="00E02117">
        <w:t xml:space="preserve">A </w:t>
      </w:r>
      <w:r w:rsidR="00FF7BF1">
        <w:t>high prevalence of rare diseases (76 cases per 100,000 population)</w:t>
      </w:r>
      <w:r w:rsidR="0019271F">
        <w:rPr>
          <w:rStyle w:val="Odwoanieprzypisudolnego"/>
        </w:rPr>
        <w:footnoteReference w:id="220"/>
      </w:r>
      <w:r w:rsidR="00FF7BF1">
        <w:t xml:space="preserve"> and an overall large population size generates high demand and eases patient recruitment for studies.</w:t>
      </w:r>
      <w:r w:rsidR="007A669B">
        <w:t xml:space="preserve"> However, the eventual commercial success is less certain: </w:t>
      </w:r>
      <w:r w:rsidR="005675A5">
        <w:t xml:space="preserve">although the National Reimbursement Drug List (NRDL) is increasingly funding more </w:t>
      </w:r>
      <w:r w:rsidR="00CA5D6E">
        <w:t>new therapeutic solutions</w:t>
      </w:r>
      <w:r w:rsidR="005675A5">
        <w:t xml:space="preserve">, </w:t>
      </w:r>
      <w:r w:rsidR="00AD2141">
        <w:t xml:space="preserve">reimbursement of ATMPs remains highly uncertain and </w:t>
      </w:r>
      <w:r w:rsidR="00A24AEB">
        <w:t>large price cuts are expected.</w:t>
      </w:r>
      <w:r w:rsidR="00B84420">
        <w:rPr>
          <w:rStyle w:val="Odwoanieprzypisudolnego"/>
        </w:rPr>
        <w:footnoteReference w:id="221"/>
      </w:r>
    </w:p>
    <w:p w14:paraId="102E02DC" w14:textId="2C618934" w:rsidR="006863EC" w:rsidRDefault="00AE5887" w:rsidP="000A2E03">
      <w:pPr>
        <w:pStyle w:val="Tekstpodstawowy"/>
        <w:numPr>
          <w:ilvl w:val="0"/>
          <w:numId w:val="169"/>
        </w:numPr>
      </w:pPr>
      <w:r>
        <w:t xml:space="preserve">The US is the second </w:t>
      </w:r>
      <w:r w:rsidR="004B4151">
        <w:t>most frequent</w:t>
      </w:r>
      <w:r w:rsidR="00FF68FC">
        <w:t>ly chosen</w:t>
      </w:r>
      <w:r w:rsidR="004B4151">
        <w:t xml:space="preserve"> location for </w:t>
      </w:r>
      <w:r w:rsidR="00F7333F">
        <w:t xml:space="preserve">ATMP </w:t>
      </w:r>
      <w:r w:rsidR="004B4151">
        <w:t xml:space="preserve">clinical trials, which may be </w:t>
      </w:r>
      <w:r w:rsidR="00FF68FC">
        <w:t xml:space="preserve">because it is </w:t>
      </w:r>
      <w:r w:rsidR="004B4151">
        <w:t xml:space="preserve">the largest </w:t>
      </w:r>
      <w:r w:rsidR="00BC2D20">
        <w:t xml:space="preserve">global </w:t>
      </w:r>
      <w:r w:rsidR="0007504C">
        <w:t xml:space="preserve">market for </w:t>
      </w:r>
      <w:r w:rsidR="00BC2D20">
        <w:t>pharmaceuticals.</w:t>
      </w:r>
      <w:r w:rsidR="0027319A">
        <w:t xml:space="preserve"> Data show that 64.4% of sales of new medicines</w:t>
      </w:r>
      <w:r w:rsidR="009B0C6A">
        <w:t xml:space="preserve"> launched between 2016</w:t>
      </w:r>
      <w:r w:rsidR="00FF68FC">
        <w:t xml:space="preserve"> and </w:t>
      </w:r>
      <w:r w:rsidR="009B0C6A">
        <w:t>2021 were in the US market (compared with 16.8% in European markets).</w:t>
      </w:r>
      <w:r w:rsidR="00971937">
        <w:rPr>
          <w:rStyle w:val="Odwoanieprzypisudolnego"/>
        </w:rPr>
        <w:footnoteReference w:id="222"/>
      </w:r>
      <w:r w:rsidR="00DF1D14">
        <w:t xml:space="preserve"> </w:t>
      </w:r>
      <w:r w:rsidR="00DF1D14" w:rsidRPr="00DF1D14">
        <w:t>Companies with a high</w:t>
      </w:r>
      <w:r w:rsidR="00DF1D14">
        <w:t>er</w:t>
      </w:r>
      <w:r w:rsidR="00DF1D14" w:rsidRPr="00DF1D14">
        <w:t xml:space="preserve"> proportion of their business in </w:t>
      </w:r>
      <w:r w:rsidR="00FF68FC">
        <w:t xml:space="preserve">the </w:t>
      </w:r>
      <w:r w:rsidR="00DF1D14">
        <w:t>US</w:t>
      </w:r>
      <w:r w:rsidR="00DF1D14" w:rsidRPr="00DF1D14">
        <w:t xml:space="preserve"> vs </w:t>
      </w:r>
      <w:r w:rsidR="00DF1D14">
        <w:t>Europe</w:t>
      </w:r>
      <w:r w:rsidR="00DF1D14" w:rsidRPr="00DF1D14">
        <w:t xml:space="preserve"> </w:t>
      </w:r>
      <w:r w:rsidR="006373FA">
        <w:t>tend to</w:t>
      </w:r>
      <w:r w:rsidR="00DF1D14" w:rsidRPr="00DF1D14">
        <w:t xml:space="preserve"> display </w:t>
      </w:r>
      <w:r w:rsidR="006373FA">
        <w:t>higher</w:t>
      </w:r>
      <w:r w:rsidR="00DF1D14" w:rsidRPr="00DF1D14">
        <w:t xml:space="preserve"> R&amp;D investments</w:t>
      </w:r>
      <w:r w:rsidR="006373FA">
        <w:t>.</w:t>
      </w:r>
      <w:r w:rsidR="00A151B7">
        <w:rPr>
          <w:rStyle w:val="Odwoanieprzypisudolnego"/>
        </w:rPr>
        <w:footnoteReference w:id="223"/>
      </w:r>
      <w:r w:rsidR="00A73C3D">
        <w:t xml:space="preserve"> </w:t>
      </w:r>
      <w:r w:rsidR="00F7333F">
        <w:t xml:space="preserve">ATMP </w:t>
      </w:r>
      <w:r w:rsidR="00A73C3D">
        <w:t xml:space="preserve">developers may therefore be favouring the US for clinical trial investments given the </w:t>
      </w:r>
      <w:r w:rsidR="00684776" w:rsidRPr="00684776">
        <w:t>advantages associated with familiarising clinical key opinion leaders with a new product pre-launch to support its rapid uptake post-marketing authorisation</w:t>
      </w:r>
      <w:r w:rsidR="00684776">
        <w:t>.</w:t>
      </w:r>
    </w:p>
    <w:p w14:paraId="17A8B8A8" w14:textId="34D94D08" w:rsidR="001C42F9" w:rsidRDefault="007E0573" w:rsidP="00D53D69">
      <w:pPr>
        <w:pStyle w:val="Tekstpodstawowy"/>
      </w:pPr>
      <w:r>
        <w:t xml:space="preserve">There has been recognition </w:t>
      </w:r>
      <w:r w:rsidR="004C6DFB">
        <w:t xml:space="preserve">of the importance </w:t>
      </w:r>
      <w:r w:rsidR="00FF68FC">
        <w:t xml:space="preserve">of </w:t>
      </w:r>
      <w:r w:rsidR="004C6DFB">
        <w:t>th</w:t>
      </w:r>
      <w:r>
        <w:t xml:space="preserve">e regulatory process </w:t>
      </w:r>
      <w:r w:rsidR="004C6DFB">
        <w:t xml:space="preserve">for ATMPs, and </w:t>
      </w:r>
      <w:r w:rsidR="00E54F57">
        <w:t xml:space="preserve">despite their different procedures, </w:t>
      </w:r>
      <w:r w:rsidR="00DD6D80">
        <w:t xml:space="preserve">the </w:t>
      </w:r>
      <w:r w:rsidR="000F5144">
        <w:t xml:space="preserve">regulatory </w:t>
      </w:r>
      <w:r w:rsidR="00DD6D80">
        <w:t>pathways</w:t>
      </w:r>
      <w:r w:rsidR="005805D2">
        <w:t xml:space="preserve"> in the US and Europe are seen to lead to </w:t>
      </w:r>
      <w:r w:rsidR="009F4D0F">
        <w:t xml:space="preserve">broadly </w:t>
      </w:r>
      <w:r w:rsidR="005805D2">
        <w:t>similar results</w:t>
      </w:r>
      <w:r>
        <w:t>.</w:t>
      </w:r>
      <w:r w:rsidR="000F5144">
        <w:rPr>
          <w:rStyle w:val="Odwoanieprzypisudolnego"/>
        </w:rPr>
        <w:footnoteReference w:id="224"/>
      </w:r>
      <w:r>
        <w:t xml:space="preserve"> However, </w:t>
      </w:r>
      <w:r w:rsidR="000F5144">
        <w:t xml:space="preserve">there has been </w:t>
      </w:r>
      <w:r>
        <w:t xml:space="preserve">less focus </w:t>
      </w:r>
      <w:r w:rsidR="002D0DB4">
        <w:t xml:space="preserve">across geographies </w:t>
      </w:r>
      <w:r>
        <w:t xml:space="preserve">on </w:t>
      </w:r>
      <w:r w:rsidR="007F036B">
        <w:t xml:space="preserve">the </w:t>
      </w:r>
      <w:r>
        <w:t>role of the p</w:t>
      </w:r>
      <w:r w:rsidR="001C42F9">
        <w:t>rice and reimbursement system</w:t>
      </w:r>
      <w:r>
        <w:t xml:space="preserve">. </w:t>
      </w:r>
      <w:r w:rsidR="001039D6">
        <w:t>New drugs typically reach the public more quickly in the US than in Europe.</w:t>
      </w:r>
      <w:r w:rsidR="00AB7593">
        <w:rPr>
          <w:rStyle w:val="Odwoanieprzypisudolnego"/>
        </w:rPr>
        <w:footnoteReference w:id="225"/>
      </w:r>
      <w:r w:rsidR="00212F36">
        <w:t xml:space="preserve"> </w:t>
      </w:r>
      <w:r>
        <w:t>Systems</w:t>
      </w:r>
      <w:r w:rsidR="001C42F9">
        <w:t xml:space="preserve"> that delay patient access </w:t>
      </w:r>
      <w:r w:rsidR="001C42F9">
        <w:lastRenderedPageBreak/>
        <w:t xml:space="preserve">obviously have a direct impact on patients but also </w:t>
      </w:r>
      <w:r w:rsidR="00C219D3">
        <w:t>a</w:t>
      </w:r>
      <w:r w:rsidR="001C42F9">
        <w:t xml:space="preserve">ffect the attractiveness of </w:t>
      </w:r>
      <w:r w:rsidR="00152522">
        <w:t>undertaking</w:t>
      </w:r>
      <w:r w:rsidR="001C42F9">
        <w:t xml:space="preserve"> innovative activities in Europe. </w:t>
      </w:r>
    </w:p>
    <w:p w14:paraId="4C3E102F" w14:textId="38F0E7D0" w:rsidR="008D5FE5" w:rsidRPr="000A2E03" w:rsidRDefault="008D5FE5" w:rsidP="00D53D69">
      <w:pPr>
        <w:pStyle w:val="Tekstpodstawowy"/>
        <w:rPr>
          <w:b/>
          <w:bCs/>
          <w:color w:val="0073AE" w:themeColor="accent1"/>
          <w:u w:val="single"/>
        </w:rPr>
      </w:pPr>
      <w:r w:rsidRPr="000A2E03">
        <w:rPr>
          <w:b/>
          <w:bCs/>
          <w:color w:val="0073AE" w:themeColor="accent1"/>
          <w:u w:val="single"/>
        </w:rPr>
        <w:t>Recommendation</w:t>
      </w:r>
    </w:p>
    <w:p w14:paraId="1BEF253F" w14:textId="7E4C8838" w:rsidR="00071B6C" w:rsidRDefault="004C4BA7" w:rsidP="00D53D69">
      <w:pPr>
        <w:pStyle w:val="Tekstpodstawowy"/>
      </w:pPr>
      <w:r>
        <w:t>E</w:t>
      </w:r>
      <w:r w:rsidR="007E0573">
        <w:t>arly access</w:t>
      </w:r>
      <w:r w:rsidR="00543553">
        <w:t xml:space="preserve"> and strong reimbursement</w:t>
      </w:r>
      <w:r w:rsidR="007E0573">
        <w:t xml:space="preserve"> needs to </w:t>
      </w:r>
      <w:r w:rsidR="0041735B">
        <w:t xml:space="preserve">be </w:t>
      </w:r>
      <w:r w:rsidR="007E0573">
        <w:t>supported through a streamlined regulatory process</w:t>
      </w:r>
      <w:r w:rsidR="00CD11A3">
        <w:t xml:space="preserve"> and early access mechanisms</w:t>
      </w:r>
      <w:r w:rsidR="007E0573">
        <w:t>, preventing the HTA system</w:t>
      </w:r>
      <w:r w:rsidR="002E3DC0">
        <w:t xml:space="preserve"> or </w:t>
      </w:r>
      <w:r w:rsidR="00CD11A3">
        <w:t>reimbursement</w:t>
      </w:r>
      <w:r w:rsidR="007E0573">
        <w:t xml:space="preserve"> </w:t>
      </w:r>
      <w:r w:rsidR="00A44EF0">
        <w:t xml:space="preserve">from </w:t>
      </w:r>
      <w:r w:rsidR="007E0573">
        <w:t xml:space="preserve">being a </w:t>
      </w:r>
      <w:r w:rsidR="00F8135F">
        <w:t>barrier</w:t>
      </w:r>
      <w:r w:rsidR="007E0573">
        <w:t xml:space="preserve"> for early access</w:t>
      </w:r>
      <w:r w:rsidR="002E3DC0">
        <w:t>,</w:t>
      </w:r>
      <w:r w:rsidR="007E0573">
        <w:t xml:space="preserve"> and </w:t>
      </w:r>
      <w:r w:rsidR="001059F2">
        <w:t xml:space="preserve">ensuring </w:t>
      </w:r>
      <w:r w:rsidR="007E0573">
        <w:t xml:space="preserve">RWE is used as a mechanism for encouraging faster patient access. </w:t>
      </w:r>
      <w:r>
        <w:t xml:space="preserve">In the </w:t>
      </w:r>
      <w:r w:rsidR="00A44EF0">
        <w:t>EU</w:t>
      </w:r>
      <w:r>
        <w:t xml:space="preserve">, </w:t>
      </w:r>
      <w:r w:rsidR="00EB4EB9">
        <w:t xml:space="preserve">ensuring the success of </w:t>
      </w:r>
      <w:r w:rsidR="0049538F">
        <w:t>ongoing</w:t>
      </w:r>
      <w:r w:rsidR="00AC1AA2">
        <w:t xml:space="preserve"> initiative</w:t>
      </w:r>
      <w:r w:rsidR="00A44EF0">
        <w:t>s</w:t>
      </w:r>
      <w:r w:rsidR="00AC1AA2">
        <w:t xml:space="preserve"> to improve RWE and data operability</w:t>
      </w:r>
      <w:r w:rsidR="006E274D">
        <w:t xml:space="preserve"> </w:t>
      </w:r>
      <w:r w:rsidR="006E274D">
        <w:rPr>
          <w:rFonts w:cs="Arial"/>
        </w:rPr>
        <w:t>–</w:t>
      </w:r>
      <w:r w:rsidR="00AC1AA2">
        <w:t xml:space="preserve"> f</w:t>
      </w:r>
      <w:r w:rsidR="007E0573">
        <w:t>or example, as</w:t>
      </w:r>
      <w:r w:rsidR="0058382A">
        <w:t xml:space="preserve"> </w:t>
      </w:r>
      <w:r w:rsidR="00C952A6">
        <w:t>D</w:t>
      </w:r>
      <w:r w:rsidR="00C952A6" w:rsidRPr="00C952A6">
        <w:t xml:space="preserve">ARWIN </w:t>
      </w:r>
      <w:r w:rsidR="00C952A6">
        <w:t>(</w:t>
      </w:r>
      <w:r w:rsidR="00C952A6" w:rsidRPr="00C952A6">
        <w:t>Data Analysis and</w:t>
      </w:r>
      <w:r w:rsidR="00A3026E">
        <w:t xml:space="preserve"> </w:t>
      </w:r>
      <w:r w:rsidR="00C952A6" w:rsidRPr="00C952A6">
        <w:t>Real-World Interrogation Networ</w:t>
      </w:r>
      <w:r w:rsidR="00A3026E">
        <w:t xml:space="preserve">k) and the </w:t>
      </w:r>
      <w:r w:rsidR="00C952A6" w:rsidRPr="00C952A6">
        <w:t xml:space="preserve">European </w:t>
      </w:r>
      <w:r w:rsidR="00A3026E">
        <w:t xml:space="preserve">Health Data Space (EHDS) </w:t>
      </w:r>
      <w:r w:rsidR="00157376">
        <w:t>evolve</w:t>
      </w:r>
      <w:r w:rsidR="006E274D">
        <w:t xml:space="preserve"> </w:t>
      </w:r>
      <w:r w:rsidR="006E274D">
        <w:rPr>
          <w:rFonts w:cs="Arial"/>
        </w:rPr>
        <w:t>–</w:t>
      </w:r>
      <w:r w:rsidR="00157376">
        <w:t xml:space="preserve"> </w:t>
      </w:r>
      <w:r w:rsidR="00AC1AA2">
        <w:t xml:space="preserve">should take into account </w:t>
      </w:r>
      <w:r w:rsidR="00157376">
        <w:t xml:space="preserve">their ability to support and attract clinical trials for </w:t>
      </w:r>
      <w:r w:rsidR="00CB4FEA">
        <w:t>ATMPs</w:t>
      </w:r>
      <w:r w:rsidR="00157376">
        <w:t xml:space="preserve">. </w:t>
      </w:r>
    </w:p>
    <w:p w14:paraId="40B0BBCC" w14:textId="329F5FA4" w:rsidR="008D5FE5" w:rsidRPr="000A2E03" w:rsidRDefault="008D5FE5" w:rsidP="008D5FE5">
      <w:pPr>
        <w:pStyle w:val="Tekstpodstawowy"/>
        <w:rPr>
          <w:b/>
          <w:bCs/>
          <w:color w:val="0073AE" w:themeColor="accent1"/>
          <w:u w:val="single"/>
        </w:rPr>
      </w:pPr>
      <w:r w:rsidRPr="000A2E03">
        <w:rPr>
          <w:b/>
          <w:bCs/>
          <w:color w:val="0073AE" w:themeColor="accent1"/>
          <w:u w:val="single"/>
        </w:rPr>
        <w:t>Current policy priorities</w:t>
      </w:r>
    </w:p>
    <w:p w14:paraId="0FEC3458" w14:textId="14B7DE03" w:rsidR="008D5FE5" w:rsidRDefault="00146E5D" w:rsidP="00D53D69">
      <w:pPr>
        <w:pStyle w:val="Tekstpodstawowy"/>
        <w:rPr>
          <w:color w:val="000000" w:themeColor="text1"/>
        </w:rPr>
      </w:pPr>
      <w:r>
        <w:rPr>
          <w:color w:val="000000" w:themeColor="text1"/>
        </w:rPr>
        <w:t xml:space="preserve">The Commission’s Pharmaceutical Strategy for Europe shares some of these objectives. Supporting innovative trial designs </w:t>
      </w:r>
      <w:r w:rsidR="000A1CBD">
        <w:rPr>
          <w:color w:val="000000" w:themeColor="text1"/>
        </w:rPr>
        <w:t>and new methods of evidence generation and assessment, including use of RWE, are priorities.</w:t>
      </w:r>
      <w:r w:rsidR="00026019">
        <w:rPr>
          <w:rStyle w:val="Odwoanieprzypisudolnego"/>
          <w:color w:val="000000" w:themeColor="text1"/>
        </w:rPr>
        <w:footnoteReference w:id="226"/>
      </w:r>
      <w:r w:rsidR="00E26EBF">
        <w:rPr>
          <w:color w:val="000000" w:themeColor="text1"/>
        </w:rPr>
        <w:t xml:space="preserve"> This is similarly reflected in the inception impact assessment for the upcoming revision of the EU’s general pharmaceutical legislation, which </w:t>
      </w:r>
      <w:r w:rsidR="006F402C">
        <w:rPr>
          <w:color w:val="000000" w:themeColor="text1"/>
        </w:rPr>
        <w:t>discusses</w:t>
      </w:r>
      <w:r w:rsidR="004E6D6B">
        <w:rPr>
          <w:color w:val="000000" w:themeColor="text1"/>
        </w:rPr>
        <w:t xml:space="preserve"> </w:t>
      </w:r>
      <w:r w:rsidR="00CC3741">
        <w:rPr>
          <w:color w:val="000000" w:themeColor="text1"/>
        </w:rPr>
        <w:t>future-proofing the legislation to account fo</w:t>
      </w:r>
      <w:r w:rsidR="001E6053">
        <w:rPr>
          <w:color w:val="000000" w:themeColor="text1"/>
        </w:rPr>
        <w:t>r the new ways in which innovative medicines are developed and evidence is generated.</w:t>
      </w:r>
      <w:r w:rsidR="006957D2">
        <w:rPr>
          <w:rStyle w:val="Odwoanieprzypisudolnego"/>
          <w:color w:val="000000" w:themeColor="text1"/>
        </w:rPr>
        <w:footnoteReference w:id="227"/>
      </w:r>
    </w:p>
    <w:p w14:paraId="4732CC46" w14:textId="6CCCE570" w:rsidR="001E4B3C" w:rsidRPr="000A2E03" w:rsidRDefault="001E4B3C" w:rsidP="00D53D69">
      <w:pPr>
        <w:pStyle w:val="Tekstpodstawowy"/>
        <w:rPr>
          <w:color w:val="000000" w:themeColor="text1"/>
        </w:rPr>
      </w:pPr>
      <w:r>
        <w:rPr>
          <w:color w:val="000000" w:themeColor="text1"/>
        </w:rPr>
        <w:t xml:space="preserve">What the Strategy and </w:t>
      </w:r>
      <w:r w:rsidR="004E6D6B">
        <w:rPr>
          <w:color w:val="000000" w:themeColor="text1"/>
        </w:rPr>
        <w:t xml:space="preserve">the </w:t>
      </w:r>
      <w:r>
        <w:rPr>
          <w:color w:val="000000" w:themeColor="text1"/>
        </w:rPr>
        <w:t xml:space="preserve">impact assessment do not </w:t>
      </w:r>
      <w:r w:rsidR="00BA11BE">
        <w:rPr>
          <w:color w:val="000000" w:themeColor="text1"/>
        </w:rPr>
        <w:t xml:space="preserve">cover is the link between access </w:t>
      </w:r>
      <w:r w:rsidR="00D45771">
        <w:rPr>
          <w:color w:val="000000" w:themeColor="text1"/>
        </w:rPr>
        <w:t xml:space="preserve">mechanisms and the attractiveness of Europe as a </w:t>
      </w:r>
      <w:r w:rsidR="004E6D6B">
        <w:rPr>
          <w:color w:val="000000" w:themeColor="text1"/>
        </w:rPr>
        <w:t xml:space="preserve">destination </w:t>
      </w:r>
      <w:r w:rsidR="00D45771">
        <w:rPr>
          <w:color w:val="000000" w:themeColor="text1"/>
        </w:rPr>
        <w:t>for companies to locate their research, clinical trials and manufacturing</w:t>
      </w:r>
      <w:r w:rsidR="0075220A">
        <w:rPr>
          <w:color w:val="000000" w:themeColor="text1"/>
        </w:rPr>
        <w:t xml:space="preserve">, particularly for new technologies. </w:t>
      </w:r>
    </w:p>
    <w:p w14:paraId="0F9DEB31" w14:textId="1B016DB8" w:rsidR="00211C03" w:rsidRDefault="00456F2C" w:rsidP="000A2E03">
      <w:pPr>
        <w:pStyle w:val="Nagwek4"/>
      </w:pPr>
      <w:bookmarkStart w:id="212" w:name="_Toc109849607"/>
      <w:bookmarkEnd w:id="212"/>
      <w:r>
        <w:t>Recommendation</w:t>
      </w:r>
      <w:r w:rsidR="00A07B02">
        <w:t xml:space="preserve"> 5: </w:t>
      </w:r>
      <w:r w:rsidR="00BB407B" w:rsidRPr="00BB407B">
        <w:t>Boost EU digital transformation and support development of digital capabilities</w:t>
      </w:r>
    </w:p>
    <w:p w14:paraId="4E11D389" w14:textId="6E288B92" w:rsidR="00C24C09" w:rsidRDefault="0099066B" w:rsidP="00C24C09">
      <w:pPr>
        <w:pStyle w:val="Tekstpodstawowy"/>
      </w:pPr>
      <w:r>
        <w:t>There is strong consensus</w:t>
      </w:r>
      <w:r w:rsidR="004E6D6B">
        <w:t>,</w:t>
      </w:r>
      <w:r>
        <w:t xml:space="preserve"> in our interviews with biopharma companies</w:t>
      </w:r>
      <w:r w:rsidR="004E6D6B">
        <w:t>,</w:t>
      </w:r>
      <w:r>
        <w:t xml:space="preserve"> that </w:t>
      </w:r>
      <w:r w:rsidR="00351113">
        <w:t xml:space="preserve">digital transformation in life sciences is increasingly impacting </w:t>
      </w:r>
      <w:r w:rsidR="008D40C6">
        <w:t xml:space="preserve">all business functions and all aspects of the value chain, including research, development and </w:t>
      </w:r>
      <w:r w:rsidR="00A07B02">
        <w:t xml:space="preserve">different types of </w:t>
      </w:r>
      <w:r w:rsidR="008D40C6">
        <w:t xml:space="preserve">manufacturing. </w:t>
      </w:r>
      <w:r w:rsidR="006B5128">
        <w:t>This affects the needs of</w:t>
      </w:r>
      <w:r w:rsidR="002D209A">
        <w:t xml:space="preserve"> different types of</w:t>
      </w:r>
      <w:r w:rsidR="006B5128">
        <w:t xml:space="preserve"> biopharma companies </w:t>
      </w:r>
      <w:r w:rsidR="008A77FB">
        <w:t>and thus their choice of</w:t>
      </w:r>
      <w:r w:rsidR="006B5128">
        <w:t xml:space="preserve"> where to locate </w:t>
      </w:r>
      <w:r w:rsidR="002D209A">
        <w:t>R&amp;D and manufacturing activities:</w:t>
      </w:r>
    </w:p>
    <w:p w14:paraId="1D5526F4" w14:textId="70BFF78A" w:rsidR="002D209A" w:rsidRPr="000A2E03" w:rsidRDefault="002D209A" w:rsidP="00654351">
      <w:pPr>
        <w:pStyle w:val="Tekstpodstawowy"/>
        <w:numPr>
          <w:ilvl w:val="0"/>
          <w:numId w:val="70"/>
        </w:numPr>
        <w:rPr>
          <w:i/>
          <w:iCs/>
        </w:rPr>
      </w:pPr>
      <w:r w:rsidRPr="00D53D69">
        <w:rPr>
          <w:i/>
          <w:iCs/>
        </w:rPr>
        <w:t>Large pharmaceutical companies</w:t>
      </w:r>
      <w:r w:rsidRPr="000A2E03">
        <w:rPr>
          <w:i/>
          <w:iCs/>
        </w:rPr>
        <w:t xml:space="preserve"> </w:t>
      </w:r>
      <w:r w:rsidRPr="00F54E17">
        <w:t xml:space="preserve">are </w:t>
      </w:r>
      <w:r w:rsidR="00694213" w:rsidRPr="00F54E17">
        <w:t xml:space="preserve">currently </w:t>
      </w:r>
      <w:r w:rsidR="000D3D20" w:rsidRPr="00F54E17">
        <w:t xml:space="preserve">working through the transition of their activities from </w:t>
      </w:r>
      <w:r w:rsidR="000860EB" w:rsidRPr="00F54E17">
        <w:t xml:space="preserve">traditional </w:t>
      </w:r>
      <w:r w:rsidR="007B2915" w:rsidRPr="00F54E17">
        <w:t xml:space="preserve">on-site and </w:t>
      </w:r>
      <w:r w:rsidR="000860EB" w:rsidRPr="00F54E17">
        <w:t xml:space="preserve">lab-based science to hybrid models that leverage </w:t>
      </w:r>
      <w:r w:rsidR="004E3A52" w:rsidRPr="00F54E17">
        <w:t>digital technolog</w:t>
      </w:r>
      <w:r w:rsidR="00DD41F3" w:rsidRPr="00F54E17">
        <w:t>ies</w:t>
      </w:r>
      <w:r w:rsidR="007B2915" w:rsidRPr="00F54E17">
        <w:t xml:space="preserve"> and related </w:t>
      </w:r>
      <w:r w:rsidR="00203E54" w:rsidRPr="00F54E17">
        <w:t>innovation.</w:t>
      </w:r>
      <w:r w:rsidR="004E3A52" w:rsidRPr="00F54E17">
        <w:t xml:space="preserve"> </w:t>
      </w:r>
      <w:r w:rsidR="009C5859" w:rsidRPr="00F54E17">
        <w:t xml:space="preserve">With </w:t>
      </w:r>
      <w:r w:rsidR="00AC5C33" w:rsidRPr="00F54E17">
        <w:t>decades</w:t>
      </w:r>
      <w:r w:rsidR="009C5859" w:rsidRPr="00F54E17">
        <w:t xml:space="preserve"> of </w:t>
      </w:r>
      <w:r w:rsidR="006F1EEF" w:rsidRPr="00F54E17">
        <w:t>heritage in traditional science</w:t>
      </w:r>
      <w:r w:rsidR="00DD41F3" w:rsidRPr="00F54E17">
        <w:t>-led research</w:t>
      </w:r>
      <w:r w:rsidR="006F1EEF" w:rsidRPr="00F54E17">
        <w:t xml:space="preserve">, this transformation is complex. </w:t>
      </w:r>
      <w:r w:rsidR="0056687E" w:rsidRPr="00F54E17">
        <w:t xml:space="preserve">When considering </w:t>
      </w:r>
      <w:r w:rsidR="00166DB6" w:rsidRPr="00F54E17">
        <w:t xml:space="preserve">which countries to </w:t>
      </w:r>
      <w:r w:rsidR="00EC6E55" w:rsidRPr="00F54E17">
        <w:t>locate</w:t>
      </w:r>
      <w:r w:rsidR="00166DB6" w:rsidRPr="00F54E17">
        <w:t xml:space="preserve"> </w:t>
      </w:r>
      <w:r w:rsidR="00EC6E55" w:rsidRPr="00F54E17">
        <w:t xml:space="preserve">their </w:t>
      </w:r>
      <w:r w:rsidR="00166DB6" w:rsidRPr="00F54E17">
        <w:t>activities in</w:t>
      </w:r>
      <w:r w:rsidR="000C64E7" w:rsidRPr="00F54E17">
        <w:t xml:space="preserve">, </w:t>
      </w:r>
      <w:r w:rsidR="00E41728" w:rsidRPr="00F54E17">
        <w:t xml:space="preserve">large companies are therefore now </w:t>
      </w:r>
      <w:r w:rsidR="00DD41F3" w:rsidRPr="00F54E17">
        <w:t xml:space="preserve">also </w:t>
      </w:r>
      <w:r w:rsidR="00E41728" w:rsidRPr="00F54E17">
        <w:t xml:space="preserve">considering </w:t>
      </w:r>
      <w:r w:rsidR="00981C6A" w:rsidRPr="00F54E17">
        <w:t>the</w:t>
      </w:r>
      <w:r w:rsidR="00EC6E55" w:rsidRPr="00F54E17">
        <w:t xml:space="preserve"> level of</w:t>
      </w:r>
      <w:r w:rsidR="00981C6A" w:rsidRPr="00F54E17">
        <w:t xml:space="preserve"> support </w:t>
      </w:r>
      <w:r w:rsidR="008A77FB">
        <w:t>each</w:t>
      </w:r>
      <w:r w:rsidR="00981C6A" w:rsidRPr="00F54E17">
        <w:t xml:space="preserve"> country can offer</w:t>
      </w:r>
      <w:r w:rsidR="008A77FB">
        <w:t>,</w:t>
      </w:r>
      <w:r w:rsidR="00981C6A" w:rsidRPr="00F54E17">
        <w:t xml:space="preserve"> </w:t>
      </w:r>
      <w:r w:rsidR="00403E48">
        <w:t>including support with digitalisation</w:t>
      </w:r>
      <w:r w:rsidR="0032022E" w:rsidRPr="00F54E17">
        <w:t>.</w:t>
      </w:r>
      <w:r w:rsidR="006F1EEF" w:rsidRPr="00F54E17">
        <w:rPr>
          <w:rStyle w:val="Odwoanieprzypisudolnego"/>
        </w:rPr>
        <w:footnoteReference w:id="228"/>
      </w:r>
      <w:r w:rsidR="006F1EEF" w:rsidRPr="00F54E17">
        <w:t xml:space="preserve"> </w:t>
      </w:r>
      <w:r w:rsidR="00761C46" w:rsidRPr="00F54E17">
        <w:t xml:space="preserve">For example, this </w:t>
      </w:r>
      <w:r w:rsidR="00282B92" w:rsidRPr="00F54E17">
        <w:t xml:space="preserve">may </w:t>
      </w:r>
      <w:r w:rsidR="00761C46" w:rsidRPr="00F54E17">
        <w:t xml:space="preserve">require </w:t>
      </w:r>
      <w:r w:rsidR="004A61E0" w:rsidRPr="00F54E17">
        <w:t xml:space="preserve">existence of </w:t>
      </w:r>
      <w:r w:rsidR="000C0B44" w:rsidRPr="00F54E17">
        <w:t xml:space="preserve">local </w:t>
      </w:r>
      <w:r w:rsidR="00D54EC5" w:rsidRPr="00F54E17">
        <w:t>organisations</w:t>
      </w:r>
      <w:r w:rsidR="00955FB7" w:rsidRPr="00F54E17">
        <w:t xml:space="preserve"> to support </w:t>
      </w:r>
      <w:r w:rsidR="006D579D" w:rsidRPr="00F54E17">
        <w:t xml:space="preserve">internal </w:t>
      </w:r>
      <w:r w:rsidR="00955FB7" w:rsidRPr="00F54E17">
        <w:t xml:space="preserve">digital transformation, </w:t>
      </w:r>
      <w:r w:rsidR="00D87519" w:rsidRPr="00F54E17">
        <w:t xml:space="preserve">establish </w:t>
      </w:r>
      <w:r w:rsidR="002E76A0" w:rsidRPr="00F54E17">
        <w:t>data infrastructure in life sciences</w:t>
      </w:r>
      <w:r w:rsidR="00DC4DE3" w:rsidRPr="00F54E17">
        <w:t xml:space="preserve"> </w:t>
      </w:r>
      <w:r w:rsidR="00DC4DE3" w:rsidRPr="00F54E17">
        <w:lastRenderedPageBreak/>
        <w:t>and support firms who can</w:t>
      </w:r>
      <w:r w:rsidR="006E1E32" w:rsidRPr="00F54E17">
        <w:t xml:space="preserve"> </w:t>
      </w:r>
      <w:r w:rsidR="00717C64" w:rsidRPr="00F54E17">
        <w:t xml:space="preserve">advise and </w:t>
      </w:r>
      <w:r w:rsidR="00554C5B">
        <w:t>aid in</w:t>
      </w:r>
      <w:r w:rsidR="00717C64" w:rsidRPr="00F54E17">
        <w:t xml:space="preserve"> </w:t>
      </w:r>
      <w:r w:rsidR="006D579D" w:rsidRPr="00F54E17">
        <w:t xml:space="preserve">internal </w:t>
      </w:r>
      <w:r w:rsidR="00717C64" w:rsidRPr="00F54E17">
        <w:t>digitalisation and automation of value chains.</w:t>
      </w:r>
      <w:r w:rsidR="00717C64" w:rsidRPr="000A2E03">
        <w:rPr>
          <w:i/>
          <w:iCs/>
        </w:rPr>
        <w:t xml:space="preserve"> </w:t>
      </w:r>
    </w:p>
    <w:p w14:paraId="5F7EA185" w14:textId="0F885D0D" w:rsidR="002D209A" w:rsidRDefault="00650143" w:rsidP="002D209A">
      <w:pPr>
        <w:pStyle w:val="Tekstpodstawowy"/>
        <w:numPr>
          <w:ilvl w:val="0"/>
          <w:numId w:val="70"/>
        </w:numPr>
      </w:pPr>
      <w:r w:rsidRPr="00D53D69">
        <w:rPr>
          <w:i/>
          <w:iCs/>
        </w:rPr>
        <w:t>Newer small</w:t>
      </w:r>
      <w:r w:rsidR="004602FC">
        <w:rPr>
          <w:i/>
          <w:iCs/>
        </w:rPr>
        <w:t>-</w:t>
      </w:r>
      <w:r w:rsidRPr="00D53D69">
        <w:rPr>
          <w:i/>
          <w:iCs/>
        </w:rPr>
        <w:t xml:space="preserve"> and medium-sized companies</w:t>
      </w:r>
      <w:r>
        <w:t xml:space="preserve"> are </w:t>
      </w:r>
      <w:r w:rsidR="00D656A2">
        <w:t>b</w:t>
      </w:r>
      <w:r w:rsidR="0076446F">
        <w:t xml:space="preserve">eing established from the start with </w:t>
      </w:r>
      <w:r w:rsidR="00063F7B">
        <w:t>a large focus</w:t>
      </w:r>
      <w:r w:rsidR="003C7AFF">
        <w:t xml:space="preserve"> on </w:t>
      </w:r>
      <w:r w:rsidR="00063F7B">
        <w:t xml:space="preserve">leveraging </w:t>
      </w:r>
      <w:r w:rsidR="003C7AFF">
        <w:t>digital technologies</w:t>
      </w:r>
      <w:r w:rsidR="009326F7">
        <w:t xml:space="preserve"> throughout their organisation</w:t>
      </w:r>
      <w:r w:rsidR="00DC2A8A">
        <w:t xml:space="preserve">, </w:t>
      </w:r>
      <w:r w:rsidR="0008143A">
        <w:t>granting them such</w:t>
      </w:r>
      <w:r w:rsidR="00DC2A8A">
        <w:t xml:space="preserve"> internal capabilities</w:t>
      </w:r>
      <w:r w:rsidR="003C7AFF">
        <w:t xml:space="preserve">. </w:t>
      </w:r>
      <w:r w:rsidR="00DA24DE">
        <w:t xml:space="preserve">Moderna, for example, </w:t>
      </w:r>
      <w:r w:rsidR="00FF03DC">
        <w:t xml:space="preserve">founded only </w:t>
      </w:r>
      <w:r w:rsidR="00063F7B">
        <w:t>twelve years ago</w:t>
      </w:r>
      <w:r w:rsidR="00FF03DC">
        <w:t xml:space="preserve"> in Mass</w:t>
      </w:r>
      <w:r w:rsidR="00207337">
        <w:t xml:space="preserve">achusetts, </w:t>
      </w:r>
      <w:r w:rsidR="000626D2">
        <w:t xml:space="preserve">relies on artificial intelligence (AI) and robotic automation </w:t>
      </w:r>
      <w:r w:rsidR="00063F7B">
        <w:t xml:space="preserve">in R&amp;D and production processes. </w:t>
      </w:r>
      <w:r w:rsidR="0038461F">
        <w:t xml:space="preserve">These were used to </w:t>
      </w:r>
      <w:r w:rsidR="001A7FCC">
        <w:t>help them move from manually producin</w:t>
      </w:r>
      <w:r w:rsidR="00FD0E5E">
        <w:t xml:space="preserve">g </w:t>
      </w:r>
      <w:r w:rsidR="00432C1A">
        <w:t>around 30 mRNA molecules per mo</w:t>
      </w:r>
      <w:r w:rsidR="00ED5B48">
        <w:t>nth to around 1,000</w:t>
      </w:r>
      <w:r w:rsidR="00B5679B">
        <w:t xml:space="preserve"> per month </w:t>
      </w:r>
      <w:r w:rsidR="009326F7">
        <w:t>to accelerate development of their COVID-19 vaccine.</w:t>
      </w:r>
      <w:r w:rsidR="009326F7">
        <w:rPr>
          <w:rStyle w:val="Odwoanieprzypisudolnego"/>
        </w:rPr>
        <w:footnoteReference w:id="229"/>
      </w:r>
      <w:r w:rsidR="00DC2A8A">
        <w:t xml:space="preserve"> Externally, what newer companies look for when </w:t>
      </w:r>
      <w:r w:rsidR="00092EE8">
        <w:t xml:space="preserve">choosing where to invest is the existence of a </w:t>
      </w:r>
      <w:r w:rsidR="00CA57AC">
        <w:t>highly qualified workforce, well</w:t>
      </w:r>
      <w:r w:rsidR="004602FC">
        <w:t xml:space="preserve"> </w:t>
      </w:r>
      <w:r w:rsidR="00CA57AC">
        <w:t xml:space="preserve">versed in </w:t>
      </w:r>
      <w:r w:rsidR="00385161">
        <w:t>digital technology</w:t>
      </w:r>
      <w:r w:rsidR="002A4D00">
        <w:t xml:space="preserve"> and data management</w:t>
      </w:r>
      <w:r w:rsidR="0049177C">
        <w:t xml:space="preserve">, </w:t>
      </w:r>
      <w:r w:rsidR="006F3FCD">
        <w:t xml:space="preserve">that they can </w:t>
      </w:r>
      <w:r w:rsidR="0049177C">
        <w:t>add to their existing teams</w:t>
      </w:r>
      <w:r w:rsidR="002A4D00">
        <w:t>.</w:t>
      </w:r>
      <w:r w:rsidR="002A4D00">
        <w:rPr>
          <w:rStyle w:val="Odwoanieprzypisudolnego"/>
        </w:rPr>
        <w:footnoteReference w:id="230"/>
      </w:r>
    </w:p>
    <w:p w14:paraId="3CF2ECA9" w14:textId="3DC417AC" w:rsidR="00751B67" w:rsidRDefault="00751B67" w:rsidP="00D53D69">
      <w:pPr>
        <w:pStyle w:val="Tekstpodstawowy"/>
      </w:pPr>
      <w:r>
        <w:t xml:space="preserve">Looking </w:t>
      </w:r>
      <w:r w:rsidR="00F4255C">
        <w:t xml:space="preserve">at the digital competitiveness of </w:t>
      </w:r>
      <w:r w:rsidR="00094EFD">
        <w:t>countries</w:t>
      </w:r>
      <w:r w:rsidR="00BF1354">
        <w:t xml:space="preserve"> (ranked</w:t>
      </w:r>
      <w:r w:rsidR="00452648">
        <w:t xml:space="preserve"> by the International Institute for Management Development (IMD)</w:t>
      </w:r>
      <w:r w:rsidR="00BF1354">
        <w:t xml:space="preserve"> </w:t>
      </w:r>
      <w:r w:rsidR="00A4600D">
        <w:t xml:space="preserve">based on </w:t>
      </w:r>
      <w:r w:rsidR="00BD4944">
        <w:t xml:space="preserve">52 digital criteria), we see </w:t>
      </w:r>
      <w:r w:rsidR="000D2F77">
        <w:t xml:space="preserve">as expected that the US is </w:t>
      </w:r>
      <w:r w:rsidR="00F3252B">
        <w:t>among the leading countries</w:t>
      </w:r>
      <w:r w:rsidR="000D2F77">
        <w:t>, but notably there are</w:t>
      </w:r>
      <w:r w:rsidR="0049177C">
        <w:t xml:space="preserve"> also</w:t>
      </w:r>
      <w:r w:rsidR="000D2F77">
        <w:t xml:space="preserve"> </w:t>
      </w:r>
      <w:r w:rsidR="005473AE">
        <w:t xml:space="preserve">five European countries in the global top </w:t>
      </w:r>
      <w:r w:rsidR="004602FC">
        <w:t xml:space="preserve">10 </w:t>
      </w:r>
      <w:r w:rsidR="006156D3">
        <w:t>countries for digitalisation</w:t>
      </w:r>
      <w:r w:rsidR="005473AE">
        <w:t xml:space="preserve"> (</w:t>
      </w:r>
      <w:r w:rsidR="004A4E50" w:rsidRPr="000A2E03">
        <w:fldChar w:fldCharType="begin"/>
      </w:r>
      <w:r w:rsidR="004A4E50">
        <w:instrText xml:space="preserve"> REF _Ref110023616 \h </w:instrText>
      </w:r>
      <w:r w:rsidR="004A4E50" w:rsidRPr="000A2E03">
        <w:fldChar w:fldCharType="separate"/>
      </w:r>
      <w:r w:rsidR="004A4E50">
        <w:t xml:space="preserve">Figure </w:t>
      </w:r>
      <w:r w:rsidR="004A4E50">
        <w:rPr>
          <w:noProof/>
        </w:rPr>
        <w:t>20</w:t>
      </w:r>
      <w:r w:rsidR="004A4E50" w:rsidRPr="000A2E03">
        <w:fldChar w:fldCharType="end"/>
      </w:r>
      <w:r w:rsidR="00B22F6C">
        <w:t>).</w:t>
      </w:r>
      <w:r w:rsidR="006064AD">
        <w:t xml:space="preserve"> </w:t>
      </w:r>
      <w:r w:rsidR="00EF0FA6">
        <w:t>China, somewhat surprisingly, is ranked 1</w:t>
      </w:r>
      <w:r w:rsidR="00F3252B">
        <w:t>7</w:t>
      </w:r>
      <w:r w:rsidR="00EF0FA6" w:rsidRPr="009F4D0F">
        <w:rPr>
          <w:vertAlign w:val="superscript"/>
        </w:rPr>
        <w:t>th</w:t>
      </w:r>
      <w:r w:rsidR="00EF0FA6">
        <w:t xml:space="preserve">. </w:t>
      </w:r>
      <w:r w:rsidR="00E22898">
        <w:t xml:space="preserve">This is attributed to the state-based model of digitalisation it has adopted, </w:t>
      </w:r>
      <w:r w:rsidR="002F1A3E">
        <w:t>potentially leading to concerns about data access and ownership.</w:t>
      </w:r>
      <w:r w:rsidR="002F1A3E">
        <w:rPr>
          <w:rStyle w:val="Odwoanieprzypisudolnego"/>
        </w:rPr>
        <w:footnoteReference w:id="231"/>
      </w:r>
      <w:r w:rsidR="002F1A3E">
        <w:t xml:space="preserve"> </w:t>
      </w:r>
      <w:r w:rsidR="0069174E">
        <w:t>From an EU perspective, there may</w:t>
      </w:r>
      <w:r w:rsidR="0049177C">
        <w:t xml:space="preserve"> </w:t>
      </w:r>
      <w:r w:rsidR="003B4D08">
        <w:t xml:space="preserve">nevertheless </w:t>
      </w:r>
      <w:r w:rsidR="0069174E">
        <w:t xml:space="preserve">be concern that major hubs of </w:t>
      </w:r>
      <w:r w:rsidR="0049177C">
        <w:t xml:space="preserve">biopharma </w:t>
      </w:r>
      <w:r w:rsidR="0069174E">
        <w:t>R&amp;D and manufacturing investment</w:t>
      </w:r>
      <w:r w:rsidR="009F3C93">
        <w:t xml:space="preserve"> are lagging behind</w:t>
      </w:r>
      <w:r w:rsidR="00D04C82">
        <w:t xml:space="preserve">, such as </w:t>
      </w:r>
      <w:r w:rsidR="00D22C18">
        <w:t>Germany (1</w:t>
      </w:r>
      <w:r w:rsidR="00F3252B">
        <w:t>9</w:t>
      </w:r>
      <w:r w:rsidR="00D22C18" w:rsidRPr="00D53D69">
        <w:rPr>
          <w:vertAlign w:val="superscript"/>
        </w:rPr>
        <w:t>th</w:t>
      </w:r>
      <w:r w:rsidR="00D22C18">
        <w:t xml:space="preserve">), </w:t>
      </w:r>
      <w:r w:rsidR="00F15EDB">
        <w:t>Belgium (23</w:t>
      </w:r>
      <w:r w:rsidR="00F15EDB" w:rsidRPr="002823BC">
        <w:rPr>
          <w:vertAlign w:val="superscript"/>
        </w:rPr>
        <w:t>rd</w:t>
      </w:r>
      <w:r w:rsidR="00F15EDB">
        <w:t xml:space="preserve">) and </w:t>
      </w:r>
      <w:r w:rsidR="009F3C93">
        <w:t xml:space="preserve">Ireland </w:t>
      </w:r>
      <w:r w:rsidR="00D22C18">
        <w:t>(</w:t>
      </w:r>
      <w:r w:rsidR="00F3252B">
        <w:t>24</w:t>
      </w:r>
      <w:r w:rsidR="00F3252B" w:rsidRPr="00D53D69">
        <w:rPr>
          <w:vertAlign w:val="superscript"/>
        </w:rPr>
        <w:t>th</w:t>
      </w:r>
      <w:r w:rsidR="00D22C18">
        <w:t xml:space="preserve">). </w:t>
      </w:r>
    </w:p>
    <w:p w14:paraId="262C4C20" w14:textId="2EC4D64C" w:rsidR="00576C03" w:rsidRDefault="00576C03" w:rsidP="00576C03">
      <w:pPr>
        <w:pStyle w:val="Legenda"/>
      </w:pPr>
      <w:bookmarkStart w:id="213" w:name="_Ref110023616"/>
      <w:bookmarkStart w:id="214" w:name="_Toc115717813"/>
      <w:r>
        <w:lastRenderedPageBreak/>
        <w:t xml:space="preserve">Figure </w:t>
      </w:r>
      <w:r w:rsidRPr="000A2E03">
        <w:fldChar w:fldCharType="begin"/>
      </w:r>
      <w:r>
        <w:instrText xml:space="preserve"> SEQ Figure \* ARABIC </w:instrText>
      </w:r>
      <w:r w:rsidRPr="000A2E03">
        <w:fldChar w:fldCharType="separate"/>
      </w:r>
      <w:r w:rsidR="002E3DC0">
        <w:rPr>
          <w:noProof/>
        </w:rPr>
        <w:t>20</w:t>
      </w:r>
      <w:r w:rsidRPr="000A2E03">
        <w:fldChar w:fldCharType="end"/>
      </w:r>
      <w:bookmarkEnd w:id="213"/>
      <w:r>
        <w:t xml:space="preserve">: </w:t>
      </w:r>
      <w:r w:rsidR="009A76FA">
        <w:t>Europe’s</w:t>
      </w:r>
      <w:r w:rsidR="00586DEA">
        <w:t xml:space="preserve"> </w:t>
      </w:r>
      <w:r w:rsidR="00E326E9">
        <w:t>strong</w:t>
      </w:r>
      <w:r w:rsidR="009A76FA">
        <w:t>est biopharma</w:t>
      </w:r>
      <w:r w:rsidR="00E326E9">
        <w:t xml:space="preserve"> R&amp;D centres </w:t>
      </w:r>
      <w:r w:rsidR="00E83108">
        <w:t>do not rank highly on digital competitiveness</w:t>
      </w:r>
      <w:bookmarkEnd w:id="214"/>
      <w:r w:rsidR="00E83108">
        <w:t xml:space="preserve"> </w:t>
      </w:r>
    </w:p>
    <w:p w14:paraId="302EBC46" w14:textId="7167204E" w:rsidR="00912F69" w:rsidRPr="00912F69" w:rsidRDefault="00912F69" w:rsidP="002823BC">
      <w:pPr>
        <w:pStyle w:val="Tekstpodstawowy"/>
      </w:pPr>
      <w:r>
        <w:rPr>
          <w:noProof/>
        </w:rPr>
        <w:drawing>
          <wp:inline distT="0" distB="0" distL="0" distR="0" wp14:anchorId="1C4F4A9F" wp14:editId="7ECCC688">
            <wp:extent cx="5048250" cy="283972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048250" cy="2839720"/>
                    </a:xfrm>
                    <a:prstGeom prst="rect">
                      <a:avLst/>
                    </a:prstGeom>
                  </pic:spPr>
                </pic:pic>
              </a:graphicData>
            </a:graphic>
          </wp:inline>
        </w:drawing>
      </w:r>
    </w:p>
    <w:p w14:paraId="4A5FBB44" w14:textId="3EA6A49F" w:rsidR="00053620" w:rsidRPr="00D53D69" w:rsidRDefault="00053620" w:rsidP="009F4D0F">
      <w:pPr>
        <w:pStyle w:val="Tekstpodstawowy"/>
        <w:rPr>
          <w:sz w:val="16"/>
          <w:szCs w:val="16"/>
        </w:rPr>
      </w:pPr>
      <w:r w:rsidRPr="00D53D69">
        <w:rPr>
          <w:sz w:val="16"/>
          <w:szCs w:val="16"/>
        </w:rPr>
        <w:t xml:space="preserve">Source: </w:t>
      </w:r>
      <w:hyperlink r:id="rId50" w:history="1">
        <w:r w:rsidRPr="00D53D69">
          <w:rPr>
            <w:rStyle w:val="Hipercze"/>
            <w:sz w:val="16"/>
            <w:szCs w:val="16"/>
          </w:rPr>
          <w:t>https://www.imd.org/centers/world-competitiveness-center/rankings/world-digital-competitiveness/</w:t>
        </w:r>
      </w:hyperlink>
      <w:r w:rsidRPr="00D53D69">
        <w:rPr>
          <w:sz w:val="16"/>
          <w:szCs w:val="16"/>
        </w:rPr>
        <w:t xml:space="preserve"> [Accessed </w:t>
      </w:r>
      <w:r w:rsidR="00912F69">
        <w:rPr>
          <w:sz w:val="16"/>
          <w:szCs w:val="16"/>
        </w:rPr>
        <w:t>October</w:t>
      </w:r>
      <w:r w:rsidR="00912F69" w:rsidRPr="00D53D69">
        <w:rPr>
          <w:sz w:val="16"/>
          <w:szCs w:val="16"/>
        </w:rPr>
        <w:t xml:space="preserve"> </w:t>
      </w:r>
      <w:r w:rsidRPr="00D53D69">
        <w:rPr>
          <w:sz w:val="16"/>
          <w:szCs w:val="16"/>
        </w:rPr>
        <w:t>2022]</w:t>
      </w:r>
      <w:r w:rsidR="00576C03">
        <w:rPr>
          <w:sz w:val="16"/>
          <w:szCs w:val="16"/>
        </w:rPr>
        <w:t xml:space="preserve">. </w:t>
      </w:r>
      <w:r w:rsidR="00173932">
        <w:rPr>
          <w:sz w:val="16"/>
          <w:szCs w:val="16"/>
        </w:rPr>
        <w:t xml:space="preserve">Pharmaceutical R&amp;D expenditure from </w:t>
      </w:r>
      <w:r w:rsidR="0009097A" w:rsidRPr="0009097A">
        <w:rPr>
          <w:sz w:val="16"/>
          <w:szCs w:val="16"/>
        </w:rPr>
        <w:t>Pharmaceutical Research and Manufacturers of America, PhRMA Annual Survey; China source: Chinese Statistical Yearbook; Japan source:</w:t>
      </w:r>
      <w:r w:rsidR="00BD4C5B">
        <w:rPr>
          <w:sz w:val="16"/>
          <w:szCs w:val="16"/>
        </w:rPr>
        <w:t xml:space="preserve"> </w:t>
      </w:r>
      <w:r w:rsidR="0009097A" w:rsidRPr="0009097A">
        <w:rPr>
          <w:sz w:val="16"/>
          <w:szCs w:val="16"/>
        </w:rPr>
        <w:t>Japan Pharmaceutical Manufacturers Association, R&amp;D Expenditures of the Pharmaceutical Industry; Europe source: European Federation of Pharmaceutical Industries and Associations, the Pharmaceutical Industry in Figures</w:t>
      </w:r>
      <w:r w:rsidR="0009097A">
        <w:rPr>
          <w:sz w:val="16"/>
          <w:szCs w:val="16"/>
        </w:rPr>
        <w:t>.</w:t>
      </w:r>
    </w:p>
    <w:p w14:paraId="75D88D30" w14:textId="223AFDEC" w:rsidR="00053620" w:rsidRPr="000A2E03" w:rsidRDefault="00E079E8" w:rsidP="00D53D69">
      <w:pPr>
        <w:pStyle w:val="Tekstpodstawowy"/>
        <w:rPr>
          <w:b/>
          <w:bCs/>
          <w:color w:val="0073AE" w:themeColor="accent1"/>
          <w:u w:val="single"/>
        </w:rPr>
      </w:pPr>
      <w:r w:rsidRPr="000A2E03">
        <w:rPr>
          <w:b/>
          <w:bCs/>
          <w:color w:val="0073AE" w:themeColor="accent1"/>
          <w:u w:val="single"/>
        </w:rPr>
        <w:t>Recommendation</w:t>
      </w:r>
    </w:p>
    <w:p w14:paraId="39D38E6C" w14:textId="32EDAD46" w:rsidR="00E079E8" w:rsidRDefault="00765C85" w:rsidP="00D53D69">
      <w:pPr>
        <w:pStyle w:val="Tekstpodstawowy"/>
      </w:pPr>
      <w:r>
        <w:t>More</w:t>
      </w:r>
      <w:r w:rsidR="00E079E8">
        <w:t xml:space="preserve"> effort </w:t>
      </w:r>
      <w:r w:rsidR="00FF47E4">
        <w:t>is needed</w:t>
      </w:r>
      <w:r w:rsidR="00E079E8">
        <w:t xml:space="preserve"> to increase the interconnectedness of these hubs or </w:t>
      </w:r>
      <w:r>
        <w:t>to</w:t>
      </w:r>
      <w:r w:rsidR="00E079E8">
        <w:t xml:space="preserve"> upskill these nations </w:t>
      </w:r>
      <w:r w:rsidR="00A05451">
        <w:t xml:space="preserve">to help </w:t>
      </w:r>
      <w:r w:rsidR="004B1C29">
        <w:t xml:space="preserve">ensure </w:t>
      </w:r>
      <w:r>
        <w:t xml:space="preserve">that </w:t>
      </w:r>
      <w:r w:rsidR="00E079E8">
        <w:t>they continue to remain attractive locations for pharmaceutical investment in the future.</w:t>
      </w:r>
    </w:p>
    <w:p w14:paraId="5C509481" w14:textId="7D9A4132" w:rsidR="009464CD" w:rsidRDefault="007C269C" w:rsidP="00D53D69">
      <w:pPr>
        <w:pStyle w:val="Tekstpodstawowy"/>
      </w:pPr>
      <w:r>
        <w:t xml:space="preserve">Specifically, </w:t>
      </w:r>
      <w:r w:rsidR="000F4922">
        <w:t xml:space="preserve">one action </w:t>
      </w:r>
      <w:r w:rsidR="008957C3">
        <w:t xml:space="preserve">emphasised by pharmaceutical companies during our interview programme </w:t>
      </w:r>
      <w:r w:rsidR="009A57FA">
        <w:t>w</w:t>
      </w:r>
      <w:r w:rsidR="008957C3">
        <w:t xml:space="preserve">as the need to </w:t>
      </w:r>
      <w:r w:rsidR="00DC350C">
        <w:t>future-proof</w:t>
      </w:r>
      <w:r w:rsidR="002925A7">
        <w:t xml:space="preserve"> the skills of the European workforce to match the </w:t>
      </w:r>
      <w:r w:rsidR="006B3D23">
        <w:t xml:space="preserve">new </w:t>
      </w:r>
      <w:r w:rsidR="008040E8">
        <w:t>hybrid science</w:t>
      </w:r>
      <w:r w:rsidR="00D07783">
        <w:t xml:space="preserve">-digital </w:t>
      </w:r>
      <w:r w:rsidR="006B3D23">
        <w:t xml:space="preserve">approach </w:t>
      </w:r>
      <w:r w:rsidR="009A57FA">
        <w:t>required for modern</w:t>
      </w:r>
      <w:r w:rsidR="006B3D23">
        <w:t xml:space="preserve"> R&amp;D and manufacturing</w:t>
      </w:r>
      <w:r w:rsidR="009A57FA">
        <w:t xml:space="preserve">. </w:t>
      </w:r>
      <w:r w:rsidR="003D5ABB">
        <w:t>The skill</w:t>
      </w:r>
      <w:r w:rsidR="004B1C29">
        <w:t xml:space="preserve"> </w:t>
      </w:r>
      <w:r w:rsidR="003D5ABB">
        <w:t xml:space="preserve">set required to support pharmaceutical innovation and production is changing; </w:t>
      </w:r>
      <w:r w:rsidR="00ED12D9">
        <w:t xml:space="preserve">whereas traditionally Europe has performed well in producing a workforce of world-leading biologists, chemists and bioengineers, </w:t>
      </w:r>
      <w:r w:rsidR="00A73F3B">
        <w:t xml:space="preserve">modern processes require the workforce to be literate in both pure science and </w:t>
      </w:r>
      <w:r w:rsidR="00A04C52">
        <w:t>digital skills</w:t>
      </w:r>
      <w:r w:rsidR="00ED2A8E">
        <w:t>.</w:t>
      </w:r>
      <w:r w:rsidR="00A327E8">
        <w:t xml:space="preserve"> Lessons could be learnt from </w:t>
      </w:r>
      <w:r w:rsidR="00DB59F8">
        <w:t xml:space="preserve">the </w:t>
      </w:r>
      <w:r w:rsidR="000A62BA">
        <w:t xml:space="preserve">success </w:t>
      </w:r>
      <w:r w:rsidR="00540FD5">
        <w:t xml:space="preserve">in Ireland </w:t>
      </w:r>
      <w:r w:rsidR="004A03BF">
        <w:t xml:space="preserve">in developing a </w:t>
      </w:r>
      <w:r w:rsidR="00E055E2">
        <w:t>flexible</w:t>
      </w:r>
      <w:r w:rsidR="009E5939">
        <w:t xml:space="preserve"> pharmaceutical workforce that can adapt to </w:t>
      </w:r>
      <w:r w:rsidR="00E055E2">
        <w:t xml:space="preserve">changing </w:t>
      </w:r>
      <w:r w:rsidR="00212B28">
        <w:t>industry needs. There are continuing education programmes that</w:t>
      </w:r>
      <w:r w:rsidR="00651EC4">
        <w:t xml:space="preserve">, for example, </w:t>
      </w:r>
      <w:r w:rsidR="00013AD9">
        <w:t>enable</w:t>
      </w:r>
      <w:r w:rsidR="00651EC4">
        <w:t xml:space="preserve"> the </w:t>
      </w:r>
      <w:r w:rsidR="00763115">
        <w:t xml:space="preserve">retraining of </w:t>
      </w:r>
      <w:r w:rsidR="00013AD9">
        <w:t>part</w:t>
      </w:r>
      <w:r w:rsidR="00AC183E">
        <w:t>s</w:t>
      </w:r>
      <w:r w:rsidR="00013AD9">
        <w:t xml:space="preserve"> of the workforce</w:t>
      </w:r>
      <w:r w:rsidR="008003B9">
        <w:t xml:space="preserve"> </w:t>
      </w:r>
      <w:r w:rsidR="00C10835">
        <w:t>involved in small molecule manufacturing to</w:t>
      </w:r>
      <w:r w:rsidR="00013AD9">
        <w:t xml:space="preserve"> </w:t>
      </w:r>
      <w:r w:rsidR="009E12DA">
        <w:t>support new</w:t>
      </w:r>
      <w:r w:rsidR="00C10835">
        <w:t xml:space="preserve"> </w:t>
      </w:r>
      <w:r w:rsidR="00022942">
        <w:t>biologic manufacturing</w:t>
      </w:r>
      <w:r w:rsidR="009E12DA">
        <w:t xml:space="preserve"> processes</w:t>
      </w:r>
      <w:r w:rsidR="00022942">
        <w:t>.</w:t>
      </w:r>
      <w:r w:rsidR="00F14631">
        <w:rPr>
          <w:rStyle w:val="Odwoanieprzypisudolnego"/>
        </w:rPr>
        <w:footnoteReference w:id="232"/>
      </w:r>
      <w:r w:rsidR="00822C9A">
        <w:t xml:space="preserve"> We now observe pharmaceutical companies investing in upskilling their own workforce </w:t>
      </w:r>
      <w:r w:rsidR="004F2C84">
        <w:t xml:space="preserve">to meet new digital needs, such as Moderna’s </w:t>
      </w:r>
      <w:r w:rsidR="003E1E86">
        <w:t>‘AI Academy</w:t>
      </w:r>
      <w:r w:rsidR="00A779EF">
        <w:t xml:space="preserve">’ launched for all </w:t>
      </w:r>
      <w:r w:rsidR="005E22F5">
        <w:t xml:space="preserve">2,400 </w:t>
      </w:r>
      <w:r w:rsidR="007E23ED">
        <w:t xml:space="preserve">of </w:t>
      </w:r>
      <w:r w:rsidR="00A779EF">
        <w:t>Moderna</w:t>
      </w:r>
      <w:r w:rsidR="007E23ED">
        <w:t>’s</w:t>
      </w:r>
      <w:r w:rsidR="00A779EF">
        <w:t xml:space="preserve"> employees</w:t>
      </w:r>
      <w:r w:rsidR="001325B8">
        <w:t xml:space="preserve"> at all levels</w:t>
      </w:r>
      <w:r w:rsidR="005E22F5">
        <w:t xml:space="preserve"> to help them </w:t>
      </w:r>
      <w:r w:rsidR="005E22F5">
        <w:lastRenderedPageBreak/>
        <w:t>integrate artificial intelligence into their work.</w:t>
      </w:r>
      <w:r w:rsidR="005E22F5">
        <w:rPr>
          <w:rStyle w:val="Odwoanieprzypisudolnego"/>
        </w:rPr>
        <w:footnoteReference w:id="233"/>
      </w:r>
      <w:r w:rsidR="005E22F5">
        <w:t xml:space="preserve"> If Europe can proactively create a digital-ready talent</w:t>
      </w:r>
      <w:r w:rsidR="00BE04E6">
        <w:t xml:space="preserve"> pool</w:t>
      </w:r>
      <w:r w:rsidR="005E22F5">
        <w:t>, this could offer a competitive advantage in attracting future investments.</w:t>
      </w:r>
    </w:p>
    <w:p w14:paraId="18E76ED4" w14:textId="4697F911" w:rsidR="00027C91" w:rsidRDefault="006A02A8" w:rsidP="00D53D69">
      <w:pPr>
        <w:pStyle w:val="Tekstpodstawowy"/>
      </w:pPr>
      <w:r>
        <w:t>A more fundamental shift of mindset</w:t>
      </w:r>
      <w:r w:rsidR="00BF6F4E">
        <w:t xml:space="preserve"> towards proactivity </w:t>
      </w:r>
      <w:r>
        <w:t xml:space="preserve">may also </w:t>
      </w:r>
      <w:r w:rsidR="00937BD4">
        <w:t xml:space="preserve">be to Europe’s advantage. </w:t>
      </w:r>
      <w:r w:rsidR="000F739D">
        <w:t>With digitalisation, and with</w:t>
      </w:r>
      <w:r w:rsidR="00BD4C5B">
        <w:t xml:space="preserve"> </w:t>
      </w:r>
      <w:r w:rsidR="00321ED2">
        <w:t>innovation and production</w:t>
      </w:r>
      <w:r w:rsidR="00137125">
        <w:t xml:space="preserve"> </w:t>
      </w:r>
      <w:r w:rsidR="008A0F2A">
        <w:t>of novel therapies such as</w:t>
      </w:r>
      <w:r w:rsidR="00137125">
        <w:t xml:space="preserve"> ATMPs</w:t>
      </w:r>
      <w:r w:rsidR="00321ED2">
        <w:t>, this analysis has focused on identifying opportunities for Europe to catch</w:t>
      </w:r>
      <w:r w:rsidR="004B1C29">
        <w:t xml:space="preserve"> </w:t>
      </w:r>
      <w:r w:rsidR="00590A24">
        <w:t>up to the</w:t>
      </w:r>
      <w:r w:rsidR="00712E9E">
        <w:t xml:space="preserve"> standard being set largely by the US</w:t>
      </w:r>
      <w:r w:rsidR="00D15BA8">
        <w:t>,</w:t>
      </w:r>
      <w:r w:rsidR="00712E9E">
        <w:t xml:space="preserve"> China, and individual Member States within Europe.</w:t>
      </w:r>
      <w:r w:rsidR="00605617">
        <w:t xml:space="preserve"> </w:t>
      </w:r>
      <w:r w:rsidR="006E069A">
        <w:t>While</w:t>
      </w:r>
      <w:r w:rsidR="00605617">
        <w:t xml:space="preserve"> Europe </w:t>
      </w:r>
      <w:r w:rsidR="004B1C29">
        <w:t xml:space="preserve">is </w:t>
      </w:r>
      <w:r w:rsidR="00605617">
        <w:t xml:space="preserve">now adopting a more digital mindset, as evidenced in the Pharmaceutical Strategy for </w:t>
      </w:r>
      <w:r w:rsidR="00F326F2">
        <w:t>E</w:t>
      </w:r>
      <w:r w:rsidR="00605617">
        <w:t xml:space="preserve">urope and with </w:t>
      </w:r>
      <w:r w:rsidR="000923E5">
        <w:t xml:space="preserve">recent </w:t>
      </w:r>
      <w:r w:rsidR="00C2759D">
        <w:t>creation</w:t>
      </w:r>
      <w:r w:rsidR="00605617">
        <w:t xml:space="preserve"> of the European Health Data Space</w:t>
      </w:r>
      <w:r w:rsidR="00F326F2">
        <w:t xml:space="preserve">, this is </w:t>
      </w:r>
      <w:r w:rsidR="00972CA6">
        <w:t>occurring</w:t>
      </w:r>
      <w:r w:rsidR="00F326F2">
        <w:t xml:space="preserve"> later than in markets such as the US,</w:t>
      </w:r>
      <w:r w:rsidR="00712E9E">
        <w:t xml:space="preserve"> </w:t>
      </w:r>
      <w:r w:rsidR="00AC15D1">
        <w:t xml:space="preserve">where </w:t>
      </w:r>
      <w:r w:rsidR="00CD2C0D">
        <w:t>proacti</w:t>
      </w:r>
      <w:r w:rsidR="002E0F07">
        <w:t>v</w:t>
      </w:r>
      <w:r w:rsidR="00CD2C0D">
        <w:t xml:space="preserve">e policy in </w:t>
      </w:r>
      <w:r w:rsidR="003066A2">
        <w:t xml:space="preserve">the late 2000s </w:t>
      </w:r>
      <w:r w:rsidR="007C0E39">
        <w:t xml:space="preserve">resulted in rapid early adoption of </w:t>
      </w:r>
      <w:r w:rsidR="00AD5D28">
        <w:t xml:space="preserve">digital technologies in the health sector, </w:t>
      </w:r>
      <w:r w:rsidR="00F80701">
        <w:t>with 96% of hospitals now</w:t>
      </w:r>
      <w:r w:rsidR="007C5D88">
        <w:t xml:space="preserve"> using electronic health records (EHRs) versus 9% in 2008.</w:t>
      </w:r>
      <w:r w:rsidR="007C5D88">
        <w:rPr>
          <w:rStyle w:val="Odwoanieprzypisudolnego"/>
        </w:rPr>
        <w:footnoteReference w:id="234"/>
      </w:r>
    </w:p>
    <w:p w14:paraId="6E93ADFF" w14:textId="4F3AD086" w:rsidR="00F850BC" w:rsidRDefault="00027C91" w:rsidP="00D53D69">
      <w:pPr>
        <w:pStyle w:val="Tekstpodstawowy"/>
        <w:rPr>
          <w:color w:val="000000" w:themeColor="text1"/>
        </w:rPr>
      </w:pPr>
      <w:r>
        <w:t xml:space="preserve">Following </w:t>
      </w:r>
      <w:r w:rsidR="00972CA6">
        <w:t xml:space="preserve">the paths set </w:t>
      </w:r>
      <w:r w:rsidR="00D05EBC">
        <w:t>by</w:t>
      </w:r>
      <w:r w:rsidR="00972CA6">
        <w:t xml:space="preserve"> other major economies</w:t>
      </w:r>
      <w:r>
        <w:t xml:space="preserve"> </w:t>
      </w:r>
      <w:r w:rsidR="00192EBC">
        <w:t>is a risky strategy to adopt</w:t>
      </w:r>
      <w:r w:rsidR="001A2C4C">
        <w:t>;</w:t>
      </w:r>
      <w:r w:rsidR="00192EBC">
        <w:t xml:space="preserve"> as we </w:t>
      </w:r>
      <w:r w:rsidR="009C3950">
        <w:t xml:space="preserve">described in </w:t>
      </w:r>
      <w:r w:rsidR="005571C2">
        <w:t xml:space="preserve">Recommendation </w:t>
      </w:r>
      <w:r w:rsidR="009C3950">
        <w:t>2</w:t>
      </w:r>
      <w:r w:rsidR="001A2C4C">
        <w:t>,</w:t>
      </w:r>
      <w:r w:rsidR="009C3950">
        <w:t xml:space="preserve"> a compounding effect can set in</w:t>
      </w:r>
      <w:r w:rsidR="00E605E1">
        <w:t>,</w:t>
      </w:r>
      <w:r w:rsidR="009C3950">
        <w:t xml:space="preserve"> </w:t>
      </w:r>
      <w:r w:rsidR="00821069">
        <w:t xml:space="preserve">with pharmaceutical companies now </w:t>
      </w:r>
      <w:r w:rsidR="00AE4BF3">
        <w:t xml:space="preserve">being drawn towards </w:t>
      </w:r>
      <w:r w:rsidR="006265EB">
        <w:t xml:space="preserve">US clusters for ATMP development </w:t>
      </w:r>
      <w:r w:rsidR="00C97DCA">
        <w:t>activities</w:t>
      </w:r>
      <w:r w:rsidR="004B1C29">
        <w:t>,</w:t>
      </w:r>
      <w:r w:rsidR="00C97DCA">
        <w:t xml:space="preserve"> </w:t>
      </w:r>
      <w:r w:rsidR="00137125">
        <w:t>as an example</w:t>
      </w:r>
      <w:r w:rsidR="004B1C29">
        <w:t>,</w:t>
      </w:r>
      <w:r w:rsidR="00137125">
        <w:t xml:space="preserve"> </w:t>
      </w:r>
      <w:r w:rsidR="006265EB">
        <w:t>because the workforce and ecosystem is already there. With</w:t>
      </w:r>
      <w:r w:rsidR="00C97DCA">
        <w:t xml:space="preserve"> each</w:t>
      </w:r>
      <w:r w:rsidR="006265EB">
        <w:t xml:space="preserve"> new technology, </w:t>
      </w:r>
      <w:r w:rsidR="002737F8">
        <w:t xml:space="preserve">there is a new opportunity for a shift in investment activity. The pharmaceutical industry </w:t>
      </w:r>
      <w:r w:rsidR="00137125" w:rsidRPr="00D53D69">
        <w:rPr>
          <w:color w:val="000000" w:themeColor="text1"/>
        </w:rPr>
        <w:t>is</w:t>
      </w:r>
      <w:r w:rsidR="002737F8" w:rsidRPr="00D53D69">
        <w:rPr>
          <w:color w:val="000000" w:themeColor="text1"/>
        </w:rPr>
        <w:t xml:space="preserve"> </w:t>
      </w:r>
      <w:r w:rsidR="003E543D" w:rsidRPr="002737F8">
        <w:rPr>
          <w:color w:val="000000" w:themeColor="text1"/>
        </w:rPr>
        <w:t xml:space="preserve">more </w:t>
      </w:r>
      <w:r w:rsidR="001B54EE" w:rsidRPr="002737F8">
        <w:rPr>
          <w:color w:val="000000" w:themeColor="text1"/>
        </w:rPr>
        <w:t xml:space="preserve">likely to </w:t>
      </w:r>
      <w:r w:rsidR="002737F8" w:rsidRPr="00D53D69">
        <w:rPr>
          <w:color w:val="000000" w:themeColor="text1"/>
        </w:rPr>
        <w:t>invest</w:t>
      </w:r>
      <w:r w:rsidR="001B54EE" w:rsidRPr="002737F8">
        <w:rPr>
          <w:color w:val="000000" w:themeColor="text1"/>
        </w:rPr>
        <w:t xml:space="preserve"> in areas where they have a footprint of activity and expertise; when a new tech</w:t>
      </w:r>
      <w:r w:rsidR="002737F8" w:rsidRPr="00D53D69">
        <w:rPr>
          <w:color w:val="000000" w:themeColor="text1"/>
        </w:rPr>
        <w:t>nology</w:t>
      </w:r>
      <w:r w:rsidR="001B54EE" w:rsidRPr="002737F8">
        <w:rPr>
          <w:color w:val="000000" w:themeColor="text1"/>
        </w:rPr>
        <w:t xml:space="preserve"> comes along</w:t>
      </w:r>
      <w:r w:rsidR="002737F8" w:rsidRPr="00D53D69">
        <w:rPr>
          <w:color w:val="000000" w:themeColor="text1"/>
        </w:rPr>
        <w:t>,</w:t>
      </w:r>
      <w:r w:rsidR="001B54EE" w:rsidRPr="002737F8">
        <w:rPr>
          <w:color w:val="000000" w:themeColor="text1"/>
        </w:rPr>
        <w:t xml:space="preserve"> </w:t>
      </w:r>
      <w:r w:rsidR="002A7548">
        <w:rPr>
          <w:color w:val="000000" w:themeColor="text1"/>
        </w:rPr>
        <w:t xml:space="preserve">in which they </w:t>
      </w:r>
      <w:r w:rsidR="001B54EE" w:rsidRPr="002737F8">
        <w:rPr>
          <w:color w:val="000000" w:themeColor="text1"/>
        </w:rPr>
        <w:t>do</w:t>
      </w:r>
      <w:r w:rsidR="001A7656">
        <w:rPr>
          <w:color w:val="000000" w:themeColor="text1"/>
        </w:rPr>
        <w:t xml:space="preserve"> </w:t>
      </w:r>
      <w:r w:rsidR="001B54EE" w:rsidRPr="002737F8">
        <w:rPr>
          <w:color w:val="000000" w:themeColor="text1"/>
        </w:rPr>
        <w:t>n</w:t>
      </w:r>
      <w:r w:rsidR="001A7656">
        <w:rPr>
          <w:color w:val="000000" w:themeColor="text1"/>
        </w:rPr>
        <w:t>o</w:t>
      </w:r>
      <w:r w:rsidR="001B54EE" w:rsidRPr="002737F8">
        <w:rPr>
          <w:color w:val="000000" w:themeColor="text1"/>
        </w:rPr>
        <w:t>t</w:t>
      </w:r>
      <w:r w:rsidR="002A7548">
        <w:rPr>
          <w:color w:val="000000" w:themeColor="text1"/>
        </w:rPr>
        <w:t xml:space="preserve"> yet</w:t>
      </w:r>
      <w:r w:rsidR="001B54EE" w:rsidRPr="002737F8">
        <w:rPr>
          <w:color w:val="000000" w:themeColor="text1"/>
        </w:rPr>
        <w:t xml:space="preserve"> have </w:t>
      </w:r>
      <w:r w:rsidR="002A7548">
        <w:rPr>
          <w:color w:val="000000" w:themeColor="text1"/>
        </w:rPr>
        <w:t>a</w:t>
      </w:r>
      <w:r w:rsidR="002A7548" w:rsidRPr="002737F8">
        <w:rPr>
          <w:color w:val="000000" w:themeColor="text1"/>
        </w:rPr>
        <w:t xml:space="preserve"> </w:t>
      </w:r>
      <w:r w:rsidR="001B54EE" w:rsidRPr="002737F8">
        <w:rPr>
          <w:color w:val="000000" w:themeColor="text1"/>
        </w:rPr>
        <w:t>footprint</w:t>
      </w:r>
      <w:r w:rsidR="00612C45">
        <w:rPr>
          <w:color w:val="000000" w:themeColor="text1"/>
        </w:rPr>
        <w:t xml:space="preserve">, </w:t>
      </w:r>
      <w:r w:rsidR="00CA14D5">
        <w:rPr>
          <w:color w:val="000000" w:themeColor="text1"/>
        </w:rPr>
        <w:t xml:space="preserve">companies </w:t>
      </w:r>
      <w:r w:rsidR="00D8590A">
        <w:rPr>
          <w:color w:val="000000" w:themeColor="text1"/>
        </w:rPr>
        <w:t xml:space="preserve">show </w:t>
      </w:r>
      <w:r w:rsidR="00612C45">
        <w:rPr>
          <w:color w:val="000000" w:themeColor="text1"/>
        </w:rPr>
        <w:t>greater</w:t>
      </w:r>
      <w:r w:rsidR="001B54EE" w:rsidRPr="002737F8">
        <w:rPr>
          <w:color w:val="000000" w:themeColor="text1"/>
        </w:rPr>
        <w:t xml:space="preserve"> flexib</w:t>
      </w:r>
      <w:r w:rsidR="00612C45">
        <w:rPr>
          <w:color w:val="000000" w:themeColor="text1"/>
        </w:rPr>
        <w:t>i</w:t>
      </w:r>
      <w:r w:rsidR="001B54EE" w:rsidRPr="002737F8">
        <w:rPr>
          <w:color w:val="000000" w:themeColor="text1"/>
        </w:rPr>
        <w:t>l</w:t>
      </w:r>
      <w:r w:rsidR="00612C45">
        <w:rPr>
          <w:color w:val="000000" w:themeColor="text1"/>
        </w:rPr>
        <w:t>ity</w:t>
      </w:r>
      <w:r w:rsidR="001B54EE" w:rsidRPr="002737F8">
        <w:rPr>
          <w:color w:val="000000" w:themeColor="text1"/>
        </w:rPr>
        <w:t xml:space="preserve"> </w:t>
      </w:r>
      <w:r w:rsidR="00612C45">
        <w:rPr>
          <w:color w:val="000000" w:themeColor="text1"/>
        </w:rPr>
        <w:t>in</w:t>
      </w:r>
      <w:r w:rsidR="00612C45" w:rsidRPr="002737F8">
        <w:rPr>
          <w:color w:val="000000" w:themeColor="text1"/>
        </w:rPr>
        <w:t xml:space="preserve"> </w:t>
      </w:r>
      <w:r w:rsidR="002737F8" w:rsidRPr="00D53D69">
        <w:rPr>
          <w:color w:val="000000" w:themeColor="text1"/>
        </w:rPr>
        <w:t>relocat</w:t>
      </w:r>
      <w:r w:rsidR="00612C45">
        <w:rPr>
          <w:color w:val="000000" w:themeColor="text1"/>
        </w:rPr>
        <w:t>ing</w:t>
      </w:r>
      <w:r w:rsidR="002737F8" w:rsidRPr="002737F8">
        <w:rPr>
          <w:color w:val="000000" w:themeColor="text1"/>
        </w:rPr>
        <w:t xml:space="preserve"> </w:t>
      </w:r>
      <w:r w:rsidR="00C73BBD" w:rsidRPr="002737F8">
        <w:rPr>
          <w:color w:val="000000" w:themeColor="text1"/>
        </w:rPr>
        <w:t>where the investment goes</w:t>
      </w:r>
      <w:r w:rsidR="003E543D" w:rsidRPr="002737F8">
        <w:rPr>
          <w:color w:val="000000" w:themeColor="text1"/>
        </w:rPr>
        <w:t xml:space="preserve">. </w:t>
      </w:r>
      <w:r w:rsidR="002737F8" w:rsidRPr="00D53D69">
        <w:rPr>
          <w:color w:val="000000" w:themeColor="text1"/>
        </w:rPr>
        <w:t>This creates an o</w:t>
      </w:r>
      <w:r w:rsidR="003E543D" w:rsidRPr="002737F8">
        <w:rPr>
          <w:color w:val="000000" w:themeColor="text1"/>
        </w:rPr>
        <w:t xml:space="preserve">pportunity for Europe to have a competitive </w:t>
      </w:r>
      <w:r w:rsidR="003E543D" w:rsidRPr="00211CD2">
        <w:rPr>
          <w:color w:val="000000" w:themeColor="text1"/>
        </w:rPr>
        <w:t>edg</w:t>
      </w:r>
      <w:r w:rsidR="00211CD2" w:rsidRPr="00211CD2">
        <w:rPr>
          <w:color w:val="000000" w:themeColor="text1"/>
        </w:rPr>
        <w:t xml:space="preserve">e. </w:t>
      </w:r>
      <w:r w:rsidR="0022242A" w:rsidRPr="00211CD2">
        <w:rPr>
          <w:color w:val="000000" w:themeColor="text1"/>
        </w:rPr>
        <w:t>Europe could benefit from</w:t>
      </w:r>
      <w:r w:rsidR="00211CD2" w:rsidRPr="00D53D69">
        <w:rPr>
          <w:color w:val="000000" w:themeColor="text1"/>
        </w:rPr>
        <w:t xml:space="preserve"> </w:t>
      </w:r>
      <w:r w:rsidR="0022242A" w:rsidRPr="00211CD2">
        <w:rPr>
          <w:color w:val="000000" w:themeColor="text1"/>
        </w:rPr>
        <w:t>h</w:t>
      </w:r>
      <w:r w:rsidR="00560E69" w:rsidRPr="00211CD2">
        <w:rPr>
          <w:color w:val="000000" w:themeColor="text1"/>
        </w:rPr>
        <w:t xml:space="preserve">orizon scanning and </w:t>
      </w:r>
      <w:r w:rsidR="007B70BD" w:rsidRPr="00211CD2">
        <w:rPr>
          <w:color w:val="000000" w:themeColor="text1"/>
        </w:rPr>
        <w:t xml:space="preserve">proactively </w:t>
      </w:r>
      <w:r w:rsidR="00560E69" w:rsidRPr="00211CD2">
        <w:rPr>
          <w:color w:val="000000" w:themeColor="text1"/>
        </w:rPr>
        <w:t xml:space="preserve">preparing </w:t>
      </w:r>
      <w:r w:rsidR="00211CD2" w:rsidRPr="00D53D69">
        <w:rPr>
          <w:color w:val="000000" w:themeColor="text1"/>
        </w:rPr>
        <w:t xml:space="preserve">the life sciences </w:t>
      </w:r>
      <w:r w:rsidR="00560E69" w:rsidRPr="00211CD2">
        <w:rPr>
          <w:color w:val="000000" w:themeColor="text1"/>
        </w:rPr>
        <w:t>ecosystem for new</w:t>
      </w:r>
      <w:r w:rsidR="0022242A" w:rsidRPr="00211CD2">
        <w:rPr>
          <w:color w:val="000000" w:themeColor="text1"/>
        </w:rPr>
        <w:t xml:space="preserve"> upcoming</w:t>
      </w:r>
      <w:r w:rsidR="00560E69" w:rsidRPr="00211CD2">
        <w:rPr>
          <w:color w:val="000000" w:themeColor="text1"/>
        </w:rPr>
        <w:t xml:space="preserve"> </w:t>
      </w:r>
      <w:r w:rsidR="00211CD2" w:rsidRPr="00D53D69">
        <w:rPr>
          <w:color w:val="000000" w:themeColor="text1"/>
        </w:rPr>
        <w:t>transformational t</w:t>
      </w:r>
      <w:r w:rsidR="00560E69" w:rsidRPr="00211CD2">
        <w:rPr>
          <w:color w:val="000000" w:themeColor="text1"/>
        </w:rPr>
        <w:t>echnologies</w:t>
      </w:r>
      <w:r w:rsidR="00211CD2" w:rsidRPr="00D53D69">
        <w:rPr>
          <w:color w:val="000000" w:themeColor="text1"/>
        </w:rPr>
        <w:t>, beyond digital and ATMPs.</w:t>
      </w:r>
    </w:p>
    <w:p w14:paraId="4A0310FF" w14:textId="3D215DB5" w:rsidR="00E079E8" w:rsidRPr="000A2E03" w:rsidRDefault="00E079E8" w:rsidP="00E079E8">
      <w:pPr>
        <w:pStyle w:val="Tekstpodstawowy"/>
        <w:rPr>
          <w:b/>
          <w:bCs/>
          <w:color w:val="0073AE" w:themeColor="accent1"/>
          <w:u w:val="single"/>
        </w:rPr>
      </w:pPr>
      <w:r w:rsidRPr="000A2E03">
        <w:rPr>
          <w:b/>
          <w:bCs/>
          <w:color w:val="0073AE" w:themeColor="accent1"/>
          <w:u w:val="single"/>
        </w:rPr>
        <w:t>Current policy priorities</w:t>
      </w:r>
    </w:p>
    <w:p w14:paraId="72AFF35B" w14:textId="4F5C116C" w:rsidR="00E079E8" w:rsidRPr="000242C5" w:rsidRDefault="00D95DA1" w:rsidP="00E079E8">
      <w:pPr>
        <w:pStyle w:val="Tekstpodstawowy"/>
        <w:rPr>
          <w:color w:val="000000" w:themeColor="text1"/>
        </w:rPr>
      </w:pPr>
      <w:r>
        <w:rPr>
          <w:color w:val="000000" w:themeColor="text1"/>
        </w:rPr>
        <w:t xml:space="preserve">The EU’s Pharmaceutical Strategy shares a focus on </w:t>
      </w:r>
      <w:r w:rsidR="00622FEC">
        <w:rPr>
          <w:color w:val="000000" w:themeColor="text1"/>
        </w:rPr>
        <w:t xml:space="preserve">preparing for the digital transformation. </w:t>
      </w:r>
      <w:r w:rsidR="00EF18DD">
        <w:rPr>
          <w:color w:val="000000" w:themeColor="text1"/>
        </w:rPr>
        <w:t>Specifically,</w:t>
      </w:r>
      <w:r w:rsidR="00622FEC">
        <w:rPr>
          <w:color w:val="000000" w:themeColor="text1"/>
        </w:rPr>
        <w:t xml:space="preserve"> </w:t>
      </w:r>
      <w:r w:rsidR="00BD703D">
        <w:rPr>
          <w:color w:val="000000" w:themeColor="text1"/>
        </w:rPr>
        <w:t>the Commission sets out an aim to ensure Europe’s pharmaceutical policy evolves in line with the digital transition.</w:t>
      </w:r>
      <w:r w:rsidR="005D3A34">
        <w:rPr>
          <w:color w:val="000000" w:themeColor="text1"/>
        </w:rPr>
        <w:t xml:space="preserve"> This includes, for example, the creation of </w:t>
      </w:r>
      <w:r w:rsidR="00BD3133">
        <w:rPr>
          <w:color w:val="000000" w:themeColor="text1"/>
        </w:rPr>
        <w:t xml:space="preserve">the </w:t>
      </w:r>
      <w:r w:rsidR="005D3A34">
        <w:rPr>
          <w:color w:val="000000" w:themeColor="text1"/>
        </w:rPr>
        <w:t>Europe</w:t>
      </w:r>
      <w:r w:rsidR="00BD3133">
        <w:rPr>
          <w:color w:val="000000" w:themeColor="text1"/>
        </w:rPr>
        <w:t>an</w:t>
      </w:r>
      <w:r w:rsidR="005D3A34">
        <w:rPr>
          <w:color w:val="000000" w:themeColor="text1"/>
        </w:rPr>
        <w:t xml:space="preserve"> </w:t>
      </w:r>
      <w:r w:rsidR="00BD3133">
        <w:rPr>
          <w:color w:val="000000" w:themeColor="text1"/>
        </w:rPr>
        <w:t>H</w:t>
      </w:r>
      <w:r w:rsidR="005D3A34">
        <w:rPr>
          <w:color w:val="000000" w:themeColor="text1"/>
        </w:rPr>
        <w:t xml:space="preserve">ealth </w:t>
      </w:r>
      <w:r w:rsidR="00BD3133">
        <w:rPr>
          <w:color w:val="000000" w:themeColor="text1"/>
        </w:rPr>
        <w:t>D</w:t>
      </w:r>
      <w:r w:rsidR="005D3A34">
        <w:rPr>
          <w:color w:val="000000" w:themeColor="text1"/>
        </w:rPr>
        <w:t xml:space="preserve">ata </w:t>
      </w:r>
      <w:r w:rsidR="00BD3133">
        <w:rPr>
          <w:color w:val="000000" w:themeColor="text1"/>
        </w:rPr>
        <w:t>S</w:t>
      </w:r>
      <w:r w:rsidR="005D3A34">
        <w:rPr>
          <w:color w:val="000000" w:themeColor="text1"/>
        </w:rPr>
        <w:t xml:space="preserve">pace, </w:t>
      </w:r>
      <w:r w:rsidR="00B648D9">
        <w:rPr>
          <w:color w:val="000000" w:themeColor="text1"/>
        </w:rPr>
        <w:t>which is now under establishment</w:t>
      </w:r>
      <w:r w:rsidR="00BD3133">
        <w:rPr>
          <w:color w:val="000000" w:themeColor="text1"/>
        </w:rPr>
        <w:t xml:space="preserve"> and aims to </w:t>
      </w:r>
      <w:r w:rsidR="004F27AC">
        <w:rPr>
          <w:color w:val="000000" w:themeColor="text1"/>
        </w:rPr>
        <w:t>optimise data sharing and use in Europe</w:t>
      </w:r>
      <w:r w:rsidR="00B648D9">
        <w:rPr>
          <w:color w:val="000000" w:themeColor="text1"/>
        </w:rPr>
        <w:t>.</w:t>
      </w:r>
      <w:r w:rsidR="00022EF4">
        <w:rPr>
          <w:color w:val="000000" w:themeColor="text1"/>
        </w:rPr>
        <w:t xml:space="preserve"> However, </w:t>
      </w:r>
      <w:r w:rsidR="00942E9B">
        <w:rPr>
          <w:color w:val="000000" w:themeColor="text1"/>
        </w:rPr>
        <w:t xml:space="preserve">there is a lack of </w:t>
      </w:r>
      <w:r w:rsidR="00151181">
        <w:rPr>
          <w:color w:val="000000" w:themeColor="text1"/>
        </w:rPr>
        <w:t xml:space="preserve">strong </w:t>
      </w:r>
      <w:r w:rsidR="00942E9B">
        <w:rPr>
          <w:color w:val="000000" w:themeColor="text1"/>
        </w:rPr>
        <w:t xml:space="preserve">emphasis </w:t>
      </w:r>
      <w:r w:rsidR="004F27AC">
        <w:rPr>
          <w:color w:val="000000" w:themeColor="text1"/>
        </w:rPr>
        <w:t xml:space="preserve">in the Strategy </w:t>
      </w:r>
      <w:r w:rsidR="00942E9B">
        <w:rPr>
          <w:color w:val="000000" w:themeColor="text1"/>
        </w:rPr>
        <w:t xml:space="preserve">on </w:t>
      </w:r>
      <w:r w:rsidR="005B2101">
        <w:rPr>
          <w:color w:val="000000" w:themeColor="text1"/>
        </w:rPr>
        <w:t xml:space="preserve">broadly </w:t>
      </w:r>
      <w:r w:rsidR="00942E9B">
        <w:rPr>
          <w:color w:val="000000" w:themeColor="text1"/>
        </w:rPr>
        <w:t xml:space="preserve">supporting Member States in modernising their digital infrastructure </w:t>
      </w:r>
      <w:r w:rsidR="00EF18DD">
        <w:rPr>
          <w:color w:val="000000" w:themeColor="text1"/>
        </w:rPr>
        <w:t>to</w:t>
      </w:r>
      <w:r w:rsidR="00942E9B">
        <w:rPr>
          <w:color w:val="000000" w:themeColor="text1"/>
        </w:rPr>
        <w:t xml:space="preserve"> support development and production of, and access to, innovative medicines.</w:t>
      </w:r>
      <w:r w:rsidR="00022EF4">
        <w:rPr>
          <w:color w:val="000000" w:themeColor="text1"/>
        </w:rPr>
        <w:t xml:space="preserve"> </w:t>
      </w:r>
    </w:p>
    <w:p w14:paraId="6CB9AEB2" w14:textId="071FAF6D" w:rsidR="0000341D" w:rsidRDefault="0000341D" w:rsidP="00364707">
      <w:pPr>
        <w:pStyle w:val="Nagwek2"/>
        <w:suppressAutoHyphens/>
        <w:ind w:left="0" w:hanging="709"/>
      </w:pPr>
      <w:bookmarkStart w:id="215" w:name="_Toc113617069"/>
      <w:bookmarkStart w:id="216" w:name="_Toc115717792"/>
      <w:bookmarkEnd w:id="215"/>
      <w:r w:rsidRPr="0000341D">
        <w:t>Learning from COVID-19 and managing risk and the external environment</w:t>
      </w:r>
      <w:bookmarkEnd w:id="216"/>
    </w:p>
    <w:p w14:paraId="48D5F205" w14:textId="5827CFC0" w:rsidR="009D41FC" w:rsidRDefault="00F61020" w:rsidP="000A2E03">
      <w:pPr>
        <w:pStyle w:val="Nagwek4"/>
      </w:pPr>
      <w:r>
        <w:t xml:space="preserve">Recommendation 6: </w:t>
      </w:r>
      <w:bookmarkStart w:id="217" w:name="_Hlk110173192"/>
      <w:r w:rsidR="008A177A" w:rsidRPr="008A177A">
        <w:t>Foster adoption of sustainable procurement and pricing policies for innovation</w:t>
      </w:r>
      <w:bookmarkEnd w:id="217"/>
    </w:p>
    <w:p w14:paraId="1BE565D1" w14:textId="387B10CF" w:rsidR="00A15099" w:rsidRDefault="00264D2F" w:rsidP="002426B1">
      <w:pPr>
        <w:pStyle w:val="Tekstpodstawowy"/>
      </w:pPr>
      <w:r>
        <w:t xml:space="preserve">The importance </w:t>
      </w:r>
      <w:r w:rsidR="00314570">
        <w:t xml:space="preserve">of creating an ecosystem in Europe that </w:t>
      </w:r>
      <w:r w:rsidR="008860EC">
        <w:t>support</w:t>
      </w:r>
      <w:r w:rsidR="005B2101">
        <w:t>s</w:t>
      </w:r>
      <w:r w:rsidR="008860EC">
        <w:t xml:space="preserve"> early access, </w:t>
      </w:r>
      <w:r w:rsidR="008F6AB2">
        <w:t xml:space="preserve">leans into the digital transformation and supports </w:t>
      </w:r>
      <w:r w:rsidR="008860EC">
        <w:t>the use of RWE</w:t>
      </w:r>
      <w:r w:rsidR="00137125">
        <w:t xml:space="preserve"> as well as protecting IP</w:t>
      </w:r>
      <w:r w:rsidR="00BD44E5">
        <w:t xml:space="preserve">, </w:t>
      </w:r>
      <w:r w:rsidR="008860EC">
        <w:t xml:space="preserve">is clear for new </w:t>
      </w:r>
      <w:r w:rsidR="007B3ECD">
        <w:t>therapeutic</w:t>
      </w:r>
      <w:r w:rsidR="004C4BA7">
        <w:t xml:space="preserve"> solutions </w:t>
      </w:r>
      <w:r w:rsidR="008860EC">
        <w:t xml:space="preserve">such as </w:t>
      </w:r>
      <w:r w:rsidR="008F6AB2">
        <w:t xml:space="preserve">ATMPs. </w:t>
      </w:r>
      <w:r w:rsidR="00123BBC">
        <w:t>At the same time</w:t>
      </w:r>
      <w:r w:rsidR="00B91CF4">
        <w:t>,</w:t>
      </w:r>
      <w:r w:rsidR="00123BBC">
        <w:t xml:space="preserve"> as a result of </w:t>
      </w:r>
      <w:r w:rsidR="006B5B96">
        <w:t xml:space="preserve">the global disruption caused by the COVID-19 pandemic, we see the EU prioritising </w:t>
      </w:r>
      <w:r w:rsidR="00FC2900">
        <w:t xml:space="preserve">initiatives to </w:t>
      </w:r>
      <w:r w:rsidR="00FC2900">
        <w:lastRenderedPageBreak/>
        <w:t xml:space="preserve">strengthen supply </w:t>
      </w:r>
      <w:r w:rsidR="0067209B">
        <w:t xml:space="preserve">and production </w:t>
      </w:r>
      <w:r w:rsidR="00FC2900">
        <w:t>of these medicines</w:t>
      </w:r>
      <w:r w:rsidR="008461E9">
        <w:t xml:space="preserve">. The EU Pharmaceutical Strategy, for example, </w:t>
      </w:r>
      <w:r w:rsidR="000B1FE5">
        <w:t>focuses on boosting the EU’s “strategic autonomy</w:t>
      </w:r>
      <w:r w:rsidR="006B5B96">
        <w:t>”</w:t>
      </w:r>
      <w:r w:rsidR="00CB4DA1">
        <w:t xml:space="preserve"> in medicine supply, noting that there may be a need</w:t>
      </w:r>
      <w:r w:rsidR="00C81C53">
        <w:t xml:space="preserve"> for production of certain critical medicines within the EU.</w:t>
      </w:r>
      <w:r w:rsidR="00355250">
        <w:rPr>
          <w:rStyle w:val="Odwoanieprzypisudolnego"/>
        </w:rPr>
        <w:footnoteReference w:id="235"/>
      </w:r>
      <w:r w:rsidR="00355250">
        <w:t xml:space="preserve"> </w:t>
      </w:r>
      <w:r w:rsidR="00123BBC">
        <w:t xml:space="preserve">There is a danger that industrial policy focuses on the most innovative medicines </w:t>
      </w:r>
      <w:r w:rsidR="00C819B3">
        <w:t xml:space="preserve">while </w:t>
      </w:r>
      <w:r w:rsidR="00123BBC">
        <w:t>the relocation of manufacturing focus</w:t>
      </w:r>
      <w:r w:rsidR="00DA71D6">
        <w:t>es</w:t>
      </w:r>
      <w:r w:rsidR="00123BBC">
        <w:t xml:space="preserve"> on off-patent medicine</w:t>
      </w:r>
      <w:r w:rsidR="009E7695">
        <w:t>s</w:t>
      </w:r>
      <w:r w:rsidR="00DA71D6">
        <w:t>,</w:t>
      </w:r>
      <w:r w:rsidR="00123BBC">
        <w:t xml:space="preserve"> </w:t>
      </w:r>
      <w:r w:rsidR="00DA71D6">
        <w:t>leaving</w:t>
      </w:r>
      <w:r w:rsidR="00123BBC">
        <w:t xml:space="preserve"> a gap in the middle.</w:t>
      </w:r>
      <w:r w:rsidR="00364707">
        <w:t xml:space="preserve"> Interviews with pharmaceutical companies called out a lack of such support for established conventional medicines.</w:t>
      </w:r>
    </w:p>
    <w:p w14:paraId="0E817C20" w14:textId="20C54F98" w:rsidR="007E370B" w:rsidRPr="000A2E03" w:rsidRDefault="007E370B" w:rsidP="002426B1">
      <w:pPr>
        <w:pStyle w:val="Tekstpodstawowy"/>
        <w:rPr>
          <w:b/>
          <w:bCs/>
          <w:color w:val="0073AE" w:themeColor="accent1"/>
          <w:u w:val="single"/>
        </w:rPr>
      </w:pPr>
      <w:r w:rsidRPr="000A2E03">
        <w:rPr>
          <w:b/>
          <w:bCs/>
          <w:color w:val="0073AE" w:themeColor="accent1"/>
          <w:u w:val="single"/>
        </w:rPr>
        <w:t>Recommendation</w:t>
      </w:r>
    </w:p>
    <w:p w14:paraId="61BE7D8D" w14:textId="64409603" w:rsidR="005E4838" w:rsidRDefault="0068226F" w:rsidP="007C141A">
      <w:pPr>
        <w:pStyle w:val="Tekstpodstawowy"/>
      </w:pPr>
      <w:r>
        <w:t>The solution to ensuring sustainability of these medicines is likely to be multifaceted</w:t>
      </w:r>
      <w:r w:rsidR="008716BA">
        <w:t>.</w:t>
      </w:r>
    </w:p>
    <w:p w14:paraId="34BF3D6C" w14:textId="43DDD312" w:rsidR="008F14F7" w:rsidRPr="00712CA7" w:rsidRDefault="005E4838" w:rsidP="008F14F7">
      <w:pPr>
        <w:pStyle w:val="Tekstpodstawowy"/>
        <w:numPr>
          <w:ilvl w:val="0"/>
          <w:numId w:val="77"/>
        </w:numPr>
        <w:rPr>
          <w:color w:val="000000" w:themeColor="text1"/>
        </w:rPr>
      </w:pPr>
      <w:r w:rsidRPr="00E8493E">
        <w:rPr>
          <w:color w:val="000000" w:themeColor="text1"/>
        </w:rPr>
        <w:t>Investment in R&amp;D for traditional technologies continues to play a critical role; even in rapidly evolving therapy areas</w:t>
      </w:r>
      <w:r w:rsidR="00137125">
        <w:rPr>
          <w:color w:val="000000" w:themeColor="text1"/>
        </w:rPr>
        <w:t xml:space="preserve"> and vaccines</w:t>
      </w:r>
      <w:r w:rsidRPr="00E8493E">
        <w:rPr>
          <w:color w:val="000000" w:themeColor="text1"/>
        </w:rPr>
        <w:t>, traditional technologies continue to account for a large proportion of innovation. In neurology, for example, for which there are many promising transformative therapies in development, 77% of the pipeline consists of small molecule products.</w:t>
      </w:r>
      <w:r w:rsidRPr="00E8493E">
        <w:rPr>
          <w:rStyle w:val="Odwoanieprzypisudolnego"/>
          <w:color w:val="000000" w:themeColor="text1"/>
        </w:rPr>
        <w:footnoteReference w:id="236"/>
      </w:r>
      <w:r w:rsidRPr="00E8493E">
        <w:rPr>
          <w:color w:val="000000" w:themeColor="text1"/>
        </w:rPr>
        <w:t xml:space="preserve"> Continuing to attract these types of investments is therefore important to Europe’s overall competitiveness in the biopharmaceutical industry. </w:t>
      </w:r>
      <w:r w:rsidR="006E069A">
        <w:rPr>
          <w:color w:val="000000" w:themeColor="text1"/>
        </w:rPr>
        <w:t>While</w:t>
      </w:r>
      <w:r w:rsidRPr="00E8493E">
        <w:rPr>
          <w:color w:val="000000" w:themeColor="text1"/>
        </w:rPr>
        <w:t xml:space="preserve"> there are successful examples of EU-led initiatives to support innovative medicines and technologies, such as Horizon 2020</w:t>
      </w:r>
      <w:r w:rsidR="004B0964">
        <w:rPr>
          <w:color w:val="000000" w:themeColor="text1"/>
        </w:rPr>
        <w:t>,</w:t>
      </w:r>
      <w:r w:rsidRPr="00E8493E">
        <w:rPr>
          <w:color w:val="000000" w:themeColor="text1"/>
        </w:rPr>
        <w:t xml:space="preserve"> these need to </w:t>
      </w:r>
      <w:r w:rsidRPr="00712CA7">
        <w:rPr>
          <w:color w:val="000000" w:themeColor="text1"/>
        </w:rPr>
        <w:t xml:space="preserve">support innovation </w:t>
      </w:r>
      <w:r w:rsidR="008F14F7" w:rsidRPr="00712CA7">
        <w:rPr>
          <w:color w:val="000000" w:themeColor="text1"/>
        </w:rPr>
        <w:t>i</w:t>
      </w:r>
      <w:r w:rsidRPr="00712CA7">
        <w:rPr>
          <w:color w:val="000000" w:themeColor="text1"/>
        </w:rPr>
        <w:t xml:space="preserve">n the </w:t>
      </w:r>
      <w:r w:rsidR="00CA5D6E" w:rsidRPr="00712CA7">
        <w:rPr>
          <w:color w:val="000000" w:themeColor="text1"/>
        </w:rPr>
        <w:t>round</w:t>
      </w:r>
      <w:r w:rsidR="00CA5D6E">
        <w:rPr>
          <w:color w:val="000000" w:themeColor="text1"/>
        </w:rPr>
        <w:t xml:space="preserve"> and</w:t>
      </w:r>
      <w:r w:rsidR="009D27C4">
        <w:rPr>
          <w:color w:val="000000" w:themeColor="text1"/>
        </w:rPr>
        <w:t xml:space="preserve"> </w:t>
      </w:r>
      <w:r w:rsidR="009D27C4" w:rsidRPr="009D27C4">
        <w:rPr>
          <w:color w:val="000000" w:themeColor="text1"/>
        </w:rPr>
        <w:t xml:space="preserve">maximise involvement </w:t>
      </w:r>
      <w:r w:rsidR="00C819B3">
        <w:rPr>
          <w:color w:val="000000" w:themeColor="text1"/>
        </w:rPr>
        <w:t xml:space="preserve">of </w:t>
      </w:r>
      <w:r w:rsidR="009D27C4" w:rsidRPr="009D27C4">
        <w:rPr>
          <w:color w:val="000000" w:themeColor="text1"/>
        </w:rPr>
        <w:t>other like-minded science-strong countries in the region</w:t>
      </w:r>
      <w:r w:rsidR="00C819B3">
        <w:rPr>
          <w:color w:val="000000" w:themeColor="text1"/>
        </w:rPr>
        <w:t>,</w:t>
      </w:r>
      <w:r w:rsidR="009D27C4" w:rsidRPr="009D27C4">
        <w:rPr>
          <w:color w:val="000000" w:themeColor="text1"/>
        </w:rPr>
        <w:t xml:space="preserve"> including the </w:t>
      </w:r>
      <w:r w:rsidR="00C819B3">
        <w:rPr>
          <w:color w:val="000000" w:themeColor="text1"/>
        </w:rPr>
        <w:t xml:space="preserve">UK </w:t>
      </w:r>
      <w:r w:rsidR="009D27C4" w:rsidRPr="009D27C4">
        <w:rPr>
          <w:color w:val="000000" w:themeColor="text1"/>
        </w:rPr>
        <w:t>and Switzerland</w:t>
      </w:r>
      <w:r w:rsidRPr="00712CA7">
        <w:rPr>
          <w:color w:val="000000" w:themeColor="text1"/>
        </w:rPr>
        <w:t>.</w:t>
      </w:r>
    </w:p>
    <w:p w14:paraId="0CA4FB4D" w14:textId="529D962E" w:rsidR="00E8493E" w:rsidRPr="00712CA7" w:rsidRDefault="00E8493E" w:rsidP="008F14F7">
      <w:pPr>
        <w:pStyle w:val="Tekstpodstawowy"/>
        <w:numPr>
          <w:ilvl w:val="0"/>
          <w:numId w:val="77"/>
        </w:numPr>
        <w:rPr>
          <w:color w:val="000000" w:themeColor="text1"/>
        </w:rPr>
      </w:pPr>
      <w:r w:rsidRPr="00712CA7">
        <w:rPr>
          <w:color w:val="000000" w:themeColor="text1"/>
        </w:rPr>
        <w:t xml:space="preserve">Approaches </w:t>
      </w:r>
      <w:r w:rsidR="007B34CA" w:rsidRPr="00712CA7">
        <w:rPr>
          <w:color w:val="000000" w:themeColor="text1"/>
        </w:rPr>
        <w:t>need to</w:t>
      </w:r>
      <w:r w:rsidRPr="00712CA7">
        <w:rPr>
          <w:color w:val="000000" w:themeColor="text1"/>
        </w:rPr>
        <w:t xml:space="preserve"> reflect the development of medicines </w:t>
      </w:r>
      <w:r w:rsidR="00137125">
        <w:rPr>
          <w:color w:val="000000" w:themeColor="text1"/>
        </w:rPr>
        <w:t xml:space="preserve">and improve the manufacturing process </w:t>
      </w:r>
      <w:r w:rsidRPr="00712CA7">
        <w:rPr>
          <w:color w:val="000000" w:themeColor="text1"/>
        </w:rPr>
        <w:t>post</w:t>
      </w:r>
      <w:r w:rsidR="00712CA7">
        <w:rPr>
          <w:color w:val="000000" w:themeColor="text1"/>
        </w:rPr>
        <w:t>-</w:t>
      </w:r>
      <w:r w:rsidRPr="00712CA7">
        <w:rPr>
          <w:color w:val="000000" w:themeColor="text1"/>
        </w:rPr>
        <w:t>launch. Medicines continue to be developed after they are initially approved in the EU, in terms of targeted patient population, forms of administration</w:t>
      </w:r>
      <w:r w:rsidR="007B34CA" w:rsidRPr="00712CA7">
        <w:rPr>
          <w:color w:val="000000" w:themeColor="text1"/>
        </w:rPr>
        <w:t xml:space="preserve"> and new</w:t>
      </w:r>
      <w:r w:rsidRPr="00712CA7">
        <w:rPr>
          <w:color w:val="000000" w:themeColor="text1"/>
        </w:rPr>
        <w:t xml:space="preserve"> indications</w:t>
      </w:r>
      <w:r w:rsidR="00526523">
        <w:rPr>
          <w:color w:val="000000" w:themeColor="text1"/>
        </w:rPr>
        <w:t>,</w:t>
      </w:r>
      <w:r w:rsidR="00137125">
        <w:rPr>
          <w:color w:val="000000" w:themeColor="text1"/>
        </w:rPr>
        <w:t xml:space="preserve"> as well as in optimising the manufacturing process</w:t>
      </w:r>
      <w:r w:rsidRPr="00712CA7">
        <w:rPr>
          <w:color w:val="000000" w:themeColor="text1"/>
        </w:rPr>
        <w:t>. Many of these improvements are perceived as being more valued outside of Europe. This has implications for where companies will invest in upgrading and improving manufacturing capabilities.</w:t>
      </w:r>
    </w:p>
    <w:p w14:paraId="11B46E8B" w14:textId="39CF02E9" w:rsidR="008F14F7" w:rsidRPr="00E8493E" w:rsidRDefault="008F14F7" w:rsidP="008F14F7">
      <w:pPr>
        <w:pStyle w:val="Tekstpodstawowy"/>
        <w:numPr>
          <w:ilvl w:val="0"/>
          <w:numId w:val="77"/>
        </w:numPr>
        <w:rPr>
          <w:color w:val="000000" w:themeColor="text1"/>
        </w:rPr>
      </w:pPr>
      <w:r w:rsidRPr="00E8493E">
        <w:rPr>
          <w:color w:val="000000" w:themeColor="text1"/>
        </w:rPr>
        <w:t xml:space="preserve">Support </w:t>
      </w:r>
      <w:r w:rsidR="00E80909">
        <w:rPr>
          <w:color w:val="000000" w:themeColor="text1"/>
        </w:rPr>
        <w:t xml:space="preserve">is needed for </w:t>
      </w:r>
      <w:r w:rsidRPr="00E8493E">
        <w:rPr>
          <w:color w:val="000000" w:themeColor="text1"/>
        </w:rPr>
        <w:t xml:space="preserve">flexible approaches to procurement that do not focus on the lowest prices. Some </w:t>
      </w:r>
      <w:r w:rsidR="00137125">
        <w:rPr>
          <w:color w:val="000000" w:themeColor="text1"/>
        </w:rPr>
        <w:t>individual</w:t>
      </w:r>
      <w:r w:rsidRPr="00E8493E">
        <w:rPr>
          <w:color w:val="000000" w:themeColor="text1"/>
        </w:rPr>
        <w:t xml:space="preserve"> Member States are already piloting novel models to promote sustainability, from which there may be lessons for the EU more broadly: for example, the French government has guaranteed no further price cuts to paracetamol between 2022</w:t>
      </w:r>
      <w:r w:rsidR="00E80909">
        <w:rPr>
          <w:color w:val="000000" w:themeColor="text1"/>
        </w:rPr>
        <w:t xml:space="preserve"> and </w:t>
      </w:r>
      <w:r w:rsidRPr="00E8493E">
        <w:rPr>
          <w:color w:val="000000" w:themeColor="text1"/>
        </w:rPr>
        <w:t xml:space="preserve">2025 in response to </w:t>
      </w:r>
      <w:proofErr w:type="spellStart"/>
      <w:r w:rsidRPr="00E8493E">
        <w:rPr>
          <w:color w:val="000000" w:themeColor="text1"/>
        </w:rPr>
        <w:t>Seqens</w:t>
      </w:r>
      <w:proofErr w:type="spellEnd"/>
      <w:r w:rsidRPr="00E8493E">
        <w:rPr>
          <w:color w:val="000000" w:themeColor="text1"/>
        </w:rPr>
        <w:t xml:space="preserve"> agreeing to invest €100 million in the creation of a new factory to manufacture the API to promote supply resilience.</w:t>
      </w:r>
      <w:r w:rsidRPr="00E8493E">
        <w:rPr>
          <w:rStyle w:val="Odwoanieprzypisudolnego"/>
          <w:color w:val="000000" w:themeColor="text1"/>
        </w:rPr>
        <w:footnoteReference w:id="237"/>
      </w:r>
      <w:r w:rsidR="00137125">
        <w:rPr>
          <w:color w:val="000000" w:themeColor="text1"/>
        </w:rPr>
        <w:t xml:space="preserve"> </w:t>
      </w:r>
      <w:r w:rsidR="00367116">
        <w:rPr>
          <w:color w:val="000000" w:themeColor="text1"/>
        </w:rPr>
        <w:t xml:space="preserve">For this model to be effective </w:t>
      </w:r>
      <w:r w:rsidR="00C2016C">
        <w:rPr>
          <w:color w:val="000000" w:themeColor="text1"/>
        </w:rPr>
        <w:t>in promoting sustainability, s</w:t>
      </w:r>
      <w:r w:rsidR="00137125">
        <w:rPr>
          <w:color w:val="000000" w:themeColor="text1"/>
        </w:rPr>
        <w:t xml:space="preserve">uch investments at the EU </w:t>
      </w:r>
      <w:r w:rsidR="00D914E2">
        <w:rPr>
          <w:color w:val="000000" w:themeColor="text1"/>
        </w:rPr>
        <w:t xml:space="preserve">level </w:t>
      </w:r>
      <w:r w:rsidR="00C2016C">
        <w:rPr>
          <w:color w:val="000000" w:themeColor="text1"/>
        </w:rPr>
        <w:t>would need to</w:t>
      </w:r>
      <w:r w:rsidR="00137125">
        <w:rPr>
          <w:color w:val="000000" w:themeColor="text1"/>
        </w:rPr>
        <w:t xml:space="preserve"> be respected in the reimbursement </w:t>
      </w:r>
      <w:r w:rsidR="00137125">
        <w:rPr>
          <w:color w:val="000000" w:themeColor="text1"/>
        </w:rPr>
        <w:lastRenderedPageBreak/>
        <w:t>process in all Member States</w:t>
      </w:r>
      <w:r w:rsidR="00A16B70">
        <w:rPr>
          <w:color w:val="000000" w:themeColor="text1"/>
        </w:rPr>
        <w:t>, as companies cannot sustainably manufacture all medicines in every Member State</w:t>
      </w:r>
      <w:r w:rsidR="00137125">
        <w:rPr>
          <w:color w:val="000000" w:themeColor="text1"/>
        </w:rPr>
        <w:t>.</w:t>
      </w:r>
      <w:r w:rsidRPr="00E8493E">
        <w:rPr>
          <w:rStyle w:val="Odwoanieprzypisudolnego"/>
          <w:color w:val="000000" w:themeColor="text1"/>
        </w:rPr>
        <w:footnoteReference w:id="238"/>
      </w:r>
    </w:p>
    <w:p w14:paraId="14C90656" w14:textId="55AF793D" w:rsidR="007B59B6" w:rsidRPr="000B3FBC" w:rsidRDefault="008F14F7" w:rsidP="007C141A">
      <w:pPr>
        <w:pStyle w:val="Tekstpodstawowy"/>
        <w:numPr>
          <w:ilvl w:val="0"/>
          <w:numId w:val="77"/>
        </w:numPr>
        <w:rPr>
          <w:color w:val="000000" w:themeColor="text1"/>
        </w:rPr>
      </w:pPr>
      <w:r w:rsidRPr="00E8493E">
        <w:rPr>
          <w:color w:val="000000" w:themeColor="text1"/>
        </w:rPr>
        <w:t>There is a need to support continued investment in manufacturing. C</w:t>
      </w:r>
      <w:r w:rsidR="00886C2F" w:rsidRPr="00E8493E">
        <w:rPr>
          <w:color w:val="000000" w:themeColor="text1"/>
        </w:rPr>
        <w:t>ost-</w:t>
      </w:r>
      <w:r w:rsidR="00886C2F">
        <w:t>containment polic</w:t>
      </w:r>
      <w:r>
        <w:t xml:space="preserve">ies targeting </w:t>
      </w:r>
      <w:r w:rsidR="007C141A" w:rsidRPr="008F14F7">
        <w:rPr>
          <w:color w:val="000000" w:themeColor="text1"/>
        </w:rPr>
        <w:t>o</w:t>
      </w:r>
      <w:r w:rsidR="00CC0E74" w:rsidRPr="008F14F7">
        <w:rPr>
          <w:color w:val="000000" w:themeColor="text1"/>
        </w:rPr>
        <w:t xml:space="preserve">lder, established medicines </w:t>
      </w:r>
      <w:r>
        <w:rPr>
          <w:color w:val="000000" w:themeColor="text1"/>
        </w:rPr>
        <w:t xml:space="preserve">push </w:t>
      </w:r>
      <w:r w:rsidRPr="008F14F7">
        <w:rPr>
          <w:color w:val="000000" w:themeColor="text1"/>
        </w:rPr>
        <w:t>price</w:t>
      </w:r>
      <w:r w:rsidR="00C37556">
        <w:rPr>
          <w:color w:val="000000" w:themeColor="text1"/>
        </w:rPr>
        <w:t>s</w:t>
      </w:r>
      <w:r w:rsidRPr="008F14F7">
        <w:rPr>
          <w:color w:val="000000" w:themeColor="text1"/>
        </w:rPr>
        <w:t xml:space="preserve"> </w:t>
      </w:r>
      <w:r w:rsidR="007C141A" w:rsidRPr="008F14F7">
        <w:rPr>
          <w:color w:val="000000" w:themeColor="text1"/>
        </w:rPr>
        <w:t xml:space="preserve">downward </w:t>
      </w:r>
      <w:r w:rsidR="00F56720" w:rsidRPr="008F14F7">
        <w:rPr>
          <w:color w:val="000000" w:themeColor="text1"/>
        </w:rPr>
        <w:t>and reduc</w:t>
      </w:r>
      <w:r w:rsidR="007B34CA">
        <w:rPr>
          <w:color w:val="000000" w:themeColor="text1"/>
        </w:rPr>
        <w:t>e</w:t>
      </w:r>
      <w:r w:rsidR="00F56720" w:rsidRPr="008F14F7">
        <w:rPr>
          <w:color w:val="000000" w:themeColor="text1"/>
        </w:rPr>
        <w:t xml:space="preserve"> profit margins</w:t>
      </w:r>
      <w:r w:rsidR="00CC0E74" w:rsidRPr="008F14F7">
        <w:rPr>
          <w:color w:val="000000" w:themeColor="text1"/>
        </w:rPr>
        <w:t>,</w:t>
      </w:r>
      <w:r w:rsidR="00F56720" w:rsidRPr="008F14F7">
        <w:rPr>
          <w:color w:val="000000" w:themeColor="text1"/>
        </w:rPr>
        <w:t xml:space="preserve"> </w:t>
      </w:r>
      <w:r w:rsidR="005230B9" w:rsidRPr="008F14F7">
        <w:rPr>
          <w:color w:val="000000" w:themeColor="text1"/>
        </w:rPr>
        <w:t>which limits resources available for</w:t>
      </w:r>
      <w:r w:rsidR="00A4476C" w:rsidRPr="008F14F7">
        <w:rPr>
          <w:color w:val="000000" w:themeColor="text1"/>
        </w:rPr>
        <w:t xml:space="preserve"> manufacturing capacity</w:t>
      </w:r>
      <w:r w:rsidR="00CC0E74" w:rsidRPr="008F14F7">
        <w:rPr>
          <w:color w:val="000000" w:themeColor="text1"/>
        </w:rPr>
        <w:t xml:space="preserve"> and </w:t>
      </w:r>
      <w:r w:rsidR="00A4476C" w:rsidRPr="008F14F7">
        <w:rPr>
          <w:color w:val="000000" w:themeColor="text1"/>
        </w:rPr>
        <w:t>quality</w:t>
      </w:r>
      <w:r w:rsidR="005230B9" w:rsidRPr="008F14F7">
        <w:rPr>
          <w:color w:val="000000" w:themeColor="text1"/>
        </w:rPr>
        <w:t xml:space="preserve"> investments</w:t>
      </w:r>
      <w:r w:rsidR="00FB505E">
        <w:rPr>
          <w:color w:val="000000" w:themeColor="text1"/>
        </w:rPr>
        <w:t xml:space="preserve"> in </w:t>
      </w:r>
      <w:r w:rsidR="00CE534D">
        <w:rPr>
          <w:color w:val="000000" w:themeColor="text1"/>
        </w:rPr>
        <w:t>innovation and improvements</w:t>
      </w:r>
      <w:r w:rsidR="00CC0E74" w:rsidRPr="008F14F7">
        <w:rPr>
          <w:color w:val="000000" w:themeColor="text1"/>
        </w:rPr>
        <w:t>.</w:t>
      </w:r>
      <w:r w:rsidR="006329EE">
        <w:rPr>
          <w:color w:val="000000" w:themeColor="text1"/>
        </w:rPr>
        <w:t xml:space="preserve"> Further</w:t>
      </w:r>
      <w:r w:rsidR="00FB505E">
        <w:rPr>
          <w:color w:val="000000" w:themeColor="text1"/>
        </w:rPr>
        <w:t>more</w:t>
      </w:r>
      <w:r w:rsidR="006329EE">
        <w:rPr>
          <w:color w:val="000000" w:themeColor="text1"/>
        </w:rPr>
        <w:t xml:space="preserve">, </w:t>
      </w:r>
      <w:r w:rsidR="00E85BB7">
        <w:rPr>
          <w:color w:val="000000" w:themeColor="text1"/>
        </w:rPr>
        <w:t xml:space="preserve">medicine production </w:t>
      </w:r>
      <w:r w:rsidR="006329EE">
        <w:rPr>
          <w:color w:val="000000" w:themeColor="text1"/>
        </w:rPr>
        <w:t>cost increases are</w:t>
      </w:r>
      <w:r w:rsidR="00CC0E74" w:rsidRPr="008F14F7">
        <w:rPr>
          <w:color w:val="000000" w:themeColor="text1"/>
        </w:rPr>
        <w:t xml:space="preserve"> </w:t>
      </w:r>
      <w:r w:rsidR="00E85BB7">
        <w:rPr>
          <w:color w:val="000000" w:themeColor="text1"/>
        </w:rPr>
        <w:t xml:space="preserve">anticipated by the industry, particularly in light of the increasing energy crisis. </w:t>
      </w:r>
      <w:r>
        <w:rPr>
          <w:color w:val="000000" w:themeColor="text1"/>
        </w:rPr>
        <w:t>Markets need to be sustainable</w:t>
      </w:r>
      <w:r w:rsidR="009B6E7A">
        <w:rPr>
          <w:color w:val="000000" w:themeColor="text1"/>
        </w:rPr>
        <w:t xml:space="preserve"> in</w:t>
      </w:r>
      <w:r>
        <w:rPr>
          <w:color w:val="000000" w:themeColor="text1"/>
        </w:rPr>
        <w:t xml:space="preserve"> supporting </w:t>
      </w:r>
      <w:r w:rsidR="0049538F">
        <w:rPr>
          <w:color w:val="000000" w:themeColor="text1"/>
        </w:rPr>
        <w:t>ongoing</w:t>
      </w:r>
      <w:r>
        <w:rPr>
          <w:color w:val="000000" w:themeColor="text1"/>
        </w:rPr>
        <w:t xml:space="preserve"> investment in manufacturing capacity.</w:t>
      </w:r>
    </w:p>
    <w:p w14:paraId="45D71CFB" w14:textId="664BD657" w:rsidR="007E370B" w:rsidRPr="000A2E03" w:rsidRDefault="007E370B" w:rsidP="000A2E03">
      <w:pPr>
        <w:pStyle w:val="Tekstpodstawowy"/>
        <w:rPr>
          <w:b/>
          <w:bCs/>
          <w:color w:val="0073AE" w:themeColor="accent1"/>
          <w:u w:val="single"/>
        </w:rPr>
      </w:pPr>
      <w:bookmarkStart w:id="218" w:name="_Toc109849610"/>
      <w:bookmarkStart w:id="219" w:name="_Toc109849611"/>
      <w:bookmarkStart w:id="220" w:name="_Toc109849612"/>
      <w:bookmarkEnd w:id="218"/>
      <w:bookmarkEnd w:id="219"/>
      <w:bookmarkEnd w:id="220"/>
      <w:r w:rsidRPr="000A2E03">
        <w:rPr>
          <w:b/>
          <w:bCs/>
          <w:color w:val="0073AE" w:themeColor="accent1"/>
          <w:u w:val="single"/>
        </w:rPr>
        <w:t>Current policy priorities</w:t>
      </w:r>
    </w:p>
    <w:p w14:paraId="687F9EF9" w14:textId="47CAF5C5" w:rsidR="007E370B" w:rsidRPr="009F4D0F" w:rsidRDefault="00FF5478" w:rsidP="000A2E03">
      <w:pPr>
        <w:pStyle w:val="Tekstpodstawowy"/>
      </w:pPr>
      <w:r>
        <w:t xml:space="preserve">The Pharmaceutical Strategy for Europe adopts a </w:t>
      </w:r>
      <w:r w:rsidR="008716BA">
        <w:t>narrower</w:t>
      </w:r>
      <w:r>
        <w:t xml:space="preserve"> </w:t>
      </w:r>
      <w:r w:rsidR="00E675BF">
        <w:t>definition</w:t>
      </w:r>
      <w:r>
        <w:t xml:space="preserve"> of </w:t>
      </w:r>
      <w:r w:rsidR="00674559">
        <w:t>sustainability</w:t>
      </w:r>
      <w:r w:rsidR="006C6A3D">
        <w:t xml:space="preserve"> than described above, focusing on </w:t>
      </w:r>
      <w:r w:rsidR="009D7581">
        <w:t xml:space="preserve">medicine </w:t>
      </w:r>
      <w:r w:rsidR="002B03FC">
        <w:t xml:space="preserve">production and </w:t>
      </w:r>
      <w:r w:rsidR="0025622E">
        <w:t>promoting supply chain sustainability</w:t>
      </w:r>
      <w:r w:rsidR="00202EA5">
        <w:t>,</w:t>
      </w:r>
      <w:r w:rsidR="0025622E">
        <w:t xml:space="preserve"> </w:t>
      </w:r>
      <w:r w:rsidR="002F375D">
        <w:t>environmental sustainability</w:t>
      </w:r>
      <w:r w:rsidR="00202EA5">
        <w:t xml:space="preserve"> and financial sustainability of health systems</w:t>
      </w:r>
      <w:r w:rsidR="00E675BF">
        <w:t>.</w:t>
      </w:r>
      <w:r w:rsidR="006C6A3D">
        <w:t xml:space="preserve"> </w:t>
      </w:r>
      <w:r w:rsidR="0072587E">
        <w:t>Sustaining the health of the innovative industry is not a primary objective of the strategy</w:t>
      </w:r>
      <w:r w:rsidR="0083564C">
        <w:t xml:space="preserve">, nor is it highlighted as a potential tool to </w:t>
      </w:r>
      <w:r w:rsidR="00831968">
        <w:t>restore economic growth in Member States post-COVID and in the face of the Russia</w:t>
      </w:r>
      <w:r w:rsidR="00C37556">
        <w:rPr>
          <w:rFonts w:cs="Arial"/>
        </w:rPr>
        <w:t>–</w:t>
      </w:r>
      <w:r w:rsidR="00831968">
        <w:t>Ukraine war and subsequent energy crisis</w:t>
      </w:r>
      <w:r w:rsidR="0072587E">
        <w:t xml:space="preserve">. </w:t>
      </w:r>
      <w:r w:rsidR="004871C0">
        <w:t xml:space="preserve">Further, </w:t>
      </w:r>
      <w:r w:rsidR="009A3279">
        <w:t xml:space="preserve">the ongoing </w:t>
      </w:r>
      <w:r w:rsidR="004041D6">
        <w:t xml:space="preserve">revision of </w:t>
      </w:r>
      <w:r w:rsidR="0038347A">
        <w:t xml:space="preserve">intellectual property rights in the EU </w:t>
      </w:r>
      <w:r w:rsidR="009A3279">
        <w:t>risks sending a negative signal to companies considering future investments.</w:t>
      </w:r>
    </w:p>
    <w:p w14:paraId="1E5CC0FD" w14:textId="0E03921B" w:rsidR="0068392B" w:rsidRPr="00B64B75" w:rsidRDefault="00F61020" w:rsidP="000A2E03">
      <w:pPr>
        <w:pStyle w:val="Nagwek4"/>
      </w:pPr>
      <w:r>
        <w:t xml:space="preserve">Recommendation 7: </w:t>
      </w:r>
      <w:r w:rsidR="00664620" w:rsidRPr="00664620">
        <w:t>Develop a longer-term</w:t>
      </w:r>
      <w:r w:rsidR="00730B5A">
        <w:t>, collaborative</w:t>
      </w:r>
      <w:r w:rsidR="00664620" w:rsidRPr="00664620">
        <w:t xml:space="preserve"> </w:t>
      </w:r>
      <w:r w:rsidR="009330FC">
        <w:t>method for</w:t>
      </w:r>
      <w:r w:rsidR="00904578">
        <w:t xml:space="preserve"> </w:t>
      </w:r>
      <w:r w:rsidR="00422650">
        <w:t xml:space="preserve">encouraging </w:t>
      </w:r>
      <w:r w:rsidR="004C36F7">
        <w:t>growth in</w:t>
      </w:r>
      <w:r w:rsidR="00E160DD">
        <w:t xml:space="preserve"> Europe’s </w:t>
      </w:r>
      <w:r w:rsidR="004C36F7">
        <w:t>attractiveness for</w:t>
      </w:r>
      <w:r w:rsidR="00664620" w:rsidRPr="00664620">
        <w:t xml:space="preserve"> biopharmaceutical investments</w:t>
      </w:r>
    </w:p>
    <w:p w14:paraId="327F3229" w14:textId="1D1488F7" w:rsidR="00684EEF" w:rsidRPr="00B2471C" w:rsidRDefault="00684EEF" w:rsidP="00684EEF">
      <w:pPr>
        <w:pStyle w:val="Tekstpodstawowy"/>
      </w:pPr>
      <w:r w:rsidRPr="00B2471C">
        <w:t>Decisions</w:t>
      </w:r>
      <w:r>
        <w:t xml:space="preserve"> regarding investment in research hubs, IMP manufacturing and commercial manufacturing are long-term decisions. Even clinical trials programmes are conducted over a number of years and require consideration of what might change in the environment. However, over the last few years, we have seen considerable global challenges</w:t>
      </w:r>
      <w:r w:rsidR="001F09FB">
        <w:t>:</w:t>
      </w:r>
      <w:r>
        <w:t xml:space="preserve"> </w:t>
      </w:r>
      <w:r w:rsidR="00CE534D">
        <w:t>cris</w:t>
      </w:r>
      <w:r w:rsidR="002424BE">
        <w:t>e</w:t>
      </w:r>
      <w:r w:rsidR="00CE534D">
        <w:t xml:space="preserve">s like </w:t>
      </w:r>
      <w:r>
        <w:t>the COVID</w:t>
      </w:r>
      <w:r w:rsidR="001F09FB">
        <w:t>-19</w:t>
      </w:r>
      <w:r>
        <w:t xml:space="preserve"> pandemic, the war in Ukraine, tensions over global trade and the materialisation of the climate emergency have all come into focus</w:t>
      </w:r>
      <w:r w:rsidR="0003056B">
        <w:t>, most recently with the spiralling energy crisis</w:t>
      </w:r>
      <w:r>
        <w:t>. This has led to significant policy debate regarding the localisation of the industry, the implications of sanctions</w:t>
      </w:r>
      <w:r w:rsidR="00CE534D">
        <w:t xml:space="preserve"> and import</w:t>
      </w:r>
      <w:r w:rsidR="008B2CDC">
        <w:t xml:space="preserve"> and </w:t>
      </w:r>
      <w:r w:rsidR="00CE534D">
        <w:t>export bans</w:t>
      </w:r>
      <w:r>
        <w:t>, the role of joint purchasing</w:t>
      </w:r>
      <w:r w:rsidR="00D20C14">
        <w:t xml:space="preserve"> and</w:t>
      </w:r>
      <w:r>
        <w:t xml:space="preserve"> the introduction of </w:t>
      </w:r>
      <w:r w:rsidR="007F020E">
        <w:t>e</w:t>
      </w:r>
      <w:r>
        <w:t xml:space="preserve">nvironmental, </w:t>
      </w:r>
      <w:r w:rsidR="007F020E">
        <w:t>s</w:t>
      </w:r>
      <w:r>
        <w:t xml:space="preserve">ocial and </w:t>
      </w:r>
      <w:r w:rsidR="007F020E">
        <w:t>g</w:t>
      </w:r>
      <w:r>
        <w:t>overnance (ESG) standards.</w:t>
      </w:r>
    </w:p>
    <w:p w14:paraId="54B41E64" w14:textId="3D7D16C3" w:rsidR="00684EEF" w:rsidRDefault="00684EEF" w:rsidP="00684EEF">
      <w:pPr>
        <w:pStyle w:val="Tekstpodstawowy"/>
      </w:pPr>
      <w:r w:rsidRPr="00B2471C">
        <w:t>Perhaps</w:t>
      </w:r>
      <w:r>
        <w:t xml:space="preserve"> surprisingly</w:t>
      </w:r>
      <w:r w:rsidR="00C878F8">
        <w:t>,</w:t>
      </w:r>
      <w:r>
        <w:t xml:space="preserve"> this was not a topic that weighed heavily on decision</w:t>
      </w:r>
      <w:r w:rsidR="008118E5">
        <w:t>s</w:t>
      </w:r>
      <w:r>
        <w:t xml:space="preserve"> regarding actual investment with </w:t>
      </w:r>
      <w:r w:rsidR="008873F3">
        <w:t>decision makers</w:t>
      </w:r>
      <w:r>
        <w:t xml:space="preserve"> (although many of these were </w:t>
      </w:r>
      <w:r w:rsidR="00D20C14">
        <w:t>made</w:t>
      </w:r>
      <w:r>
        <w:t xml:space="preserve"> pre-COVID</w:t>
      </w:r>
      <w:r w:rsidR="00A00B05">
        <w:t xml:space="preserve">, and all were </w:t>
      </w:r>
      <w:r w:rsidR="009F089E">
        <w:t xml:space="preserve">investments made before the </w:t>
      </w:r>
      <w:r w:rsidR="00830D36">
        <w:t>Russia</w:t>
      </w:r>
      <w:r w:rsidR="00841C2B">
        <w:rPr>
          <w:rFonts w:cs="Arial"/>
        </w:rPr>
        <w:t>–</w:t>
      </w:r>
      <w:r w:rsidR="00830D36">
        <w:t>Ukraine war and subsequent energy crisis</w:t>
      </w:r>
      <w:r>
        <w:t>). There are a number of reasons for this</w:t>
      </w:r>
      <w:r w:rsidR="008118E5">
        <w:t>:</w:t>
      </w:r>
      <w:r>
        <w:t xml:space="preserve"> (1) the industry has long been a global industry and </w:t>
      </w:r>
      <w:r w:rsidR="00D634EB">
        <w:t xml:space="preserve">is </w:t>
      </w:r>
      <w:r>
        <w:t>used to managing business risks across regions and countries</w:t>
      </w:r>
      <w:r w:rsidR="00D634EB">
        <w:t>;</w:t>
      </w:r>
      <w:r>
        <w:t xml:space="preserve"> (2) unlike other industr</w:t>
      </w:r>
      <w:r w:rsidR="00F61020">
        <w:t>ies</w:t>
      </w:r>
      <w:r w:rsidR="00D634EB">
        <w:t>,</w:t>
      </w:r>
      <w:r>
        <w:t xml:space="preserve"> there is a responsibility to continue to supply medicines in many markets</w:t>
      </w:r>
      <w:r w:rsidR="00D634EB">
        <w:t>,</w:t>
      </w:r>
      <w:r>
        <w:t xml:space="preserve"> meaning that some </w:t>
      </w:r>
      <w:r w:rsidR="00F61020">
        <w:t xml:space="preserve">continued investment in </w:t>
      </w:r>
      <w:r>
        <w:t>infrastructure is inevitable</w:t>
      </w:r>
      <w:r w:rsidR="00D634EB">
        <w:t>;</w:t>
      </w:r>
      <w:r>
        <w:t xml:space="preserve"> (3) some global risks, such as the environment, are longstanding and the industry has already worked extensively on it</w:t>
      </w:r>
      <w:r w:rsidR="0015334C">
        <w:t>;</w:t>
      </w:r>
      <w:r>
        <w:rPr>
          <w:rStyle w:val="Odwoanieprzypisudolnego"/>
        </w:rPr>
        <w:footnoteReference w:id="239"/>
      </w:r>
      <w:r w:rsidR="00D634EB">
        <w:t xml:space="preserve"> </w:t>
      </w:r>
      <w:r w:rsidR="000A7EFA">
        <w:t>and</w:t>
      </w:r>
      <w:r>
        <w:t xml:space="preserve"> (4) the </w:t>
      </w:r>
      <w:r w:rsidR="00037812">
        <w:t>existence of a</w:t>
      </w:r>
      <w:r>
        <w:t xml:space="preserve"> global regulatory system – </w:t>
      </w:r>
      <w:r w:rsidR="00841C2B">
        <w:t xml:space="preserve">inspections by </w:t>
      </w:r>
      <w:r>
        <w:t xml:space="preserve">FDA and EMA </w:t>
      </w:r>
      <w:r w:rsidR="00CE534D">
        <w:t>and b</w:t>
      </w:r>
      <w:r w:rsidR="00F66A56">
        <w:t>y</w:t>
      </w:r>
      <w:r w:rsidR="00CE534D">
        <w:t xml:space="preserve"> </w:t>
      </w:r>
      <w:r w:rsidR="00841C2B" w:rsidRPr="00841C2B">
        <w:t>Pharmaceutical Inspection Co-operation Scheme</w:t>
      </w:r>
      <w:r w:rsidR="00841C2B">
        <w:t xml:space="preserve"> (</w:t>
      </w:r>
      <w:r w:rsidR="00CE534D">
        <w:t>PIC/S</w:t>
      </w:r>
      <w:r w:rsidR="00841C2B">
        <w:t>)</w:t>
      </w:r>
      <w:r w:rsidR="00CE534D">
        <w:t xml:space="preserve"> </w:t>
      </w:r>
      <w:r w:rsidR="00CE534D">
        <w:lastRenderedPageBreak/>
        <w:t xml:space="preserve">participating authorities </w:t>
      </w:r>
      <w:r>
        <w:t>– means that the industry faces the same rules independent of location.</w:t>
      </w:r>
      <w:r>
        <w:rPr>
          <w:rStyle w:val="Odwoanieprzypisudolnego"/>
        </w:rPr>
        <w:footnoteReference w:id="240"/>
      </w:r>
    </w:p>
    <w:p w14:paraId="1CFED7D1" w14:textId="02DEFB07" w:rsidR="00684EEF" w:rsidRPr="00B2471C" w:rsidRDefault="00684EEF" w:rsidP="00684EEF">
      <w:pPr>
        <w:pStyle w:val="Tekstpodstawowy"/>
      </w:pPr>
      <w:r>
        <w:t xml:space="preserve">However, there are clearly potential risks </w:t>
      </w:r>
      <w:r w:rsidR="0074627E">
        <w:t xml:space="preserve">that </w:t>
      </w:r>
      <w:r w:rsidR="00746AEA">
        <w:t>can have large impact</w:t>
      </w:r>
      <w:r w:rsidR="00841C2B">
        <w:t>s</w:t>
      </w:r>
      <w:r w:rsidR="00746AEA">
        <w:t xml:space="preserve"> on investment decision</w:t>
      </w:r>
      <w:r w:rsidR="00841C2B">
        <w:t>s</w:t>
      </w:r>
      <w:r w:rsidR="00746AEA">
        <w:t xml:space="preserve">. For example, </w:t>
      </w:r>
      <w:r>
        <w:t>international trade</w:t>
      </w:r>
      <w:r w:rsidR="00746AEA">
        <w:t xml:space="preserve"> was noted in some interviews</w:t>
      </w:r>
      <w:r>
        <w:t>. The US has proposed l</w:t>
      </w:r>
      <w:r w:rsidRPr="00DA324D">
        <w:t xml:space="preserve">egislation to better regulate outbound investments in </w:t>
      </w:r>
      <w:r>
        <w:t xml:space="preserve">countries such as </w:t>
      </w:r>
      <w:r w:rsidRPr="00DA324D">
        <w:t xml:space="preserve">China and Russia, seeking to move more of the supply chain for critical sectors like technology to </w:t>
      </w:r>
      <w:r>
        <w:t>countries that are seen to comply with international best practices.</w:t>
      </w:r>
      <w:r>
        <w:rPr>
          <w:rStyle w:val="Odwoanieprzypisudolnego"/>
        </w:rPr>
        <w:footnoteReference w:id="241"/>
      </w:r>
      <w:r>
        <w:t xml:space="preserve"> This could affect </w:t>
      </w:r>
      <w:r w:rsidRPr="00ED085F">
        <w:t xml:space="preserve">funding </w:t>
      </w:r>
      <w:r w:rsidR="00D721DB">
        <w:t xml:space="preserve">for </w:t>
      </w:r>
      <w:r w:rsidRPr="00ED085F">
        <w:t xml:space="preserve">new facilities like factories, joint ventures that involve technological transfers to China </w:t>
      </w:r>
      <w:r w:rsidR="00FF3ACE">
        <w:t>and</w:t>
      </w:r>
      <w:r w:rsidRPr="00ED085F">
        <w:t xml:space="preserve"> capital investments in Chinese start</w:t>
      </w:r>
      <w:r w:rsidR="002305E9">
        <w:t>-</w:t>
      </w:r>
      <w:r w:rsidRPr="00ED085F">
        <w:t>ups and technology firms</w:t>
      </w:r>
      <w:r>
        <w:t>.</w:t>
      </w:r>
    </w:p>
    <w:p w14:paraId="77AA3F92" w14:textId="77777777" w:rsidR="00684EEF" w:rsidRDefault="00684EEF" w:rsidP="00684EEF">
      <w:pPr>
        <w:pStyle w:val="Tekstpodstawowy"/>
      </w:pPr>
      <w:r>
        <w:t>The increase or perceived increase in risk in the global environment will have some implications:</w:t>
      </w:r>
    </w:p>
    <w:p w14:paraId="5955AB4A" w14:textId="57D40B67" w:rsidR="00684EEF" w:rsidRDefault="00684EEF" w:rsidP="00684EEF">
      <w:pPr>
        <w:pStyle w:val="Tekstpodstawowy"/>
        <w:numPr>
          <w:ilvl w:val="0"/>
          <w:numId w:val="64"/>
        </w:numPr>
      </w:pPr>
      <w:r>
        <w:t>Managing risk of disruption and reducing carbon footprints is likely to lead to a shorter supply chain and greater requirements in terms of monitoring.</w:t>
      </w:r>
      <w:r>
        <w:rPr>
          <w:rStyle w:val="Odwoanieprzypisudolnego"/>
        </w:rPr>
        <w:footnoteReference w:id="242"/>
      </w:r>
      <w:r w:rsidRPr="00B2471C">
        <w:rPr>
          <w:vertAlign w:val="superscript"/>
        </w:rPr>
        <w:t>,</w:t>
      </w:r>
      <w:r>
        <w:rPr>
          <w:rStyle w:val="Odwoanieprzypisudolnego"/>
        </w:rPr>
        <w:footnoteReference w:id="243"/>
      </w:r>
      <w:r>
        <w:t xml:space="preserve"> </w:t>
      </w:r>
      <w:r w:rsidR="003168CA">
        <w:t xml:space="preserve">This can be considered specially for </w:t>
      </w:r>
      <w:r w:rsidR="008045BA">
        <w:t>high</w:t>
      </w:r>
      <w:r w:rsidR="00FF3ACE">
        <w:t>-</w:t>
      </w:r>
      <w:r w:rsidR="003168CA">
        <w:t xml:space="preserve">volume products. </w:t>
      </w:r>
      <w:r w:rsidR="00FF3ACE">
        <w:t>O</w:t>
      </w:r>
      <w:r>
        <w:t>n the face of it</w:t>
      </w:r>
      <w:r w:rsidR="00FF3ACE">
        <w:t>,</w:t>
      </w:r>
      <w:r>
        <w:t xml:space="preserve"> this would be seen to benefit Europe – where production has commonly been undertaken in India and China – </w:t>
      </w:r>
      <w:r w:rsidR="00FF3ACE">
        <w:t xml:space="preserve">but </w:t>
      </w:r>
      <w:r>
        <w:t>in reality this will also focus location on markets with the highest growth</w:t>
      </w:r>
      <w:r w:rsidR="009F016D">
        <w:t xml:space="preserve">: </w:t>
      </w:r>
      <w:r>
        <w:t>the US and Asia.</w:t>
      </w:r>
    </w:p>
    <w:p w14:paraId="46991B69" w14:textId="4FEB9390" w:rsidR="00684EEF" w:rsidRDefault="00684EEF" w:rsidP="00684EEF">
      <w:pPr>
        <w:pStyle w:val="Tekstpodstawowy"/>
        <w:numPr>
          <w:ilvl w:val="0"/>
          <w:numId w:val="64"/>
        </w:numPr>
      </w:pPr>
      <w:r>
        <w:t>The location of clinical trials will adapt</w:t>
      </w:r>
      <w:r w:rsidR="00263214">
        <w:t xml:space="preserve">. </w:t>
      </w:r>
      <w:r w:rsidR="00746AEA">
        <w:t xml:space="preserve">This will mean avoiding some locations that are seen as highly </w:t>
      </w:r>
      <w:r w:rsidR="00211A8C">
        <w:t>risky</w:t>
      </w:r>
      <w:r w:rsidR="00746AEA">
        <w:t xml:space="preserve"> from a geopolitical perspective. However, it will also mean adapting</w:t>
      </w:r>
      <w:r>
        <w:t xml:space="preserve"> to </w:t>
      </w:r>
      <w:r w:rsidR="00746AEA">
        <w:t>address</w:t>
      </w:r>
      <w:r>
        <w:t xml:space="preserve"> diversity within clinical trials</w:t>
      </w:r>
      <w:r w:rsidR="00746AEA">
        <w:t>. This will be affected by policy and</w:t>
      </w:r>
      <w:r>
        <w:t xml:space="preserve"> regulatory</w:t>
      </w:r>
      <w:r w:rsidR="00746AEA">
        <w:t xml:space="preserve"> decisions</w:t>
      </w:r>
      <w:r w:rsidR="00942318">
        <w:t>;</w:t>
      </w:r>
      <w:r w:rsidR="00746AEA">
        <w:t xml:space="preserve"> for example, the</w:t>
      </w:r>
      <w:r>
        <w:t xml:space="preserve"> acceptance of trials conducted in a single region or country is still evolving</w:t>
      </w:r>
      <w:r w:rsidR="00FF3ACE">
        <w:t>,</w:t>
      </w:r>
      <w:r>
        <w:t xml:space="preserve"> with recent decisions by </w:t>
      </w:r>
      <w:r w:rsidR="00942318">
        <w:t>the</w:t>
      </w:r>
      <w:r w:rsidR="003168CA">
        <w:t xml:space="preserve"> </w:t>
      </w:r>
      <w:r>
        <w:t xml:space="preserve">EMA and the FDA. </w:t>
      </w:r>
    </w:p>
    <w:p w14:paraId="0528A312" w14:textId="48F50450" w:rsidR="007E370B" w:rsidRPr="000A2E03" w:rsidRDefault="007E370B" w:rsidP="00D53D69">
      <w:pPr>
        <w:pStyle w:val="Tekstpodstawowy"/>
        <w:rPr>
          <w:b/>
          <w:bCs/>
          <w:color w:val="0073AE" w:themeColor="accent1"/>
          <w:u w:val="single"/>
        </w:rPr>
      </w:pPr>
      <w:r w:rsidRPr="000A2E03">
        <w:rPr>
          <w:b/>
          <w:bCs/>
          <w:color w:val="0073AE" w:themeColor="accent1"/>
          <w:u w:val="single"/>
        </w:rPr>
        <w:t>Recommendation</w:t>
      </w:r>
    </w:p>
    <w:p w14:paraId="37DEDE07" w14:textId="552CCDBE" w:rsidR="00486CEB" w:rsidRDefault="00684EEF" w:rsidP="00D53D69">
      <w:pPr>
        <w:pStyle w:val="Tekstpodstawowy"/>
      </w:pPr>
      <w:r w:rsidRPr="00B2471C">
        <w:t xml:space="preserve">Given </w:t>
      </w:r>
      <w:r>
        <w:t>the long-term focus on investment decisions, regions that offer long-term stable environments</w:t>
      </w:r>
      <w:r w:rsidR="00C331D0">
        <w:t xml:space="preserve"> coupled</w:t>
      </w:r>
      <w:r>
        <w:t xml:space="preserve"> with growing markets will benefit from </w:t>
      </w:r>
      <w:r w:rsidR="00262DB1">
        <w:t>de</w:t>
      </w:r>
      <w:r>
        <w:t>creased perceived risk.</w:t>
      </w:r>
      <w:r w:rsidR="00904578">
        <w:t xml:space="preserve"> This </w:t>
      </w:r>
      <w:r w:rsidR="00712CF0">
        <w:t>necessitates</w:t>
      </w:r>
      <w:r w:rsidR="00904578">
        <w:t xml:space="preserve"> </w:t>
      </w:r>
      <w:r w:rsidR="0049538F">
        <w:t>ongoing</w:t>
      </w:r>
      <w:r w:rsidR="00904578">
        <w:t xml:space="preserve"> dialogue between policymakers and other </w:t>
      </w:r>
      <w:r w:rsidR="004A3571">
        <w:t>stakeholders</w:t>
      </w:r>
      <w:r w:rsidR="00904578">
        <w:t xml:space="preserve">, including </w:t>
      </w:r>
      <w:r w:rsidR="005464BC">
        <w:t>the</w:t>
      </w:r>
      <w:r w:rsidR="00904578">
        <w:t xml:space="preserve"> industry</w:t>
      </w:r>
      <w:r w:rsidR="00565AB8">
        <w:t>,</w:t>
      </w:r>
      <w:r w:rsidR="00904578">
        <w:t xml:space="preserve"> on how the environment needs to adapt and be renewed.</w:t>
      </w:r>
      <w:r w:rsidR="004A3571">
        <w:t xml:space="preserve"> </w:t>
      </w:r>
      <w:r w:rsidR="005C38DF">
        <w:t>For the EU,</w:t>
      </w:r>
      <w:r w:rsidR="004A3571">
        <w:t xml:space="preserve"> </w:t>
      </w:r>
      <w:r>
        <w:t xml:space="preserve">Europe needs to </w:t>
      </w:r>
      <w:r w:rsidR="00D71F06">
        <w:t>establish a</w:t>
      </w:r>
      <w:r w:rsidR="003F79A5">
        <w:t>n effective process for implement</w:t>
      </w:r>
      <w:r w:rsidR="00611571">
        <w:t xml:space="preserve">ing </w:t>
      </w:r>
      <w:r>
        <w:t xml:space="preserve">the </w:t>
      </w:r>
      <w:r w:rsidR="003F79A5">
        <w:t>P</w:t>
      </w:r>
      <w:r>
        <w:t xml:space="preserve">harmaceutical </w:t>
      </w:r>
      <w:r w:rsidR="003F79A5">
        <w:t>S</w:t>
      </w:r>
      <w:r>
        <w:t xml:space="preserve">trategy (its first </w:t>
      </w:r>
      <w:r w:rsidR="00F659D8">
        <w:t xml:space="preserve">in over </w:t>
      </w:r>
      <w:r w:rsidR="00F659D8" w:rsidRPr="00CE5894">
        <w:t>50</w:t>
      </w:r>
      <w:r w:rsidRPr="00CE5894">
        <w:t xml:space="preserve"> years</w:t>
      </w:r>
      <w:r w:rsidR="00F659D8">
        <w:t xml:space="preserve"> since the </w:t>
      </w:r>
      <w:r w:rsidR="009641A3">
        <w:t xml:space="preserve">first pharmaceutical legislation was implemented </w:t>
      </w:r>
      <w:r w:rsidR="009641A3">
        <w:lastRenderedPageBreak/>
        <w:t>in the EU</w:t>
      </w:r>
      <w:r w:rsidR="009641A3">
        <w:rPr>
          <w:rStyle w:val="Odwoanieprzypisudolnego"/>
        </w:rPr>
        <w:footnoteReference w:id="244"/>
      </w:r>
      <w:r>
        <w:t xml:space="preserve">) with </w:t>
      </w:r>
      <w:r w:rsidR="0049538F">
        <w:t>ongoing</w:t>
      </w:r>
      <w:r w:rsidR="00904578">
        <w:t xml:space="preserve"> </w:t>
      </w:r>
      <w:r w:rsidR="004A3571">
        <w:t>dialogue</w:t>
      </w:r>
      <w:r w:rsidR="00904578">
        <w:t xml:space="preserve"> regarding how the environment will change </w:t>
      </w:r>
      <w:r>
        <w:t xml:space="preserve">over </w:t>
      </w:r>
      <w:r w:rsidR="00211A8C">
        <w:t>5-, 10- and 20-year</w:t>
      </w:r>
      <w:r>
        <w:t xml:space="preserve"> </w:t>
      </w:r>
      <w:r w:rsidR="006B7FAE">
        <w:t>time periods</w:t>
      </w:r>
      <w:r>
        <w:t xml:space="preserve">, </w:t>
      </w:r>
      <w:r w:rsidR="003F79A5">
        <w:t>the expect</w:t>
      </w:r>
      <w:r w:rsidR="006B7FAE">
        <w:t>ed</w:t>
      </w:r>
      <w:r w:rsidR="003F79A5">
        <w:t xml:space="preserve"> and actual impact of policy changes</w:t>
      </w:r>
      <w:r w:rsidR="00611571">
        <w:t>,</w:t>
      </w:r>
      <w:r w:rsidR="003F79A5">
        <w:t xml:space="preserve"> </w:t>
      </w:r>
      <w:r>
        <w:t>and ensur</w:t>
      </w:r>
      <w:r w:rsidR="003F79A5">
        <w:t>ing</w:t>
      </w:r>
      <w:r>
        <w:t xml:space="preserve"> a focus on innovation </w:t>
      </w:r>
      <w:r w:rsidR="003D08D1">
        <w:t>and</w:t>
      </w:r>
      <w:r>
        <w:t xml:space="preserve"> production.</w:t>
      </w:r>
    </w:p>
    <w:p w14:paraId="7FA23768" w14:textId="0BFBACFA" w:rsidR="007E370B" w:rsidRPr="000A2E03" w:rsidRDefault="007E370B" w:rsidP="007E370B">
      <w:pPr>
        <w:pStyle w:val="Tekstpodstawowy"/>
        <w:rPr>
          <w:b/>
          <w:bCs/>
          <w:color w:val="0073AE" w:themeColor="accent1"/>
          <w:u w:val="single"/>
        </w:rPr>
      </w:pPr>
      <w:r w:rsidRPr="000A2E03">
        <w:rPr>
          <w:b/>
          <w:bCs/>
          <w:color w:val="0073AE" w:themeColor="accent1"/>
          <w:u w:val="single"/>
        </w:rPr>
        <w:t>Current policy priorities</w:t>
      </w:r>
    </w:p>
    <w:p w14:paraId="0D3485D3" w14:textId="32DDC99E" w:rsidR="007E370B" w:rsidRPr="009F4D0F" w:rsidRDefault="00904578" w:rsidP="007E370B">
      <w:pPr>
        <w:pStyle w:val="Tekstpodstawowy"/>
      </w:pPr>
      <w:r>
        <w:t xml:space="preserve">There is an </w:t>
      </w:r>
      <w:r w:rsidR="00A41803">
        <w:t>acknowledge</w:t>
      </w:r>
      <w:r>
        <w:t>ment</w:t>
      </w:r>
      <w:r w:rsidR="00A41803">
        <w:t xml:space="preserve"> in the </w:t>
      </w:r>
      <w:r w:rsidR="004A3571">
        <w:t>Pharmaceutical</w:t>
      </w:r>
      <w:r w:rsidR="00A41803">
        <w:t xml:space="preserve"> Strategy </w:t>
      </w:r>
      <w:r>
        <w:t xml:space="preserve">of </w:t>
      </w:r>
      <w:r w:rsidR="00A41803">
        <w:t>the need for “future-proofing” legislation</w:t>
      </w:r>
      <w:r w:rsidR="00EF0A6E">
        <w:t xml:space="preserve">, particularly as the current pharmaceutical legislation was developed at a time </w:t>
      </w:r>
      <w:r w:rsidR="00B9597E">
        <w:t xml:space="preserve">when </w:t>
      </w:r>
      <w:r w:rsidR="00EF0A6E">
        <w:t xml:space="preserve">certain technologies that exist today were </w:t>
      </w:r>
      <w:r w:rsidR="00674226">
        <w:t xml:space="preserve">either absent or in their infancy. There is an opportunity with the implementation of the Strategy and with the revision of the pharmaceutical legislation to </w:t>
      </w:r>
      <w:r w:rsidR="00724B77">
        <w:t xml:space="preserve">adopt a long-term </w:t>
      </w:r>
      <w:r w:rsidR="00435F03">
        <w:t>outlook</w:t>
      </w:r>
      <w:r w:rsidR="00724B77">
        <w:t xml:space="preserve">. </w:t>
      </w:r>
      <w:r w:rsidR="00C0725B">
        <w:t xml:space="preserve">Specifically, this should involve an evaluation of the likely long-term effects of policy decisions </w:t>
      </w:r>
      <w:r w:rsidR="00B134C3">
        <w:t xml:space="preserve">being </w:t>
      </w:r>
      <w:r w:rsidR="00AE7D0B">
        <w:t>under</w:t>
      </w:r>
      <w:r w:rsidR="00C0725B">
        <w:t>taken</w:t>
      </w:r>
      <w:r w:rsidR="00B134C3">
        <w:t xml:space="preserve"> </w:t>
      </w:r>
      <w:r w:rsidR="00CF21A4">
        <w:t>and</w:t>
      </w:r>
      <w:r w:rsidR="00B134C3">
        <w:t xml:space="preserve"> consider</w:t>
      </w:r>
      <w:r w:rsidR="00CF21A4">
        <w:t>ation</w:t>
      </w:r>
      <w:r w:rsidR="00B134C3">
        <w:t xml:space="preserve"> </w:t>
      </w:r>
      <w:r w:rsidR="00CF21A4">
        <w:t>of</w:t>
      </w:r>
      <w:r w:rsidR="00B134C3">
        <w:t xml:space="preserve"> whether these will support the objective of increasing Europe’s attractiveness as a location to invest in the long-term.</w:t>
      </w:r>
      <w:r w:rsidR="00772961">
        <w:t xml:space="preserve"> Ongoing dialogue with industry will be </w:t>
      </w:r>
      <w:r w:rsidR="0076364E">
        <w:t xml:space="preserve">important </w:t>
      </w:r>
      <w:r w:rsidR="00116786">
        <w:t>to establish a forward-looking partnership.</w:t>
      </w:r>
      <w:r w:rsidR="003F08B9">
        <w:t xml:space="preserve"> Tangible and rele</w:t>
      </w:r>
      <w:r w:rsidR="007148D3">
        <w:t>vant key performance indicators can be co-created to e</w:t>
      </w:r>
      <w:r w:rsidR="00252A26">
        <w:t xml:space="preserve">nsure </w:t>
      </w:r>
      <w:r w:rsidR="00E04916">
        <w:t xml:space="preserve">revised </w:t>
      </w:r>
      <w:r w:rsidR="00D47AE0">
        <w:t xml:space="preserve">legislation is having </w:t>
      </w:r>
      <w:r w:rsidR="00E04916">
        <w:t>its</w:t>
      </w:r>
      <w:r w:rsidR="00D47AE0">
        <w:t xml:space="preserve"> </w:t>
      </w:r>
      <w:r w:rsidR="00E04916">
        <w:t>intended impact</w:t>
      </w:r>
      <w:r w:rsidR="005C0F12">
        <w:t xml:space="preserve">, and to enable </w:t>
      </w:r>
      <w:r w:rsidR="00841772">
        <w:t>benchmarking of Europe’s</w:t>
      </w:r>
      <w:r w:rsidR="00035005">
        <w:t xml:space="preserve"> long-term</w:t>
      </w:r>
      <w:r w:rsidR="00841772">
        <w:t xml:space="preserve"> competitiveness </w:t>
      </w:r>
      <w:r w:rsidR="00035005">
        <w:t xml:space="preserve">for attracting investment relative to </w:t>
      </w:r>
      <w:r w:rsidR="00012945">
        <w:t>countries such as the US and China.</w:t>
      </w:r>
    </w:p>
    <w:p w14:paraId="3211F0A2" w14:textId="77777777" w:rsidR="007E370B" w:rsidRPr="007E370B" w:rsidRDefault="007E370B" w:rsidP="00D53D69">
      <w:pPr>
        <w:pStyle w:val="Tekstpodstawowy"/>
        <w:rPr>
          <w:color w:val="FF0000"/>
        </w:rPr>
      </w:pPr>
    </w:p>
    <w:p w14:paraId="0BCAA956" w14:textId="6A539FD9" w:rsidR="00D55BCE" w:rsidRDefault="005870D5" w:rsidP="005870D5">
      <w:pPr>
        <w:pStyle w:val="Nagwek1"/>
        <w:numPr>
          <w:ilvl w:val="0"/>
          <w:numId w:val="0"/>
        </w:numPr>
        <w:ind w:left="720" w:hanging="708"/>
      </w:pPr>
      <w:bookmarkStart w:id="221" w:name="_Toc115717793"/>
      <w:bookmarkStart w:id="222" w:name="_Toc106104546"/>
      <w:r>
        <w:lastRenderedPageBreak/>
        <w:t>Appendix</w:t>
      </w:r>
      <w:bookmarkEnd w:id="221"/>
      <w:r>
        <w:t xml:space="preserve"> </w:t>
      </w:r>
    </w:p>
    <w:p w14:paraId="30F2CD42" w14:textId="7C470910" w:rsidR="00FB32E9" w:rsidRDefault="00867B05" w:rsidP="00D53D69">
      <w:pPr>
        <w:pStyle w:val="Nagwek4"/>
      </w:pPr>
      <w:r>
        <w:t>Kearney</w:t>
      </w:r>
      <w:r w:rsidR="00495E7C">
        <w:t xml:space="preserve"> For</w:t>
      </w:r>
      <w:r w:rsidR="004D527D">
        <w:t>ei</w:t>
      </w:r>
      <w:r w:rsidR="00495E7C">
        <w:t>gn Direct Investment (</w:t>
      </w:r>
      <w:r>
        <w:t>FDI</w:t>
      </w:r>
      <w:r w:rsidR="00495E7C">
        <w:t>)</w:t>
      </w:r>
      <w:r>
        <w:t xml:space="preserve"> Confidence Index</w:t>
      </w:r>
    </w:p>
    <w:p w14:paraId="61C30F5F" w14:textId="3E2DC69F" w:rsidR="006804AD" w:rsidRDefault="00A35E91" w:rsidP="00732A25">
      <w:pPr>
        <w:pStyle w:val="Legenda"/>
      </w:pPr>
      <w:bookmarkStart w:id="223" w:name="_Ref106360363"/>
      <w:bookmarkStart w:id="224" w:name="_Toc115717816"/>
      <w:r w:rsidRPr="00DC16A4">
        <w:t xml:space="preserve">Table </w:t>
      </w:r>
      <w:r w:rsidRPr="000A2E03">
        <w:fldChar w:fldCharType="begin"/>
      </w:r>
      <w:r w:rsidRPr="00DC16A4">
        <w:instrText xml:space="preserve"> SEQ Table \* ARABIC </w:instrText>
      </w:r>
      <w:r w:rsidRPr="000A2E03">
        <w:fldChar w:fldCharType="separate"/>
      </w:r>
      <w:r>
        <w:rPr>
          <w:noProof/>
        </w:rPr>
        <w:t>3</w:t>
      </w:r>
      <w:r w:rsidRPr="000A2E03">
        <w:fldChar w:fldCharType="end"/>
      </w:r>
      <w:r w:rsidRPr="00DC16A4">
        <w:t xml:space="preserve">: </w:t>
      </w:r>
      <w:bookmarkEnd w:id="223"/>
      <w:r w:rsidR="006804AD">
        <w:t xml:space="preserve">Kearney FDI Confidence Index rankings </w:t>
      </w:r>
      <w:r w:rsidR="00D85F8D">
        <w:t>show</w:t>
      </w:r>
      <w:r w:rsidR="007A2FC2">
        <w:t xml:space="preserve"> investors remain most confident in the US</w:t>
      </w:r>
      <w:r w:rsidR="000D09DA">
        <w:t xml:space="preserve"> market</w:t>
      </w:r>
      <w:bookmarkEnd w:id="224"/>
    </w:p>
    <w:tbl>
      <w:tblPr>
        <w:tblStyle w:val="Tabela-Siatka"/>
        <w:tblW w:w="0" w:type="auto"/>
        <w:tblLayout w:type="fixed"/>
        <w:tblCellMar>
          <w:left w:w="28" w:type="dxa"/>
          <w:right w:w="28" w:type="dxa"/>
        </w:tblCellMar>
        <w:tblLook w:val="04A0" w:firstRow="1" w:lastRow="0" w:firstColumn="1" w:lastColumn="0" w:noHBand="0" w:noVBand="1"/>
      </w:tblPr>
      <w:tblGrid>
        <w:gridCol w:w="1271"/>
        <w:gridCol w:w="513"/>
        <w:gridCol w:w="513"/>
        <w:gridCol w:w="513"/>
        <w:gridCol w:w="513"/>
        <w:gridCol w:w="513"/>
        <w:gridCol w:w="513"/>
        <w:gridCol w:w="513"/>
        <w:gridCol w:w="513"/>
        <w:gridCol w:w="513"/>
        <w:gridCol w:w="513"/>
        <w:gridCol w:w="513"/>
        <w:gridCol w:w="513"/>
      </w:tblGrid>
      <w:tr w:rsidR="004D5366" w14:paraId="7A8988AB" w14:textId="77777777" w:rsidTr="0086128F">
        <w:trPr>
          <w:cantSplit/>
          <w:trHeight w:val="1134"/>
        </w:trPr>
        <w:tc>
          <w:tcPr>
            <w:tcW w:w="1271" w:type="dxa"/>
            <w:shd w:val="clear" w:color="auto" w:fill="C0C0C0" w:themeFill="text2"/>
            <w:vAlign w:val="center"/>
          </w:tcPr>
          <w:p w14:paraId="79D18275" w14:textId="1BA457DD" w:rsidR="004B2DCA" w:rsidRPr="00732A25" w:rsidRDefault="004B2DCA" w:rsidP="0086128F">
            <w:pPr>
              <w:pStyle w:val="Tekstpodstawowy"/>
              <w:jc w:val="left"/>
              <w:rPr>
                <w:b/>
                <w:bCs/>
                <w:color w:val="FFFFFF" w:themeColor="background1"/>
              </w:rPr>
            </w:pPr>
            <w:r w:rsidRPr="00732A25">
              <w:rPr>
                <w:b/>
                <w:bCs/>
                <w:color w:val="FFFFFF" w:themeColor="background1"/>
              </w:rPr>
              <w:t>Country</w:t>
            </w:r>
          </w:p>
        </w:tc>
        <w:tc>
          <w:tcPr>
            <w:tcW w:w="513" w:type="dxa"/>
            <w:shd w:val="clear" w:color="auto" w:fill="C0C0C0" w:themeFill="text2"/>
            <w:textDirection w:val="tbRl"/>
          </w:tcPr>
          <w:p w14:paraId="68427320" w14:textId="30E5EBFF" w:rsidR="004B2DCA" w:rsidRPr="00732A25" w:rsidRDefault="004B2DCA" w:rsidP="009115CE">
            <w:pPr>
              <w:pStyle w:val="Tekstpodstawowy"/>
              <w:ind w:left="113" w:right="113"/>
              <w:rPr>
                <w:b/>
                <w:bCs/>
                <w:color w:val="FFFFFF" w:themeColor="background1"/>
              </w:rPr>
            </w:pPr>
            <w:r w:rsidRPr="00732A25">
              <w:rPr>
                <w:b/>
                <w:bCs/>
                <w:color w:val="FFFFFF" w:themeColor="background1"/>
              </w:rPr>
              <w:t>2010</w:t>
            </w:r>
          </w:p>
        </w:tc>
        <w:tc>
          <w:tcPr>
            <w:tcW w:w="513" w:type="dxa"/>
            <w:shd w:val="clear" w:color="auto" w:fill="C0C0C0" w:themeFill="text2"/>
            <w:textDirection w:val="tbRl"/>
          </w:tcPr>
          <w:p w14:paraId="68D80FAF" w14:textId="76B3F8F7" w:rsidR="004B2DCA" w:rsidRPr="00732A25" w:rsidRDefault="004B2DCA" w:rsidP="009115CE">
            <w:pPr>
              <w:pStyle w:val="Tekstpodstawowy"/>
              <w:ind w:left="113" w:right="113"/>
              <w:rPr>
                <w:b/>
                <w:bCs/>
                <w:color w:val="FFFFFF" w:themeColor="background1"/>
              </w:rPr>
            </w:pPr>
            <w:r w:rsidRPr="00732A25">
              <w:rPr>
                <w:b/>
                <w:bCs/>
                <w:color w:val="FFFFFF" w:themeColor="background1"/>
              </w:rPr>
              <w:t>2012</w:t>
            </w:r>
          </w:p>
        </w:tc>
        <w:tc>
          <w:tcPr>
            <w:tcW w:w="513" w:type="dxa"/>
            <w:shd w:val="clear" w:color="auto" w:fill="C0C0C0" w:themeFill="text2"/>
            <w:textDirection w:val="tbRl"/>
          </w:tcPr>
          <w:p w14:paraId="1823CBF5" w14:textId="2D6AD223" w:rsidR="004B2DCA" w:rsidRPr="00732A25" w:rsidRDefault="004B2DCA" w:rsidP="009115CE">
            <w:pPr>
              <w:pStyle w:val="Tekstpodstawowy"/>
              <w:ind w:left="113" w:right="113"/>
              <w:rPr>
                <w:b/>
                <w:bCs/>
                <w:color w:val="FFFFFF" w:themeColor="background1"/>
              </w:rPr>
            </w:pPr>
            <w:r w:rsidRPr="00732A25">
              <w:rPr>
                <w:b/>
                <w:bCs/>
                <w:color w:val="FFFFFF" w:themeColor="background1"/>
              </w:rPr>
              <w:t>2013</w:t>
            </w:r>
          </w:p>
        </w:tc>
        <w:tc>
          <w:tcPr>
            <w:tcW w:w="513" w:type="dxa"/>
            <w:shd w:val="clear" w:color="auto" w:fill="C0C0C0" w:themeFill="text2"/>
            <w:textDirection w:val="tbRl"/>
          </w:tcPr>
          <w:p w14:paraId="7586AB8D" w14:textId="420A1711" w:rsidR="004B2DCA" w:rsidRPr="00732A25" w:rsidRDefault="004B2DCA" w:rsidP="009115CE">
            <w:pPr>
              <w:pStyle w:val="Tekstpodstawowy"/>
              <w:ind w:left="113" w:right="113"/>
              <w:rPr>
                <w:b/>
                <w:bCs/>
                <w:color w:val="FFFFFF" w:themeColor="background1"/>
              </w:rPr>
            </w:pPr>
            <w:r w:rsidRPr="00732A25">
              <w:rPr>
                <w:b/>
                <w:bCs/>
                <w:color w:val="FFFFFF" w:themeColor="background1"/>
              </w:rPr>
              <w:t>2014</w:t>
            </w:r>
          </w:p>
        </w:tc>
        <w:tc>
          <w:tcPr>
            <w:tcW w:w="513" w:type="dxa"/>
            <w:shd w:val="clear" w:color="auto" w:fill="C0C0C0" w:themeFill="text2"/>
            <w:textDirection w:val="tbRl"/>
          </w:tcPr>
          <w:p w14:paraId="4A703389" w14:textId="63BF14A4" w:rsidR="004B2DCA" w:rsidRPr="00732A25" w:rsidRDefault="004B2DCA" w:rsidP="009115CE">
            <w:pPr>
              <w:pStyle w:val="Tekstpodstawowy"/>
              <w:ind w:left="113" w:right="113"/>
              <w:rPr>
                <w:b/>
                <w:bCs/>
                <w:color w:val="FFFFFF" w:themeColor="background1"/>
              </w:rPr>
            </w:pPr>
            <w:r w:rsidRPr="00732A25">
              <w:rPr>
                <w:b/>
                <w:bCs/>
                <w:color w:val="FFFFFF" w:themeColor="background1"/>
              </w:rPr>
              <w:t>2015</w:t>
            </w:r>
          </w:p>
        </w:tc>
        <w:tc>
          <w:tcPr>
            <w:tcW w:w="513" w:type="dxa"/>
            <w:shd w:val="clear" w:color="auto" w:fill="C0C0C0" w:themeFill="text2"/>
            <w:textDirection w:val="tbRl"/>
          </w:tcPr>
          <w:p w14:paraId="4D75FD97" w14:textId="75A5A585" w:rsidR="004B2DCA" w:rsidRPr="00732A25" w:rsidRDefault="004B2DCA" w:rsidP="009115CE">
            <w:pPr>
              <w:pStyle w:val="Tekstpodstawowy"/>
              <w:ind w:left="113" w:right="113"/>
              <w:rPr>
                <w:b/>
                <w:bCs/>
                <w:color w:val="FFFFFF" w:themeColor="background1"/>
              </w:rPr>
            </w:pPr>
            <w:r w:rsidRPr="00732A25">
              <w:rPr>
                <w:b/>
                <w:bCs/>
                <w:color w:val="FFFFFF" w:themeColor="background1"/>
              </w:rPr>
              <w:t>2016</w:t>
            </w:r>
          </w:p>
        </w:tc>
        <w:tc>
          <w:tcPr>
            <w:tcW w:w="513" w:type="dxa"/>
            <w:shd w:val="clear" w:color="auto" w:fill="C0C0C0" w:themeFill="text2"/>
            <w:textDirection w:val="tbRl"/>
          </w:tcPr>
          <w:p w14:paraId="428E5622" w14:textId="30BF017B" w:rsidR="004B2DCA" w:rsidRPr="00732A25" w:rsidRDefault="004B2DCA" w:rsidP="009115CE">
            <w:pPr>
              <w:pStyle w:val="Tekstpodstawowy"/>
              <w:ind w:left="113" w:right="113"/>
              <w:rPr>
                <w:b/>
                <w:bCs/>
                <w:color w:val="FFFFFF" w:themeColor="background1"/>
              </w:rPr>
            </w:pPr>
            <w:r w:rsidRPr="00732A25">
              <w:rPr>
                <w:b/>
                <w:bCs/>
                <w:color w:val="FFFFFF" w:themeColor="background1"/>
              </w:rPr>
              <w:t>2017</w:t>
            </w:r>
          </w:p>
        </w:tc>
        <w:tc>
          <w:tcPr>
            <w:tcW w:w="513" w:type="dxa"/>
            <w:shd w:val="clear" w:color="auto" w:fill="C0C0C0" w:themeFill="text2"/>
            <w:textDirection w:val="tbRl"/>
          </w:tcPr>
          <w:p w14:paraId="698B2CBE" w14:textId="5D8F19BD" w:rsidR="004B2DCA" w:rsidRPr="00732A25" w:rsidRDefault="004B2DCA" w:rsidP="009115CE">
            <w:pPr>
              <w:pStyle w:val="Tekstpodstawowy"/>
              <w:ind w:left="113" w:right="113"/>
              <w:rPr>
                <w:b/>
                <w:bCs/>
                <w:color w:val="FFFFFF" w:themeColor="background1"/>
              </w:rPr>
            </w:pPr>
            <w:r w:rsidRPr="00732A25">
              <w:rPr>
                <w:b/>
                <w:bCs/>
                <w:color w:val="FFFFFF" w:themeColor="background1"/>
              </w:rPr>
              <w:t>2018</w:t>
            </w:r>
          </w:p>
        </w:tc>
        <w:tc>
          <w:tcPr>
            <w:tcW w:w="513" w:type="dxa"/>
            <w:shd w:val="clear" w:color="auto" w:fill="C0C0C0" w:themeFill="text2"/>
            <w:textDirection w:val="tbRl"/>
          </w:tcPr>
          <w:p w14:paraId="1B405F6D" w14:textId="6975A929" w:rsidR="004B2DCA" w:rsidRPr="00732A25" w:rsidRDefault="004B2DCA" w:rsidP="009115CE">
            <w:pPr>
              <w:pStyle w:val="Tekstpodstawowy"/>
              <w:ind w:left="113" w:right="113"/>
              <w:rPr>
                <w:b/>
                <w:bCs/>
                <w:color w:val="FFFFFF" w:themeColor="background1"/>
              </w:rPr>
            </w:pPr>
            <w:r w:rsidRPr="00732A25">
              <w:rPr>
                <w:b/>
                <w:bCs/>
                <w:color w:val="FFFFFF" w:themeColor="background1"/>
              </w:rPr>
              <w:t>2019</w:t>
            </w:r>
          </w:p>
        </w:tc>
        <w:tc>
          <w:tcPr>
            <w:tcW w:w="513" w:type="dxa"/>
            <w:shd w:val="clear" w:color="auto" w:fill="C0C0C0" w:themeFill="text2"/>
            <w:textDirection w:val="tbRl"/>
          </w:tcPr>
          <w:p w14:paraId="0F998961" w14:textId="1D4DC878" w:rsidR="004B2DCA" w:rsidRPr="00732A25" w:rsidRDefault="004B2DCA" w:rsidP="009115CE">
            <w:pPr>
              <w:pStyle w:val="Tekstpodstawowy"/>
              <w:ind w:left="113" w:right="113"/>
              <w:rPr>
                <w:b/>
                <w:bCs/>
                <w:color w:val="FFFFFF" w:themeColor="background1"/>
              </w:rPr>
            </w:pPr>
            <w:r w:rsidRPr="00732A25">
              <w:rPr>
                <w:b/>
                <w:bCs/>
                <w:color w:val="FFFFFF" w:themeColor="background1"/>
              </w:rPr>
              <w:t>2020</w:t>
            </w:r>
          </w:p>
        </w:tc>
        <w:tc>
          <w:tcPr>
            <w:tcW w:w="513" w:type="dxa"/>
            <w:shd w:val="clear" w:color="auto" w:fill="C0C0C0" w:themeFill="text2"/>
            <w:textDirection w:val="tbRl"/>
          </w:tcPr>
          <w:p w14:paraId="10380B3C" w14:textId="5D5238F0" w:rsidR="004B2DCA" w:rsidRPr="00732A25" w:rsidRDefault="004B2DCA" w:rsidP="009115CE">
            <w:pPr>
              <w:pStyle w:val="Tekstpodstawowy"/>
              <w:ind w:left="113" w:right="113"/>
              <w:rPr>
                <w:b/>
                <w:bCs/>
                <w:color w:val="FFFFFF" w:themeColor="background1"/>
              </w:rPr>
            </w:pPr>
            <w:r w:rsidRPr="00732A25">
              <w:rPr>
                <w:b/>
                <w:bCs/>
                <w:color w:val="FFFFFF" w:themeColor="background1"/>
              </w:rPr>
              <w:t>2021</w:t>
            </w:r>
          </w:p>
        </w:tc>
        <w:tc>
          <w:tcPr>
            <w:tcW w:w="513" w:type="dxa"/>
            <w:shd w:val="clear" w:color="auto" w:fill="C0C0C0" w:themeFill="text2"/>
            <w:textDirection w:val="tbRl"/>
          </w:tcPr>
          <w:p w14:paraId="5113AABA" w14:textId="2E0DD232" w:rsidR="004B2DCA" w:rsidRPr="00732A25" w:rsidRDefault="004B2DCA" w:rsidP="009115CE">
            <w:pPr>
              <w:pStyle w:val="Tekstpodstawowy"/>
              <w:ind w:left="113" w:right="113"/>
              <w:rPr>
                <w:b/>
                <w:bCs/>
                <w:color w:val="FFFFFF" w:themeColor="background1"/>
              </w:rPr>
            </w:pPr>
            <w:r w:rsidRPr="00732A25">
              <w:rPr>
                <w:b/>
                <w:bCs/>
                <w:color w:val="FFFFFF" w:themeColor="background1"/>
              </w:rPr>
              <w:t>2022</w:t>
            </w:r>
          </w:p>
        </w:tc>
      </w:tr>
      <w:tr w:rsidR="004D5366" w14:paraId="76C709D0" w14:textId="77777777" w:rsidTr="00ED4265">
        <w:trPr>
          <w:trHeight w:val="454"/>
        </w:trPr>
        <w:tc>
          <w:tcPr>
            <w:tcW w:w="1271" w:type="dxa"/>
            <w:shd w:val="clear" w:color="auto" w:fill="F2F2F2" w:themeFill="background1" w:themeFillShade="F2"/>
          </w:tcPr>
          <w:p w14:paraId="094D05EE" w14:textId="6829F60F" w:rsidR="004B2DCA" w:rsidRDefault="004B2DCA" w:rsidP="00780046">
            <w:pPr>
              <w:pStyle w:val="Tekstpodstawowy"/>
              <w:spacing w:beforeLines="20" w:before="48" w:afterLines="20" w:after="48"/>
            </w:pPr>
            <w:r>
              <w:t>US</w:t>
            </w:r>
          </w:p>
        </w:tc>
        <w:tc>
          <w:tcPr>
            <w:tcW w:w="513" w:type="dxa"/>
            <w:shd w:val="clear" w:color="auto" w:fill="D2ECD3" w:themeFill="accent6" w:themeFillTint="33"/>
          </w:tcPr>
          <w:p w14:paraId="7347B32D" w14:textId="4888F213" w:rsidR="004B2DCA" w:rsidRPr="00732A25" w:rsidRDefault="004B2DCA" w:rsidP="00780046">
            <w:pPr>
              <w:pStyle w:val="Tekstpodstawowy"/>
              <w:spacing w:beforeLines="20" w:before="48" w:afterLines="20" w:after="48"/>
              <w:jc w:val="center"/>
              <w:rPr>
                <w:b/>
                <w:bCs/>
              </w:rPr>
            </w:pPr>
            <w:r w:rsidRPr="00732A25">
              <w:rPr>
                <w:b/>
                <w:bCs/>
              </w:rPr>
              <w:t>2</w:t>
            </w:r>
          </w:p>
        </w:tc>
        <w:tc>
          <w:tcPr>
            <w:tcW w:w="513" w:type="dxa"/>
          </w:tcPr>
          <w:p w14:paraId="5F332BC8" w14:textId="48BBA19D" w:rsidR="004B2DCA" w:rsidRDefault="004B2DCA" w:rsidP="00780046">
            <w:pPr>
              <w:pStyle w:val="Tekstpodstawowy"/>
              <w:spacing w:beforeLines="20" w:before="48" w:afterLines="20" w:after="48"/>
              <w:jc w:val="center"/>
            </w:pPr>
            <w:r>
              <w:t>4</w:t>
            </w:r>
          </w:p>
        </w:tc>
        <w:tc>
          <w:tcPr>
            <w:tcW w:w="513" w:type="dxa"/>
            <w:shd w:val="clear" w:color="auto" w:fill="A5D9A7" w:themeFill="accent6" w:themeFillTint="66"/>
          </w:tcPr>
          <w:p w14:paraId="026852D7" w14:textId="6133CE4A"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6AE92E09" w14:textId="17B979FE"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0E98006A" w14:textId="4189CAE2"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7854A0C5" w14:textId="6EABD0FB"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61A8A398" w14:textId="7B0F4EF2" w:rsidR="004B2DCA" w:rsidRPr="00732A25" w:rsidRDefault="00390E5B"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1D98EC24" w14:textId="6677BDDA" w:rsidR="004B2DCA" w:rsidRPr="00732A25" w:rsidRDefault="00F742FF"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0EA7E677" w14:textId="1ABB4D35" w:rsidR="004B2DCA" w:rsidRPr="00732A25" w:rsidRDefault="00F742FF"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5A411E59" w14:textId="1E8DAB25" w:rsidR="004B2DCA" w:rsidRPr="00732A25" w:rsidRDefault="00F742FF"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0F36223D" w14:textId="0473D738"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2ACC32D6" w14:textId="297F83BD" w:rsidR="004B2DCA" w:rsidRPr="00732A25" w:rsidRDefault="004B2DCA" w:rsidP="00780046">
            <w:pPr>
              <w:pStyle w:val="Tekstpodstawowy"/>
              <w:spacing w:beforeLines="20" w:before="48" w:afterLines="20" w:after="48"/>
              <w:jc w:val="center"/>
              <w:rPr>
                <w:b/>
                <w:bCs/>
              </w:rPr>
            </w:pPr>
            <w:r w:rsidRPr="00732A25">
              <w:rPr>
                <w:b/>
                <w:bCs/>
              </w:rPr>
              <w:t>1</w:t>
            </w:r>
          </w:p>
        </w:tc>
      </w:tr>
      <w:tr w:rsidR="004D5366" w14:paraId="0A2A1EB6" w14:textId="77777777" w:rsidTr="00ED4265">
        <w:trPr>
          <w:trHeight w:val="454"/>
        </w:trPr>
        <w:tc>
          <w:tcPr>
            <w:tcW w:w="1271" w:type="dxa"/>
            <w:shd w:val="clear" w:color="auto" w:fill="F2F2F2" w:themeFill="background1" w:themeFillShade="F2"/>
          </w:tcPr>
          <w:p w14:paraId="4CD07B1B" w14:textId="5238DA51" w:rsidR="004B2DCA" w:rsidRDefault="004B2DCA" w:rsidP="00780046">
            <w:pPr>
              <w:pStyle w:val="Tekstpodstawowy"/>
              <w:spacing w:beforeLines="20" w:before="48" w:afterLines="20" w:after="48"/>
            </w:pPr>
            <w:r>
              <w:t>Germany</w:t>
            </w:r>
          </w:p>
        </w:tc>
        <w:tc>
          <w:tcPr>
            <w:tcW w:w="513" w:type="dxa"/>
          </w:tcPr>
          <w:p w14:paraId="7115FD72" w14:textId="1B7DC6F3" w:rsidR="004B2DCA" w:rsidRDefault="004B2DCA" w:rsidP="00780046">
            <w:pPr>
              <w:pStyle w:val="Tekstpodstawowy"/>
              <w:spacing w:beforeLines="20" w:before="48" w:afterLines="20" w:after="48"/>
              <w:jc w:val="center"/>
            </w:pPr>
            <w:r>
              <w:t>5</w:t>
            </w:r>
          </w:p>
        </w:tc>
        <w:tc>
          <w:tcPr>
            <w:tcW w:w="513" w:type="dxa"/>
          </w:tcPr>
          <w:p w14:paraId="474AB822" w14:textId="4346187E" w:rsidR="004B2DCA" w:rsidRDefault="004B2DCA" w:rsidP="00780046">
            <w:pPr>
              <w:pStyle w:val="Tekstpodstawowy"/>
              <w:spacing w:beforeLines="20" w:before="48" w:afterLines="20" w:after="48"/>
              <w:jc w:val="center"/>
            </w:pPr>
            <w:r>
              <w:t>5</w:t>
            </w:r>
          </w:p>
        </w:tc>
        <w:tc>
          <w:tcPr>
            <w:tcW w:w="513" w:type="dxa"/>
          </w:tcPr>
          <w:p w14:paraId="46340EB8" w14:textId="732666CC" w:rsidR="004B2DCA" w:rsidRDefault="004B2DCA" w:rsidP="00780046">
            <w:pPr>
              <w:pStyle w:val="Tekstpodstawowy"/>
              <w:spacing w:beforeLines="20" w:before="48" w:afterLines="20" w:after="48"/>
              <w:jc w:val="center"/>
            </w:pPr>
            <w:r>
              <w:t>7</w:t>
            </w:r>
          </w:p>
        </w:tc>
        <w:tc>
          <w:tcPr>
            <w:tcW w:w="513" w:type="dxa"/>
          </w:tcPr>
          <w:p w14:paraId="750F8F1A" w14:textId="5202B101" w:rsidR="004B2DCA" w:rsidRDefault="004B2DCA" w:rsidP="00780046">
            <w:pPr>
              <w:pStyle w:val="Tekstpodstawowy"/>
              <w:spacing w:beforeLines="20" w:before="48" w:afterLines="20" w:after="48"/>
              <w:jc w:val="center"/>
            </w:pPr>
            <w:r>
              <w:t>6</w:t>
            </w:r>
          </w:p>
        </w:tc>
        <w:tc>
          <w:tcPr>
            <w:tcW w:w="513" w:type="dxa"/>
          </w:tcPr>
          <w:p w14:paraId="70F1BF8B" w14:textId="4C4D5C6A" w:rsidR="004B2DCA" w:rsidRDefault="004B2DCA" w:rsidP="00780046">
            <w:pPr>
              <w:pStyle w:val="Tekstpodstawowy"/>
              <w:spacing w:beforeLines="20" w:before="48" w:afterLines="20" w:after="48"/>
              <w:jc w:val="center"/>
            </w:pPr>
            <w:r>
              <w:t>5</w:t>
            </w:r>
          </w:p>
        </w:tc>
        <w:tc>
          <w:tcPr>
            <w:tcW w:w="513" w:type="dxa"/>
          </w:tcPr>
          <w:p w14:paraId="054E354E" w14:textId="507D30E8" w:rsidR="004B2DCA" w:rsidRDefault="004B2DCA" w:rsidP="00780046">
            <w:pPr>
              <w:pStyle w:val="Tekstpodstawowy"/>
              <w:spacing w:beforeLines="20" w:before="48" w:afterLines="20" w:after="48"/>
              <w:jc w:val="center"/>
            </w:pPr>
            <w:r>
              <w:t>4</w:t>
            </w:r>
          </w:p>
        </w:tc>
        <w:tc>
          <w:tcPr>
            <w:tcW w:w="513" w:type="dxa"/>
            <w:shd w:val="clear" w:color="auto" w:fill="D2ECD3" w:themeFill="accent6" w:themeFillTint="33"/>
          </w:tcPr>
          <w:p w14:paraId="245FA3EA" w14:textId="03022994" w:rsidR="004B2DCA" w:rsidRPr="00732A25" w:rsidRDefault="00CD0993" w:rsidP="00780046">
            <w:pPr>
              <w:pStyle w:val="Tekstpodstawowy"/>
              <w:spacing w:beforeLines="20" w:before="48" w:afterLines="20" w:after="48"/>
              <w:jc w:val="center"/>
              <w:rPr>
                <w:b/>
                <w:bCs/>
              </w:rPr>
            </w:pPr>
            <w:r w:rsidRPr="00732A25">
              <w:rPr>
                <w:b/>
                <w:bCs/>
              </w:rPr>
              <w:t>2</w:t>
            </w:r>
          </w:p>
        </w:tc>
        <w:tc>
          <w:tcPr>
            <w:tcW w:w="513" w:type="dxa"/>
            <w:shd w:val="clear" w:color="auto" w:fill="E4F4E5"/>
          </w:tcPr>
          <w:p w14:paraId="042012CA" w14:textId="3BEB6975" w:rsidR="004B2DCA" w:rsidRPr="00732A25" w:rsidRDefault="00F742FF" w:rsidP="00780046">
            <w:pPr>
              <w:pStyle w:val="Tekstpodstawowy"/>
              <w:spacing w:beforeLines="20" w:before="48" w:afterLines="20" w:after="48"/>
              <w:jc w:val="center"/>
              <w:rPr>
                <w:b/>
                <w:bCs/>
              </w:rPr>
            </w:pPr>
            <w:r w:rsidRPr="00732A25">
              <w:rPr>
                <w:b/>
                <w:bCs/>
              </w:rPr>
              <w:t>3</w:t>
            </w:r>
          </w:p>
        </w:tc>
        <w:tc>
          <w:tcPr>
            <w:tcW w:w="513" w:type="dxa"/>
            <w:shd w:val="clear" w:color="auto" w:fill="D2ECD3" w:themeFill="accent6" w:themeFillTint="33"/>
          </w:tcPr>
          <w:p w14:paraId="5D7D8D7F" w14:textId="51397E20" w:rsidR="004B2DCA" w:rsidRPr="00732A25" w:rsidRDefault="00F742FF" w:rsidP="00780046">
            <w:pPr>
              <w:pStyle w:val="Tekstpodstawowy"/>
              <w:spacing w:beforeLines="20" w:before="48" w:afterLines="20" w:after="48"/>
              <w:jc w:val="center"/>
              <w:rPr>
                <w:b/>
                <w:bCs/>
              </w:rPr>
            </w:pPr>
            <w:r w:rsidRPr="00732A25">
              <w:rPr>
                <w:b/>
                <w:bCs/>
              </w:rPr>
              <w:t>2</w:t>
            </w:r>
          </w:p>
        </w:tc>
        <w:tc>
          <w:tcPr>
            <w:tcW w:w="513" w:type="dxa"/>
            <w:shd w:val="clear" w:color="auto" w:fill="E4F4E5"/>
          </w:tcPr>
          <w:p w14:paraId="34AA313B" w14:textId="25A87C8D" w:rsidR="004B2DCA" w:rsidRPr="00732A25" w:rsidRDefault="00F742FF" w:rsidP="00780046">
            <w:pPr>
              <w:pStyle w:val="Tekstpodstawowy"/>
              <w:spacing w:beforeLines="20" w:before="48" w:afterLines="20" w:after="48"/>
              <w:jc w:val="center"/>
              <w:rPr>
                <w:b/>
                <w:bCs/>
              </w:rPr>
            </w:pPr>
            <w:r w:rsidRPr="00732A25">
              <w:rPr>
                <w:b/>
                <w:bCs/>
              </w:rPr>
              <w:t>3</w:t>
            </w:r>
          </w:p>
        </w:tc>
        <w:tc>
          <w:tcPr>
            <w:tcW w:w="513" w:type="dxa"/>
            <w:shd w:val="clear" w:color="auto" w:fill="E4F4E5"/>
          </w:tcPr>
          <w:p w14:paraId="002F7416" w14:textId="02A08070" w:rsidR="004B2DCA" w:rsidRPr="00732A25" w:rsidRDefault="004B2DCA" w:rsidP="00780046">
            <w:pPr>
              <w:pStyle w:val="Tekstpodstawowy"/>
              <w:spacing w:beforeLines="20" w:before="48" w:afterLines="20" w:after="48"/>
              <w:jc w:val="center"/>
              <w:rPr>
                <w:b/>
                <w:bCs/>
              </w:rPr>
            </w:pPr>
            <w:r w:rsidRPr="00732A25">
              <w:rPr>
                <w:b/>
                <w:bCs/>
              </w:rPr>
              <w:t>3</w:t>
            </w:r>
          </w:p>
        </w:tc>
        <w:tc>
          <w:tcPr>
            <w:tcW w:w="513" w:type="dxa"/>
            <w:shd w:val="clear" w:color="auto" w:fill="D2ECD3" w:themeFill="accent6" w:themeFillTint="33"/>
          </w:tcPr>
          <w:p w14:paraId="378526B1" w14:textId="054838F6" w:rsidR="004B2DCA" w:rsidRPr="00732A25" w:rsidRDefault="004B2DCA" w:rsidP="00780046">
            <w:pPr>
              <w:pStyle w:val="Tekstpodstawowy"/>
              <w:spacing w:beforeLines="20" w:before="48" w:afterLines="20" w:after="48"/>
              <w:jc w:val="center"/>
              <w:rPr>
                <w:b/>
                <w:bCs/>
              </w:rPr>
            </w:pPr>
            <w:r w:rsidRPr="00732A25">
              <w:rPr>
                <w:b/>
                <w:bCs/>
              </w:rPr>
              <w:t>2</w:t>
            </w:r>
          </w:p>
        </w:tc>
      </w:tr>
      <w:tr w:rsidR="004D5366" w14:paraId="728B7306" w14:textId="77777777" w:rsidTr="00ED4265">
        <w:trPr>
          <w:trHeight w:val="454"/>
        </w:trPr>
        <w:tc>
          <w:tcPr>
            <w:tcW w:w="1271" w:type="dxa"/>
            <w:shd w:val="clear" w:color="auto" w:fill="F2F2F2" w:themeFill="background1" w:themeFillShade="F2"/>
          </w:tcPr>
          <w:p w14:paraId="0CE8D5C8" w14:textId="1AA8B7E4" w:rsidR="004B2DCA" w:rsidRDefault="004B2DCA" w:rsidP="00780046">
            <w:pPr>
              <w:pStyle w:val="Tekstpodstawowy"/>
              <w:spacing w:beforeLines="20" w:before="48" w:afterLines="20" w:after="48"/>
            </w:pPr>
            <w:r>
              <w:t>Canada</w:t>
            </w:r>
          </w:p>
        </w:tc>
        <w:tc>
          <w:tcPr>
            <w:tcW w:w="513" w:type="dxa"/>
          </w:tcPr>
          <w:p w14:paraId="65D99D9B" w14:textId="312EC5AD" w:rsidR="004B2DCA" w:rsidRDefault="00C544EE" w:rsidP="00780046">
            <w:pPr>
              <w:pStyle w:val="Tekstpodstawowy"/>
              <w:spacing w:beforeLines="20" w:before="48" w:afterLines="20" w:after="48"/>
              <w:jc w:val="center"/>
            </w:pPr>
            <w:r>
              <w:t>9</w:t>
            </w:r>
          </w:p>
        </w:tc>
        <w:tc>
          <w:tcPr>
            <w:tcW w:w="513" w:type="dxa"/>
          </w:tcPr>
          <w:p w14:paraId="2AEAC046" w14:textId="56163749" w:rsidR="004B2DCA" w:rsidRDefault="00C544EE" w:rsidP="00780046">
            <w:pPr>
              <w:pStyle w:val="Tekstpodstawowy"/>
              <w:spacing w:beforeLines="20" w:before="48" w:afterLines="20" w:after="48"/>
              <w:jc w:val="center"/>
            </w:pPr>
            <w:r>
              <w:t>20</w:t>
            </w:r>
          </w:p>
        </w:tc>
        <w:tc>
          <w:tcPr>
            <w:tcW w:w="513" w:type="dxa"/>
          </w:tcPr>
          <w:p w14:paraId="182B9E4B" w14:textId="2D53D625" w:rsidR="004B2DCA" w:rsidRDefault="00C544EE" w:rsidP="00780046">
            <w:pPr>
              <w:pStyle w:val="Tekstpodstawowy"/>
              <w:spacing w:beforeLines="20" w:before="48" w:afterLines="20" w:after="48"/>
              <w:jc w:val="center"/>
            </w:pPr>
            <w:r>
              <w:t>4</w:t>
            </w:r>
          </w:p>
        </w:tc>
        <w:tc>
          <w:tcPr>
            <w:tcW w:w="513" w:type="dxa"/>
            <w:shd w:val="clear" w:color="auto" w:fill="E4F4E5"/>
          </w:tcPr>
          <w:p w14:paraId="5B5E0CD5" w14:textId="26C92531" w:rsidR="004B2DCA" w:rsidRPr="00732A25" w:rsidRDefault="004B2DCA" w:rsidP="00780046">
            <w:pPr>
              <w:pStyle w:val="Tekstpodstawowy"/>
              <w:spacing w:beforeLines="20" w:before="48" w:afterLines="20" w:after="48"/>
              <w:jc w:val="center"/>
              <w:rPr>
                <w:b/>
                <w:bCs/>
              </w:rPr>
            </w:pPr>
            <w:r w:rsidRPr="00732A25">
              <w:rPr>
                <w:b/>
                <w:bCs/>
              </w:rPr>
              <w:t>3</w:t>
            </w:r>
          </w:p>
        </w:tc>
        <w:tc>
          <w:tcPr>
            <w:tcW w:w="513" w:type="dxa"/>
          </w:tcPr>
          <w:p w14:paraId="421F238A" w14:textId="0DA48319" w:rsidR="004B2DCA" w:rsidRDefault="004B2DCA" w:rsidP="00780046">
            <w:pPr>
              <w:pStyle w:val="Tekstpodstawowy"/>
              <w:spacing w:beforeLines="20" w:before="48" w:afterLines="20" w:after="48"/>
              <w:jc w:val="center"/>
            </w:pPr>
            <w:r>
              <w:t>4</w:t>
            </w:r>
          </w:p>
        </w:tc>
        <w:tc>
          <w:tcPr>
            <w:tcW w:w="513" w:type="dxa"/>
            <w:shd w:val="clear" w:color="auto" w:fill="E4F4E5"/>
          </w:tcPr>
          <w:p w14:paraId="3FA34F02" w14:textId="68AAF327" w:rsidR="004B2DCA" w:rsidRPr="00732A25" w:rsidRDefault="004B2DCA" w:rsidP="00780046">
            <w:pPr>
              <w:pStyle w:val="Tekstpodstawowy"/>
              <w:spacing w:beforeLines="20" w:before="48" w:afterLines="20" w:after="48"/>
              <w:jc w:val="center"/>
              <w:rPr>
                <w:b/>
                <w:bCs/>
              </w:rPr>
            </w:pPr>
            <w:r w:rsidRPr="00732A25">
              <w:rPr>
                <w:b/>
                <w:bCs/>
              </w:rPr>
              <w:t>3</w:t>
            </w:r>
          </w:p>
        </w:tc>
        <w:tc>
          <w:tcPr>
            <w:tcW w:w="513" w:type="dxa"/>
          </w:tcPr>
          <w:p w14:paraId="771ACC73" w14:textId="5C71FF5D" w:rsidR="004B2DCA" w:rsidRDefault="00606B8D" w:rsidP="00780046">
            <w:pPr>
              <w:pStyle w:val="Tekstpodstawowy"/>
              <w:spacing w:beforeLines="20" w:before="48" w:afterLines="20" w:after="48"/>
              <w:jc w:val="center"/>
            </w:pPr>
            <w:r>
              <w:t>5</w:t>
            </w:r>
          </w:p>
        </w:tc>
        <w:tc>
          <w:tcPr>
            <w:tcW w:w="513" w:type="dxa"/>
            <w:shd w:val="clear" w:color="auto" w:fill="D2ECD3" w:themeFill="accent6" w:themeFillTint="33"/>
          </w:tcPr>
          <w:p w14:paraId="5A2257FA" w14:textId="21C94E62" w:rsidR="004B2DCA" w:rsidRPr="00732A25" w:rsidRDefault="004D3A23" w:rsidP="00780046">
            <w:pPr>
              <w:pStyle w:val="Tekstpodstawowy"/>
              <w:spacing w:beforeLines="20" w:before="48" w:afterLines="20" w:after="48"/>
              <w:jc w:val="center"/>
              <w:rPr>
                <w:b/>
                <w:bCs/>
              </w:rPr>
            </w:pPr>
            <w:r w:rsidRPr="00732A25">
              <w:rPr>
                <w:b/>
                <w:bCs/>
              </w:rPr>
              <w:t>2</w:t>
            </w:r>
          </w:p>
        </w:tc>
        <w:tc>
          <w:tcPr>
            <w:tcW w:w="513" w:type="dxa"/>
            <w:shd w:val="clear" w:color="auto" w:fill="E4F4E5"/>
          </w:tcPr>
          <w:p w14:paraId="729609ED" w14:textId="42D0D2ED" w:rsidR="004B2DCA" w:rsidRPr="00732A25" w:rsidRDefault="004D3A23" w:rsidP="00780046">
            <w:pPr>
              <w:pStyle w:val="Tekstpodstawowy"/>
              <w:spacing w:beforeLines="20" w:before="48" w:afterLines="20" w:after="48"/>
              <w:jc w:val="center"/>
              <w:rPr>
                <w:b/>
                <w:bCs/>
              </w:rPr>
            </w:pPr>
            <w:r w:rsidRPr="00732A25">
              <w:rPr>
                <w:b/>
                <w:bCs/>
              </w:rPr>
              <w:t>3</w:t>
            </w:r>
          </w:p>
        </w:tc>
        <w:tc>
          <w:tcPr>
            <w:tcW w:w="513" w:type="dxa"/>
            <w:shd w:val="clear" w:color="auto" w:fill="D2ECD3" w:themeFill="accent6" w:themeFillTint="33"/>
          </w:tcPr>
          <w:p w14:paraId="0107CFD3" w14:textId="6038B952" w:rsidR="004B2DCA" w:rsidRPr="00732A25" w:rsidRDefault="004D3A23" w:rsidP="00780046">
            <w:pPr>
              <w:pStyle w:val="Tekstpodstawowy"/>
              <w:spacing w:beforeLines="20" w:before="48" w:afterLines="20" w:after="48"/>
              <w:jc w:val="center"/>
              <w:rPr>
                <w:b/>
                <w:bCs/>
              </w:rPr>
            </w:pPr>
            <w:r w:rsidRPr="00732A25">
              <w:rPr>
                <w:b/>
                <w:bCs/>
              </w:rPr>
              <w:t>2</w:t>
            </w:r>
          </w:p>
        </w:tc>
        <w:tc>
          <w:tcPr>
            <w:tcW w:w="513" w:type="dxa"/>
            <w:shd w:val="clear" w:color="auto" w:fill="D2ECD3" w:themeFill="accent6" w:themeFillTint="33"/>
          </w:tcPr>
          <w:p w14:paraId="23BC758C" w14:textId="6B143E22" w:rsidR="004B2DCA" w:rsidRPr="00732A25" w:rsidRDefault="004B2DCA" w:rsidP="00780046">
            <w:pPr>
              <w:pStyle w:val="Tekstpodstawowy"/>
              <w:spacing w:beforeLines="20" w:before="48" w:afterLines="20" w:after="48"/>
              <w:jc w:val="center"/>
              <w:rPr>
                <w:b/>
                <w:bCs/>
              </w:rPr>
            </w:pPr>
            <w:r w:rsidRPr="00732A25">
              <w:rPr>
                <w:b/>
                <w:bCs/>
              </w:rPr>
              <w:t>2</w:t>
            </w:r>
          </w:p>
        </w:tc>
        <w:tc>
          <w:tcPr>
            <w:tcW w:w="513" w:type="dxa"/>
            <w:shd w:val="clear" w:color="auto" w:fill="E4F4E5"/>
          </w:tcPr>
          <w:p w14:paraId="0FF62F90" w14:textId="3EBDE1BA" w:rsidR="004B2DCA" w:rsidRPr="00732A25" w:rsidRDefault="004B2DCA" w:rsidP="00780046">
            <w:pPr>
              <w:pStyle w:val="Tekstpodstawowy"/>
              <w:spacing w:beforeLines="20" w:before="48" w:afterLines="20" w:after="48"/>
              <w:jc w:val="center"/>
              <w:rPr>
                <w:b/>
                <w:bCs/>
              </w:rPr>
            </w:pPr>
            <w:r w:rsidRPr="00732A25">
              <w:rPr>
                <w:b/>
                <w:bCs/>
              </w:rPr>
              <w:t>3</w:t>
            </w:r>
          </w:p>
        </w:tc>
      </w:tr>
      <w:tr w:rsidR="004B2DCA" w14:paraId="1F7258FF" w14:textId="77777777" w:rsidTr="00780046">
        <w:trPr>
          <w:trHeight w:val="454"/>
        </w:trPr>
        <w:tc>
          <w:tcPr>
            <w:tcW w:w="1271" w:type="dxa"/>
            <w:shd w:val="clear" w:color="auto" w:fill="F2F2F2" w:themeFill="background1" w:themeFillShade="F2"/>
          </w:tcPr>
          <w:p w14:paraId="6AC8AF37" w14:textId="3330CFC4" w:rsidR="004B2DCA" w:rsidRDefault="004B2DCA" w:rsidP="00780046">
            <w:pPr>
              <w:pStyle w:val="Tekstpodstawowy"/>
              <w:spacing w:beforeLines="20" w:before="48" w:afterLines="20" w:after="48"/>
            </w:pPr>
            <w:r>
              <w:t>Japan</w:t>
            </w:r>
          </w:p>
        </w:tc>
        <w:tc>
          <w:tcPr>
            <w:tcW w:w="513" w:type="dxa"/>
          </w:tcPr>
          <w:p w14:paraId="6D2E071C" w14:textId="044B0F21" w:rsidR="004B2DCA" w:rsidRDefault="00C544EE" w:rsidP="00780046">
            <w:pPr>
              <w:pStyle w:val="Tekstpodstawowy"/>
              <w:spacing w:beforeLines="20" w:before="48" w:afterLines="20" w:after="48"/>
              <w:jc w:val="center"/>
            </w:pPr>
            <w:r>
              <w:t>-</w:t>
            </w:r>
          </w:p>
        </w:tc>
        <w:tc>
          <w:tcPr>
            <w:tcW w:w="513" w:type="dxa"/>
          </w:tcPr>
          <w:p w14:paraId="4FFDF1CF" w14:textId="089A23D2" w:rsidR="004B2DCA" w:rsidRDefault="00C544EE" w:rsidP="00780046">
            <w:pPr>
              <w:pStyle w:val="Tekstpodstawowy"/>
              <w:spacing w:beforeLines="20" w:before="48" w:afterLines="20" w:after="48"/>
              <w:jc w:val="center"/>
            </w:pPr>
            <w:r>
              <w:t>21</w:t>
            </w:r>
          </w:p>
        </w:tc>
        <w:tc>
          <w:tcPr>
            <w:tcW w:w="513" w:type="dxa"/>
          </w:tcPr>
          <w:p w14:paraId="1C4A030F" w14:textId="32DBC638" w:rsidR="004B2DCA" w:rsidRDefault="00C544EE" w:rsidP="00780046">
            <w:pPr>
              <w:pStyle w:val="Tekstpodstawowy"/>
              <w:spacing w:beforeLines="20" w:before="48" w:afterLines="20" w:after="48"/>
              <w:jc w:val="center"/>
            </w:pPr>
            <w:r>
              <w:t>13</w:t>
            </w:r>
          </w:p>
        </w:tc>
        <w:tc>
          <w:tcPr>
            <w:tcW w:w="513" w:type="dxa"/>
          </w:tcPr>
          <w:p w14:paraId="2FF6C725" w14:textId="5C0DAC27" w:rsidR="004B2DCA" w:rsidRDefault="004B2DCA" w:rsidP="00780046">
            <w:pPr>
              <w:pStyle w:val="Tekstpodstawowy"/>
              <w:spacing w:beforeLines="20" w:before="48" w:afterLines="20" w:after="48"/>
              <w:jc w:val="center"/>
            </w:pPr>
            <w:r>
              <w:t>19</w:t>
            </w:r>
          </w:p>
        </w:tc>
        <w:tc>
          <w:tcPr>
            <w:tcW w:w="513" w:type="dxa"/>
          </w:tcPr>
          <w:p w14:paraId="29429B27" w14:textId="139231AE" w:rsidR="004B2DCA" w:rsidRDefault="004B2DCA" w:rsidP="00780046">
            <w:pPr>
              <w:pStyle w:val="Tekstpodstawowy"/>
              <w:spacing w:beforeLines="20" w:before="48" w:afterLines="20" w:after="48"/>
              <w:jc w:val="center"/>
            </w:pPr>
            <w:r>
              <w:t>7</w:t>
            </w:r>
          </w:p>
        </w:tc>
        <w:tc>
          <w:tcPr>
            <w:tcW w:w="513" w:type="dxa"/>
          </w:tcPr>
          <w:p w14:paraId="7B46F04B" w14:textId="7E337918" w:rsidR="004B2DCA" w:rsidRDefault="004B2DCA" w:rsidP="00780046">
            <w:pPr>
              <w:pStyle w:val="Tekstpodstawowy"/>
              <w:spacing w:beforeLines="20" w:before="48" w:afterLines="20" w:after="48"/>
              <w:jc w:val="center"/>
            </w:pPr>
            <w:r>
              <w:t>6</w:t>
            </w:r>
          </w:p>
        </w:tc>
        <w:tc>
          <w:tcPr>
            <w:tcW w:w="513" w:type="dxa"/>
          </w:tcPr>
          <w:p w14:paraId="6B7D783C" w14:textId="1C5E7C83" w:rsidR="004B2DCA" w:rsidRDefault="00606B8D" w:rsidP="00780046">
            <w:pPr>
              <w:pStyle w:val="Tekstpodstawowy"/>
              <w:spacing w:beforeLines="20" w:before="48" w:afterLines="20" w:after="48"/>
              <w:jc w:val="center"/>
            </w:pPr>
            <w:r>
              <w:t>6</w:t>
            </w:r>
          </w:p>
        </w:tc>
        <w:tc>
          <w:tcPr>
            <w:tcW w:w="513" w:type="dxa"/>
          </w:tcPr>
          <w:p w14:paraId="477A93E7" w14:textId="7B2A55DA" w:rsidR="004B2DCA" w:rsidRDefault="004D3A23" w:rsidP="00780046">
            <w:pPr>
              <w:pStyle w:val="Tekstpodstawowy"/>
              <w:spacing w:beforeLines="20" w:before="48" w:afterLines="20" w:after="48"/>
              <w:jc w:val="center"/>
            </w:pPr>
            <w:r>
              <w:t>6</w:t>
            </w:r>
          </w:p>
        </w:tc>
        <w:tc>
          <w:tcPr>
            <w:tcW w:w="513" w:type="dxa"/>
          </w:tcPr>
          <w:p w14:paraId="4488D35E" w14:textId="222C8EF3" w:rsidR="004B2DCA" w:rsidRDefault="004D3A23" w:rsidP="00780046">
            <w:pPr>
              <w:pStyle w:val="Tekstpodstawowy"/>
              <w:spacing w:beforeLines="20" w:before="48" w:afterLines="20" w:after="48"/>
              <w:jc w:val="center"/>
            </w:pPr>
            <w:r>
              <w:t>6</w:t>
            </w:r>
          </w:p>
        </w:tc>
        <w:tc>
          <w:tcPr>
            <w:tcW w:w="513" w:type="dxa"/>
          </w:tcPr>
          <w:p w14:paraId="50219DCE" w14:textId="2274B268" w:rsidR="004B2DCA" w:rsidRDefault="004D3A23" w:rsidP="00780046">
            <w:pPr>
              <w:pStyle w:val="Tekstpodstawowy"/>
              <w:spacing w:beforeLines="20" w:before="48" w:afterLines="20" w:after="48"/>
              <w:jc w:val="center"/>
            </w:pPr>
            <w:r>
              <w:t>4</w:t>
            </w:r>
          </w:p>
        </w:tc>
        <w:tc>
          <w:tcPr>
            <w:tcW w:w="513" w:type="dxa"/>
          </w:tcPr>
          <w:p w14:paraId="34AFCDD0" w14:textId="68EF050B" w:rsidR="004B2DCA" w:rsidRDefault="004B2DCA" w:rsidP="00780046">
            <w:pPr>
              <w:pStyle w:val="Tekstpodstawowy"/>
              <w:spacing w:beforeLines="20" w:before="48" w:afterLines="20" w:after="48"/>
              <w:jc w:val="center"/>
            </w:pPr>
            <w:r>
              <w:t>5</w:t>
            </w:r>
          </w:p>
        </w:tc>
        <w:tc>
          <w:tcPr>
            <w:tcW w:w="513" w:type="dxa"/>
          </w:tcPr>
          <w:p w14:paraId="57778691" w14:textId="1589646E" w:rsidR="004B2DCA" w:rsidRDefault="004B2DCA" w:rsidP="00780046">
            <w:pPr>
              <w:pStyle w:val="Tekstpodstawowy"/>
              <w:spacing w:beforeLines="20" w:before="48" w:afterLines="20" w:after="48"/>
              <w:jc w:val="center"/>
            </w:pPr>
            <w:r>
              <w:t>4</w:t>
            </w:r>
          </w:p>
        </w:tc>
      </w:tr>
      <w:tr w:rsidR="004B2DCA" w14:paraId="3BE60B53" w14:textId="77777777" w:rsidTr="00ED4265">
        <w:trPr>
          <w:trHeight w:val="454"/>
        </w:trPr>
        <w:tc>
          <w:tcPr>
            <w:tcW w:w="1271" w:type="dxa"/>
            <w:shd w:val="clear" w:color="auto" w:fill="F2F2F2" w:themeFill="background1" w:themeFillShade="F2"/>
          </w:tcPr>
          <w:p w14:paraId="00CCECD5" w14:textId="19F88E4C" w:rsidR="004B2DCA" w:rsidRDefault="004B2DCA" w:rsidP="00780046">
            <w:pPr>
              <w:pStyle w:val="Tekstpodstawowy"/>
              <w:spacing w:beforeLines="20" w:before="48" w:afterLines="20" w:after="48"/>
            </w:pPr>
            <w:r>
              <w:t>UK</w:t>
            </w:r>
          </w:p>
        </w:tc>
        <w:tc>
          <w:tcPr>
            <w:tcW w:w="513" w:type="dxa"/>
          </w:tcPr>
          <w:p w14:paraId="7354DB92" w14:textId="036E10BB" w:rsidR="004B2DCA" w:rsidRDefault="00C544EE" w:rsidP="00780046">
            <w:pPr>
              <w:pStyle w:val="Tekstpodstawowy"/>
              <w:spacing w:beforeLines="20" w:before="48" w:afterLines="20" w:after="48"/>
              <w:jc w:val="center"/>
            </w:pPr>
            <w:r>
              <w:t>10</w:t>
            </w:r>
          </w:p>
        </w:tc>
        <w:tc>
          <w:tcPr>
            <w:tcW w:w="513" w:type="dxa"/>
          </w:tcPr>
          <w:p w14:paraId="7C920698" w14:textId="30849600" w:rsidR="004B2DCA" w:rsidRDefault="00C544EE" w:rsidP="00780046">
            <w:pPr>
              <w:pStyle w:val="Tekstpodstawowy"/>
              <w:spacing w:beforeLines="20" w:before="48" w:afterLines="20" w:after="48"/>
              <w:jc w:val="center"/>
            </w:pPr>
            <w:r>
              <w:t>8</w:t>
            </w:r>
          </w:p>
        </w:tc>
        <w:tc>
          <w:tcPr>
            <w:tcW w:w="513" w:type="dxa"/>
          </w:tcPr>
          <w:p w14:paraId="501B6721" w14:textId="697B3D16" w:rsidR="004B2DCA" w:rsidRDefault="00C544EE" w:rsidP="00780046">
            <w:pPr>
              <w:pStyle w:val="Tekstpodstawowy"/>
              <w:spacing w:beforeLines="20" w:before="48" w:afterLines="20" w:after="48"/>
              <w:jc w:val="center"/>
            </w:pPr>
            <w:r>
              <w:t>8</w:t>
            </w:r>
          </w:p>
        </w:tc>
        <w:tc>
          <w:tcPr>
            <w:tcW w:w="513" w:type="dxa"/>
          </w:tcPr>
          <w:p w14:paraId="50A651B6" w14:textId="4EDF1B4F" w:rsidR="004B2DCA" w:rsidRDefault="004B2DCA" w:rsidP="00780046">
            <w:pPr>
              <w:pStyle w:val="Tekstpodstawowy"/>
              <w:spacing w:beforeLines="20" w:before="48" w:afterLines="20" w:after="48"/>
              <w:jc w:val="center"/>
            </w:pPr>
            <w:r>
              <w:t>4</w:t>
            </w:r>
          </w:p>
        </w:tc>
        <w:tc>
          <w:tcPr>
            <w:tcW w:w="513" w:type="dxa"/>
            <w:shd w:val="clear" w:color="auto" w:fill="E4F4E5"/>
          </w:tcPr>
          <w:p w14:paraId="1799A503" w14:textId="60278681" w:rsidR="004B2DCA" w:rsidRPr="00732A25" w:rsidRDefault="004B2DCA" w:rsidP="00780046">
            <w:pPr>
              <w:pStyle w:val="Tekstpodstawowy"/>
              <w:spacing w:beforeLines="20" w:before="48" w:afterLines="20" w:after="48"/>
              <w:jc w:val="center"/>
              <w:rPr>
                <w:b/>
                <w:bCs/>
              </w:rPr>
            </w:pPr>
            <w:r w:rsidRPr="00732A25">
              <w:rPr>
                <w:b/>
                <w:bCs/>
              </w:rPr>
              <w:t>3</w:t>
            </w:r>
          </w:p>
        </w:tc>
        <w:tc>
          <w:tcPr>
            <w:tcW w:w="513" w:type="dxa"/>
          </w:tcPr>
          <w:p w14:paraId="7C5C269F" w14:textId="675FF6C6" w:rsidR="004B2DCA" w:rsidRDefault="004B2DCA" w:rsidP="00780046">
            <w:pPr>
              <w:pStyle w:val="Tekstpodstawowy"/>
              <w:spacing w:beforeLines="20" w:before="48" w:afterLines="20" w:after="48"/>
              <w:jc w:val="center"/>
            </w:pPr>
            <w:r>
              <w:t>5</w:t>
            </w:r>
          </w:p>
        </w:tc>
        <w:tc>
          <w:tcPr>
            <w:tcW w:w="513" w:type="dxa"/>
          </w:tcPr>
          <w:p w14:paraId="7642AD5A" w14:textId="20DFD070" w:rsidR="004B2DCA" w:rsidRDefault="002C6E95" w:rsidP="00780046">
            <w:pPr>
              <w:pStyle w:val="Tekstpodstawowy"/>
              <w:spacing w:beforeLines="20" w:before="48" w:afterLines="20" w:after="48"/>
              <w:jc w:val="center"/>
            </w:pPr>
            <w:r>
              <w:t>4</w:t>
            </w:r>
          </w:p>
        </w:tc>
        <w:tc>
          <w:tcPr>
            <w:tcW w:w="513" w:type="dxa"/>
          </w:tcPr>
          <w:p w14:paraId="77013ED1" w14:textId="71ED071C" w:rsidR="004B2DCA" w:rsidRDefault="004D3A23" w:rsidP="00780046">
            <w:pPr>
              <w:pStyle w:val="Tekstpodstawowy"/>
              <w:spacing w:beforeLines="20" w:before="48" w:afterLines="20" w:after="48"/>
              <w:jc w:val="center"/>
            </w:pPr>
            <w:r>
              <w:t>4</w:t>
            </w:r>
          </w:p>
        </w:tc>
        <w:tc>
          <w:tcPr>
            <w:tcW w:w="513" w:type="dxa"/>
          </w:tcPr>
          <w:p w14:paraId="05D3D223" w14:textId="2D36BA61" w:rsidR="004B2DCA" w:rsidRDefault="004D3A23" w:rsidP="00780046">
            <w:pPr>
              <w:pStyle w:val="Tekstpodstawowy"/>
              <w:spacing w:beforeLines="20" w:before="48" w:afterLines="20" w:after="48"/>
              <w:jc w:val="center"/>
            </w:pPr>
            <w:r>
              <w:t>4</w:t>
            </w:r>
          </w:p>
        </w:tc>
        <w:tc>
          <w:tcPr>
            <w:tcW w:w="513" w:type="dxa"/>
          </w:tcPr>
          <w:p w14:paraId="2A314615" w14:textId="2798E2CC" w:rsidR="004B2DCA" w:rsidRDefault="004D3A23" w:rsidP="00780046">
            <w:pPr>
              <w:pStyle w:val="Tekstpodstawowy"/>
              <w:spacing w:beforeLines="20" w:before="48" w:afterLines="20" w:after="48"/>
              <w:jc w:val="center"/>
            </w:pPr>
            <w:r>
              <w:t>6</w:t>
            </w:r>
          </w:p>
        </w:tc>
        <w:tc>
          <w:tcPr>
            <w:tcW w:w="513" w:type="dxa"/>
          </w:tcPr>
          <w:p w14:paraId="3F5A6467" w14:textId="56933898" w:rsidR="004B2DCA" w:rsidRDefault="004B2DCA" w:rsidP="00780046">
            <w:pPr>
              <w:pStyle w:val="Tekstpodstawowy"/>
              <w:spacing w:beforeLines="20" w:before="48" w:afterLines="20" w:after="48"/>
              <w:jc w:val="center"/>
            </w:pPr>
            <w:r>
              <w:t>4</w:t>
            </w:r>
          </w:p>
        </w:tc>
        <w:tc>
          <w:tcPr>
            <w:tcW w:w="513" w:type="dxa"/>
          </w:tcPr>
          <w:p w14:paraId="09CA95EB" w14:textId="52DE8ADB" w:rsidR="004B2DCA" w:rsidRDefault="004B2DCA" w:rsidP="00780046">
            <w:pPr>
              <w:pStyle w:val="Tekstpodstawowy"/>
              <w:spacing w:beforeLines="20" w:before="48" w:afterLines="20" w:after="48"/>
              <w:jc w:val="center"/>
            </w:pPr>
            <w:r>
              <w:t>5</w:t>
            </w:r>
          </w:p>
        </w:tc>
      </w:tr>
      <w:tr w:rsidR="004B2DCA" w14:paraId="0D1E5242" w14:textId="77777777" w:rsidTr="00780046">
        <w:trPr>
          <w:trHeight w:val="454"/>
        </w:trPr>
        <w:tc>
          <w:tcPr>
            <w:tcW w:w="1271" w:type="dxa"/>
            <w:shd w:val="clear" w:color="auto" w:fill="F2F2F2" w:themeFill="background1" w:themeFillShade="F2"/>
          </w:tcPr>
          <w:p w14:paraId="034D366A" w14:textId="35E1E010" w:rsidR="004B2DCA" w:rsidRDefault="004B2DCA" w:rsidP="00780046">
            <w:pPr>
              <w:pStyle w:val="Tekstpodstawowy"/>
              <w:spacing w:beforeLines="20" w:before="48" w:afterLines="20" w:after="48"/>
            </w:pPr>
            <w:r>
              <w:t>France</w:t>
            </w:r>
          </w:p>
        </w:tc>
        <w:tc>
          <w:tcPr>
            <w:tcW w:w="513" w:type="dxa"/>
          </w:tcPr>
          <w:p w14:paraId="29B4E573" w14:textId="34B50E1D" w:rsidR="004B2DCA" w:rsidRDefault="00351F64" w:rsidP="00780046">
            <w:pPr>
              <w:pStyle w:val="Tekstpodstawowy"/>
              <w:spacing w:beforeLines="20" w:before="48" w:afterLines="20" w:after="48"/>
              <w:jc w:val="center"/>
            </w:pPr>
            <w:r>
              <w:t>13</w:t>
            </w:r>
          </w:p>
        </w:tc>
        <w:tc>
          <w:tcPr>
            <w:tcW w:w="513" w:type="dxa"/>
          </w:tcPr>
          <w:p w14:paraId="7FE26F9C" w14:textId="7E35D1AE" w:rsidR="004B2DCA" w:rsidRDefault="00351F64" w:rsidP="00780046">
            <w:pPr>
              <w:pStyle w:val="Tekstpodstawowy"/>
              <w:spacing w:beforeLines="20" w:before="48" w:afterLines="20" w:after="48"/>
              <w:jc w:val="center"/>
            </w:pPr>
            <w:r>
              <w:t>17</w:t>
            </w:r>
          </w:p>
        </w:tc>
        <w:tc>
          <w:tcPr>
            <w:tcW w:w="513" w:type="dxa"/>
          </w:tcPr>
          <w:p w14:paraId="2D9BA8DB" w14:textId="077AF696" w:rsidR="004B2DCA" w:rsidRDefault="00351F64" w:rsidP="00780046">
            <w:pPr>
              <w:pStyle w:val="Tekstpodstawowy"/>
              <w:spacing w:beforeLines="20" w:before="48" w:afterLines="20" w:after="48"/>
              <w:jc w:val="center"/>
            </w:pPr>
            <w:r>
              <w:t>12</w:t>
            </w:r>
          </w:p>
        </w:tc>
        <w:tc>
          <w:tcPr>
            <w:tcW w:w="513" w:type="dxa"/>
          </w:tcPr>
          <w:p w14:paraId="442D2A05" w14:textId="687DEE02" w:rsidR="004B2DCA" w:rsidRDefault="004B2DCA" w:rsidP="00780046">
            <w:pPr>
              <w:pStyle w:val="Tekstpodstawowy"/>
              <w:spacing w:beforeLines="20" w:before="48" w:afterLines="20" w:after="48"/>
              <w:jc w:val="center"/>
            </w:pPr>
            <w:r>
              <w:t>10</w:t>
            </w:r>
          </w:p>
        </w:tc>
        <w:tc>
          <w:tcPr>
            <w:tcW w:w="513" w:type="dxa"/>
          </w:tcPr>
          <w:p w14:paraId="13B1CD6D" w14:textId="4220AAF4" w:rsidR="004B2DCA" w:rsidRDefault="004B2DCA" w:rsidP="00780046">
            <w:pPr>
              <w:pStyle w:val="Tekstpodstawowy"/>
              <w:spacing w:beforeLines="20" w:before="48" w:afterLines="20" w:after="48"/>
              <w:jc w:val="center"/>
            </w:pPr>
            <w:r>
              <w:t>8</w:t>
            </w:r>
          </w:p>
        </w:tc>
        <w:tc>
          <w:tcPr>
            <w:tcW w:w="513" w:type="dxa"/>
          </w:tcPr>
          <w:p w14:paraId="27227D48" w14:textId="7A4B1F84" w:rsidR="004B2DCA" w:rsidRDefault="004B2DCA" w:rsidP="00780046">
            <w:pPr>
              <w:pStyle w:val="Tekstpodstawowy"/>
              <w:spacing w:beforeLines="20" w:before="48" w:afterLines="20" w:after="48"/>
              <w:jc w:val="center"/>
            </w:pPr>
            <w:r>
              <w:t>8</w:t>
            </w:r>
          </w:p>
        </w:tc>
        <w:tc>
          <w:tcPr>
            <w:tcW w:w="513" w:type="dxa"/>
          </w:tcPr>
          <w:p w14:paraId="712CECD9" w14:textId="454C25F0" w:rsidR="004B2DCA" w:rsidRDefault="002C6E95" w:rsidP="00780046">
            <w:pPr>
              <w:pStyle w:val="Tekstpodstawowy"/>
              <w:spacing w:beforeLines="20" w:before="48" w:afterLines="20" w:after="48"/>
              <w:jc w:val="center"/>
            </w:pPr>
            <w:r>
              <w:t>7</w:t>
            </w:r>
          </w:p>
        </w:tc>
        <w:tc>
          <w:tcPr>
            <w:tcW w:w="513" w:type="dxa"/>
          </w:tcPr>
          <w:p w14:paraId="63873BCA" w14:textId="2F41717F" w:rsidR="004B2DCA" w:rsidRDefault="004D3A23" w:rsidP="00780046">
            <w:pPr>
              <w:pStyle w:val="Tekstpodstawowy"/>
              <w:spacing w:beforeLines="20" w:before="48" w:afterLines="20" w:after="48"/>
              <w:jc w:val="center"/>
            </w:pPr>
            <w:r>
              <w:t>7</w:t>
            </w:r>
          </w:p>
        </w:tc>
        <w:tc>
          <w:tcPr>
            <w:tcW w:w="513" w:type="dxa"/>
          </w:tcPr>
          <w:p w14:paraId="560D9111" w14:textId="7CABD040" w:rsidR="004B2DCA" w:rsidRDefault="004D3A23" w:rsidP="00780046">
            <w:pPr>
              <w:pStyle w:val="Tekstpodstawowy"/>
              <w:spacing w:beforeLines="20" w:before="48" w:afterLines="20" w:after="48"/>
              <w:jc w:val="center"/>
            </w:pPr>
            <w:r>
              <w:t>5</w:t>
            </w:r>
          </w:p>
        </w:tc>
        <w:tc>
          <w:tcPr>
            <w:tcW w:w="513" w:type="dxa"/>
          </w:tcPr>
          <w:p w14:paraId="61832D76" w14:textId="66613384" w:rsidR="004B2DCA" w:rsidRDefault="004D3A23" w:rsidP="00780046">
            <w:pPr>
              <w:pStyle w:val="Tekstpodstawowy"/>
              <w:spacing w:beforeLines="20" w:before="48" w:afterLines="20" w:after="48"/>
              <w:jc w:val="center"/>
            </w:pPr>
            <w:r>
              <w:t>5</w:t>
            </w:r>
          </w:p>
        </w:tc>
        <w:tc>
          <w:tcPr>
            <w:tcW w:w="513" w:type="dxa"/>
          </w:tcPr>
          <w:p w14:paraId="0074047A" w14:textId="34A1716E" w:rsidR="004B2DCA" w:rsidRDefault="004B2DCA" w:rsidP="00780046">
            <w:pPr>
              <w:pStyle w:val="Tekstpodstawowy"/>
              <w:spacing w:beforeLines="20" w:before="48" w:afterLines="20" w:after="48"/>
              <w:jc w:val="center"/>
            </w:pPr>
            <w:r>
              <w:t>6</w:t>
            </w:r>
          </w:p>
        </w:tc>
        <w:tc>
          <w:tcPr>
            <w:tcW w:w="513" w:type="dxa"/>
          </w:tcPr>
          <w:p w14:paraId="7DDC726A" w14:textId="3E81C48E" w:rsidR="004B2DCA" w:rsidRDefault="004B2DCA" w:rsidP="00780046">
            <w:pPr>
              <w:pStyle w:val="Tekstpodstawowy"/>
              <w:spacing w:beforeLines="20" w:before="48" w:afterLines="20" w:after="48"/>
              <w:jc w:val="center"/>
            </w:pPr>
            <w:r>
              <w:t>6</w:t>
            </w:r>
          </w:p>
        </w:tc>
      </w:tr>
      <w:tr w:rsidR="004B2DCA" w14:paraId="78FF1B28" w14:textId="77777777" w:rsidTr="00780046">
        <w:trPr>
          <w:trHeight w:val="454"/>
        </w:trPr>
        <w:tc>
          <w:tcPr>
            <w:tcW w:w="1271" w:type="dxa"/>
            <w:shd w:val="clear" w:color="auto" w:fill="F2F2F2" w:themeFill="background1" w:themeFillShade="F2"/>
          </w:tcPr>
          <w:p w14:paraId="5F4675D5" w14:textId="5AA185C6" w:rsidR="004B2DCA" w:rsidRDefault="004B2DCA" w:rsidP="00780046">
            <w:pPr>
              <w:pStyle w:val="Tekstpodstawowy"/>
              <w:spacing w:beforeLines="20" w:before="48" w:afterLines="20" w:after="48"/>
            </w:pPr>
            <w:r>
              <w:t>Italy</w:t>
            </w:r>
          </w:p>
        </w:tc>
        <w:tc>
          <w:tcPr>
            <w:tcW w:w="513" w:type="dxa"/>
          </w:tcPr>
          <w:p w14:paraId="0D7E7D43" w14:textId="13529004" w:rsidR="004B2DCA" w:rsidRDefault="00351F64" w:rsidP="00780046">
            <w:pPr>
              <w:pStyle w:val="Tekstpodstawowy"/>
              <w:spacing w:beforeLines="20" w:before="48" w:afterLines="20" w:after="48"/>
              <w:jc w:val="center"/>
            </w:pPr>
            <w:r>
              <w:t>-</w:t>
            </w:r>
          </w:p>
        </w:tc>
        <w:tc>
          <w:tcPr>
            <w:tcW w:w="513" w:type="dxa"/>
          </w:tcPr>
          <w:p w14:paraId="002AFEF6" w14:textId="616BB3C8" w:rsidR="004B2DCA" w:rsidRDefault="00351F64" w:rsidP="00780046">
            <w:pPr>
              <w:pStyle w:val="Tekstpodstawowy"/>
              <w:spacing w:beforeLines="20" w:before="48" w:afterLines="20" w:after="48"/>
              <w:jc w:val="center"/>
            </w:pPr>
            <w:r>
              <w:t>-</w:t>
            </w:r>
          </w:p>
        </w:tc>
        <w:tc>
          <w:tcPr>
            <w:tcW w:w="513" w:type="dxa"/>
          </w:tcPr>
          <w:p w14:paraId="0D6DD5EC" w14:textId="41A857BA" w:rsidR="004B2DCA" w:rsidRDefault="00945F56" w:rsidP="00780046">
            <w:pPr>
              <w:pStyle w:val="Tekstpodstawowy"/>
              <w:spacing w:beforeLines="20" w:before="48" w:afterLines="20" w:after="48"/>
              <w:jc w:val="center"/>
            </w:pPr>
            <w:r>
              <w:t>-</w:t>
            </w:r>
          </w:p>
        </w:tc>
        <w:tc>
          <w:tcPr>
            <w:tcW w:w="513" w:type="dxa"/>
          </w:tcPr>
          <w:p w14:paraId="2D234DA3" w14:textId="4ABB2FAC" w:rsidR="004B2DCA" w:rsidRDefault="004B2DCA" w:rsidP="00780046">
            <w:pPr>
              <w:pStyle w:val="Tekstpodstawowy"/>
              <w:spacing w:beforeLines="20" w:before="48" w:afterLines="20" w:after="48"/>
              <w:jc w:val="center"/>
            </w:pPr>
            <w:r>
              <w:t>20</w:t>
            </w:r>
          </w:p>
        </w:tc>
        <w:tc>
          <w:tcPr>
            <w:tcW w:w="513" w:type="dxa"/>
          </w:tcPr>
          <w:p w14:paraId="3E663736" w14:textId="212AE43E" w:rsidR="004B2DCA" w:rsidRDefault="004B2DCA" w:rsidP="00780046">
            <w:pPr>
              <w:pStyle w:val="Tekstpodstawowy"/>
              <w:spacing w:beforeLines="20" w:before="48" w:afterLines="20" w:after="48"/>
              <w:jc w:val="center"/>
            </w:pPr>
            <w:r>
              <w:t>12</w:t>
            </w:r>
          </w:p>
        </w:tc>
        <w:tc>
          <w:tcPr>
            <w:tcW w:w="513" w:type="dxa"/>
          </w:tcPr>
          <w:p w14:paraId="7260FA04" w14:textId="0B20293D" w:rsidR="004B2DCA" w:rsidRDefault="004B2DCA" w:rsidP="00780046">
            <w:pPr>
              <w:pStyle w:val="Tekstpodstawowy"/>
              <w:spacing w:beforeLines="20" w:before="48" w:afterLines="20" w:after="48"/>
              <w:jc w:val="center"/>
            </w:pPr>
            <w:r>
              <w:t>16</w:t>
            </w:r>
          </w:p>
        </w:tc>
        <w:tc>
          <w:tcPr>
            <w:tcW w:w="513" w:type="dxa"/>
          </w:tcPr>
          <w:p w14:paraId="0D645EC5" w14:textId="7779663C" w:rsidR="004B2DCA" w:rsidRDefault="002C6E95" w:rsidP="00780046">
            <w:pPr>
              <w:pStyle w:val="Tekstpodstawowy"/>
              <w:spacing w:beforeLines="20" w:before="48" w:afterLines="20" w:after="48"/>
              <w:jc w:val="center"/>
            </w:pPr>
            <w:r>
              <w:t>13</w:t>
            </w:r>
          </w:p>
        </w:tc>
        <w:tc>
          <w:tcPr>
            <w:tcW w:w="513" w:type="dxa"/>
          </w:tcPr>
          <w:p w14:paraId="5E947405" w14:textId="0011C35A" w:rsidR="004B2DCA" w:rsidRDefault="004D3A23" w:rsidP="00780046">
            <w:pPr>
              <w:pStyle w:val="Tekstpodstawowy"/>
              <w:spacing w:beforeLines="20" w:before="48" w:afterLines="20" w:after="48"/>
              <w:jc w:val="center"/>
            </w:pPr>
            <w:r>
              <w:t>10</w:t>
            </w:r>
          </w:p>
        </w:tc>
        <w:tc>
          <w:tcPr>
            <w:tcW w:w="513" w:type="dxa"/>
          </w:tcPr>
          <w:p w14:paraId="0033D676" w14:textId="44801183" w:rsidR="004B2DCA" w:rsidRDefault="004D3A23" w:rsidP="00780046">
            <w:pPr>
              <w:pStyle w:val="Tekstpodstawowy"/>
              <w:spacing w:beforeLines="20" w:before="48" w:afterLines="20" w:after="48"/>
              <w:jc w:val="center"/>
            </w:pPr>
            <w:r>
              <w:t>8</w:t>
            </w:r>
          </w:p>
        </w:tc>
        <w:tc>
          <w:tcPr>
            <w:tcW w:w="513" w:type="dxa"/>
          </w:tcPr>
          <w:p w14:paraId="5FB71CE5" w14:textId="002CA2D1" w:rsidR="004B2DCA" w:rsidRDefault="004D3A23" w:rsidP="00780046">
            <w:pPr>
              <w:pStyle w:val="Tekstpodstawowy"/>
              <w:spacing w:beforeLines="20" w:before="48" w:afterLines="20" w:after="48"/>
              <w:jc w:val="center"/>
            </w:pPr>
            <w:r>
              <w:t>9</w:t>
            </w:r>
          </w:p>
        </w:tc>
        <w:tc>
          <w:tcPr>
            <w:tcW w:w="513" w:type="dxa"/>
          </w:tcPr>
          <w:p w14:paraId="0EDC6798" w14:textId="525BFAA1" w:rsidR="004B2DCA" w:rsidRDefault="004B2DCA" w:rsidP="00780046">
            <w:pPr>
              <w:pStyle w:val="Tekstpodstawowy"/>
              <w:spacing w:beforeLines="20" w:before="48" w:afterLines="20" w:after="48"/>
              <w:jc w:val="center"/>
            </w:pPr>
            <w:r>
              <w:t>8</w:t>
            </w:r>
          </w:p>
        </w:tc>
        <w:tc>
          <w:tcPr>
            <w:tcW w:w="513" w:type="dxa"/>
          </w:tcPr>
          <w:p w14:paraId="387EF162" w14:textId="135E62FD" w:rsidR="004B2DCA" w:rsidRDefault="004B2DCA" w:rsidP="00780046">
            <w:pPr>
              <w:pStyle w:val="Tekstpodstawowy"/>
              <w:spacing w:beforeLines="20" w:before="48" w:afterLines="20" w:after="48"/>
              <w:jc w:val="center"/>
            </w:pPr>
            <w:r>
              <w:t>7</w:t>
            </w:r>
          </w:p>
        </w:tc>
      </w:tr>
      <w:tr w:rsidR="004B2DCA" w14:paraId="2B87BA19" w14:textId="77777777" w:rsidTr="00780046">
        <w:trPr>
          <w:trHeight w:val="454"/>
        </w:trPr>
        <w:tc>
          <w:tcPr>
            <w:tcW w:w="1271" w:type="dxa"/>
            <w:shd w:val="clear" w:color="auto" w:fill="F2F2F2" w:themeFill="background1" w:themeFillShade="F2"/>
          </w:tcPr>
          <w:p w14:paraId="457659B4" w14:textId="25754429" w:rsidR="004B2DCA" w:rsidRDefault="004B2DCA" w:rsidP="00780046">
            <w:pPr>
              <w:pStyle w:val="Tekstpodstawowy"/>
              <w:spacing w:beforeLines="20" w:before="48" w:afterLines="20" w:after="48"/>
            </w:pPr>
            <w:r>
              <w:t>Spain</w:t>
            </w:r>
          </w:p>
        </w:tc>
        <w:tc>
          <w:tcPr>
            <w:tcW w:w="513" w:type="dxa"/>
          </w:tcPr>
          <w:p w14:paraId="685C18B8" w14:textId="5B36BDEF" w:rsidR="004B2DCA" w:rsidRDefault="000C02D2" w:rsidP="00780046">
            <w:pPr>
              <w:pStyle w:val="Tekstpodstawowy"/>
              <w:spacing w:beforeLines="20" w:before="48" w:afterLines="20" w:after="48"/>
              <w:jc w:val="center"/>
            </w:pPr>
            <w:r>
              <w:t>-</w:t>
            </w:r>
          </w:p>
        </w:tc>
        <w:tc>
          <w:tcPr>
            <w:tcW w:w="513" w:type="dxa"/>
          </w:tcPr>
          <w:p w14:paraId="4FF912D5" w14:textId="3F6E2B1D" w:rsidR="004B2DCA" w:rsidRDefault="000C02D2" w:rsidP="00780046">
            <w:pPr>
              <w:pStyle w:val="Tekstpodstawowy"/>
              <w:spacing w:beforeLines="20" w:before="48" w:afterLines="20" w:after="48"/>
              <w:jc w:val="center"/>
            </w:pPr>
            <w:r>
              <w:t>24</w:t>
            </w:r>
          </w:p>
        </w:tc>
        <w:tc>
          <w:tcPr>
            <w:tcW w:w="513" w:type="dxa"/>
          </w:tcPr>
          <w:p w14:paraId="215442C8" w14:textId="36DF97B8" w:rsidR="004B2DCA" w:rsidRDefault="000C02D2" w:rsidP="00780046">
            <w:pPr>
              <w:pStyle w:val="Tekstpodstawowy"/>
              <w:spacing w:beforeLines="20" w:before="48" w:afterLines="20" w:after="48"/>
              <w:jc w:val="center"/>
            </w:pPr>
            <w:r>
              <w:t>16</w:t>
            </w:r>
          </w:p>
        </w:tc>
        <w:tc>
          <w:tcPr>
            <w:tcW w:w="513" w:type="dxa"/>
          </w:tcPr>
          <w:p w14:paraId="3892BE7C" w14:textId="420D84AE" w:rsidR="004B2DCA" w:rsidRDefault="004B2DCA" w:rsidP="00780046">
            <w:pPr>
              <w:pStyle w:val="Tekstpodstawowy"/>
              <w:spacing w:beforeLines="20" w:before="48" w:afterLines="20" w:after="48"/>
              <w:jc w:val="center"/>
            </w:pPr>
            <w:r>
              <w:t>18</w:t>
            </w:r>
          </w:p>
        </w:tc>
        <w:tc>
          <w:tcPr>
            <w:tcW w:w="513" w:type="dxa"/>
          </w:tcPr>
          <w:p w14:paraId="70A26DFD" w14:textId="11800C43" w:rsidR="004B2DCA" w:rsidRDefault="004B2DCA" w:rsidP="00780046">
            <w:pPr>
              <w:pStyle w:val="Tekstpodstawowy"/>
              <w:spacing w:beforeLines="20" w:before="48" w:afterLines="20" w:after="48"/>
              <w:jc w:val="center"/>
            </w:pPr>
            <w:r>
              <w:t>17</w:t>
            </w:r>
          </w:p>
        </w:tc>
        <w:tc>
          <w:tcPr>
            <w:tcW w:w="513" w:type="dxa"/>
          </w:tcPr>
          <w:p w14:paraId="22628609" w14:textId="6070AEEA" w:rsidR="004B2DCA" w:rsidRDefault="004B2DCA" w:rsidP="00780046">
            <w:pPr>
              <w:pStyle w:val="Tekstpodstawowy"/>
              <w:spacing w:beforeLines="20" w:before="48" w:afterLines="20" w:after="48"/>
              <w:jc w:val="center"/>
            </w:pPr>
            <w:r>
              <w:t>13</w:t>
            </w:r>
          </w:p>
        </w:tc>
        <w:tc>
          <w:tcPr>
            <w:tcW w:w="513" w:type="dxa"/>
          </w:tcPr>
          <w:p w14:paraId="38BCDC50" w14:textId="3EB089EC" w:rsidR="004B2DCA" w:rsidRDefault="002C6E95" w:rsidP="00780046">
            <w:pPr>
              <w:pStyle w:val="Tekstpodstawowy"/>
              <w:spacing w:beforeLines="20" w:before="48" w:afterLines="20" w:after="48"/>
              <w:jc w:val="center"/>
            </w:pPr>
            <w:r>
              <w:t>11</w:t>
            </w:r>
          </w:p>
        </w:tc>
        <w:tc>
          <w:tcPr>
            <w:tcW w:w="513" w:type="dxa"/>
          </w:tcPr>
          <w:p w14:paraId="405CC91F" w14:textId="74BA23E7" w:rsidR="004B2DCA" w:rsidRDefault="004D3A23" w:rsidP="00780046">
            <w:pPr>
              <w:pStyle w:val="Tekstpodstawowy"/>
              <w:spacing w:beforeLines="20" w:before="48" w:afterLines="20" w:after="48"/>
              <w:jc w:val="center"/>
            </w:pPr>
            <w:r>
              <w:t>15</w:t>
            </w:r>
          </w:p>
        </w:tc>
        <w:tc>
          <w:tcPr>
            <w:tcW w:w="513" w:type="dxa"/>
          </w:tcPr>
          <w:p w14:paraId="429C7EDB" w14:textId="3A97E5FA" w:rsidR="004B2DCA" w:rsidRDefault="004D3A23" w:rsidP="00780046">
            <w:pPr>
              <w:pStyle w:val="Tekstpodstawowy"/>
              <w:spacing w:beforeLines="20" w:before="48" w:afterLines="20" w:after="48"/>
              <w:jc w:val="center"/>
            </w:pPr>
            <w:r>
              <w:t>11</w:t>
            </w:r>
          </w:p>
        </w:tc>
        <w:tc>
          <w:tcPr>
            <w:tcW w:w="513" w:type="dxa"/>
          </w:tcPr>
          <w:p w14:paraId="08BB742C" w14:textId="7350B132" w:rsidR="004B2DCA" w:rsidRDefault="004D3A23" w:rsidP="00780046">
            <w:pPr>
              <w:pStyle w:val="Tekstpodstawowy"/>
              <w:spacing w:beforeLines="20" w:before="48" w:afterLines="20" w:after="48"/>
              <w:jc w:val="center"/>
            </w:pPr>
            <w:r>
              <w:t>11</w:t>
            </w:r>
          </w:p>
        </w:tc>
        <w:tc>
          <w:tcPr>
            <w:tcW w:w="513" w:type="dxa"/>
          </w:tcPr>
          <w:p w14:paraId="1A6482F2" w14:textId="4A00072D" w:rsidR="004B2DCA" w:rsidRDefault="004B2DCA" w:rsidP="00780046">
            <w:pPr>
              <w:pStyle w:val="Tekstpodstawowy"/>
              <w:spacing w:beforeLines="20" w:before="48" w:afterLines="20" w:after="48"/>
              <w:jc w:val="center"/>
            </w:pPr>
            <w:r>
              <w:t>9</w:t>
            </w:r>
          </w:p>
        </w:tc>
        <w:tc>
          <w:tcPr>
            <w:tcW w:w="513" w:type="dxa"/>
          </w:tcPr>
          <w:p w14:paraId="1D0031EB" w14:textId="270850DD" w:rsidR="004B2DCA" w:rsidRDefault="004B2DCA" w:rsidP="00780046">
            <w:pPr>
              <w:pStyle w:val="Tekstpodstawowy"/>
              <w:spacing w:beforeLines="20" w:before="48" w:afterLines="20" w:after="48"/>
              <w:jc w:val="center"/>
            </w:pPr>
            <w:r>
              <w:t>8</w:t>
            </w:r>
          </w:p>
        </w:tc>
      </w:tr>
      <w:tr w:rsidR="004B2DCA" w14:paraId="33A9B24C" w14:textId="77777777" w:rsidTr="00780046">
        <w:trPr>
          <w:trHeight w:val="454"/>
        </w:trPr>
        <w:tc>
          <w:tcPr>
            <w:tcW w:w="1271" w:type="dxa"/>
            <w:shd w:val="clear" w:color="auto" w:fill="F2F2F2" w:themeFill="background1" w:themeFillShade="F2"/>
          </w:tcPr>
          <w:p w14:paraId="128CF271" w14:textId="7BFBE5CA" w:rsidR="004B2DCA" w:rsidRDefault="004B2DCA" w:rsidP="00780046">
            <w:pPr>
              <w:pStyle w:val="Tekstpodstawowy"/>
              <w:spacing w:beforeLines="20" w:before="48" w:afterLines="20" w:after="48"/>
            </w:pPr>
            <w:r>
              <w:t>Switzerland</w:t>
            </w:r>
          </w:p>
        </w:tc>
        <w:tc>
          <w:tcPr>
            <w:tcW w:w="513" w:type="dxa"/>
          </w:tcPr>
          <w:p w14:paraId="443D8170" w14:textId="3ACC40F1" w:rsidR="004B2DCA" w:rsidRDefault="000C02D2" w:rsidP="00780046">
            <w:pPr>
              <w:pStyle w:val="Tekstpodstawowy"/>
              <w:spacing w:beforeLines="20" w:before="48" w:afterLines="20" w:after="48"/>
              <w:jc w:val="center"/>
            </w:pPr>
            <w:r>
              <w:t>-</w:t>
            </w:r>
          </w:p>
        </w:tc>
        <w:tc>
          <w:tcPr>
            <w:tcW w:w="513" w:type="dxa"/>
          </w:tcPr>
          <w:p w14:paraId="15EB560E" w14:textId="74AC9A54" w:rsidR="004B2DCA" w:rsidRDefault="000C02D2" w:rsidP="00780046">
            <w:pPr>
              <w:pStyle w:val="Tekstpodstawowy"/>
              <w:spacing w:beforeLines="20" w:before="48" w:afterLines="20" w:after="48"/>
              <w:jc w:val="center"/>
            </w:pPr>
            <w:r>
              <w:t>22</w:t>
            </w:r>
          </w:p>
        </w:tc>
        <w:tc>
          <w:tcPr>
            <w:tcW w:w="513" w:type="dxa"/>
          </w:tcPr>
          <w:p w14:paraId="0051143B" w14:textId="2B627576" w:rsidR="004B2DCA" w:rsidRDefault="000C02D2" w:rsidP="00780046">
            <w:pPr>
              <w:pStyle w:val="Tekstpodstawowy"/>
              <w:spacing w:beforeLines="20" w:before="48" w:afterLines="20" w:after="48"/>
              <w:jc w:val="center"/>
            </w:pPr>
            <w:r>
              <w:t>18</w:t>
            </w:r>
          </w:p>
        </w:tc>
        <w:tc>
          <w:tcPr>
            <w:tcW w:w="513" w:type="dxa"/>
          </w:tcPr>
          <w:p w14:paraId="4181D74D" w14:textId="272144B8" w:rsidR="004B2DCA" w:rsidRDefault="004B2DCA" w:rsidP="00780046">
            <w:pPr>
              <w:pStyle w:val="Tekstpodstawowy"/>
              <w:spacing w:beforeLines="20" w:before="48" w:afterLines="20" w:after="48"/>
              <w:jc w:val="center"/>
            </w:pPr>
            <w:r>
              <w:t>14</w:t>
            </w:r>
          </w:p>
        </w:tc>
        <w:tc>
          <w:tcPr>
            <w:tcW w:w="513" w:type="dxa"/>
          </w:tcPr>
          <w:p w14:paraId="2D2D83D6" w14:textId="78F4FC00" w:rsidR="004B2DCA" w:rsidRDefault="004B2DCA" w:rsidP="00780046">
            <w:pPr>
              <w:pStyle w:val="Tekstpodstawowy"/>
              <w:spacing w:beforeLines="20" w:before="48" w:afterLines="20" w:after="48"/>
              <w:jc w:val="center"/>
            </w:pPr>
            <w:r>
              <w:t>14</w:t>
            </w:r>
          </w:p>
        </w:tc>
        <w:tc>
          <w:tcPr>
            <w:tcW w:w="513" w:type="dxa"/>
          </w:tcPr>
          <w:p w14:paraId="462768F5" w14:textId="343F7A94" w:rsidR="004B2DCA" w:rsidRDefault="004B2DCA" w:rsidP="00780046">
            <w:pPr>
              <w:pStyle w:val="Tekstpodstawowy"/>
              <w:spacing w:beforeLines="20" w:before="48" w:afterLines="20" w:after="48"/>
              <w:jc w:val="center"/>
            </w:pPr>
            <w:r>
              <w:t>11</w:t>
            </w:r>
          </w:p>
        </w:tc>
        <w:tc>
          <w:tcPr>
            <w:tcW w:w="513" w:type="dxa"/>
          </w:tcPr>
          <w:p w14:paraId="70F24C07" w14:textId="67D68D7A" w:rsidR="004B2DCA" w:rsidRDefault="002C6E95" w:rsidP="00780046">
            <w:pPr>
              <w:pStyle w:val="Tekstpodstawowy"/>
              <w:spacing w:beforeLines="20" w:before="48" w:afterLines="20" w:after="48"/>
              <w:jc w:val="center"/>
            </w:pPr>
            <w:r>
              <w:t>12</w:t>
            </w:r>
          </w:p>
        </w:tc>
        <w:tc>
          <w:tcPr>
            <w:tcW w:w="513" w:type="dxa"/>
          </w:tcPr>
          <w:p w14:paraId="1A5B9E42" w14:textId="5C1C0DF6" w:rsidR="004B2DCA" w:rsidRDefault="0079130C" w:rsidP="00780046">
            <w:pPr>
              <w:pStyle w:val="Tekstpodstawowy"/>
              <w:spacing w:beforeLines="20" w:before="48" w:afterLines="20" w:after="48"/>
              <w:jc w:val="center"/>
            </w:pPr>
            <w:r>
              <w:t>9</w:t>
            </w:r>
          </w:p>
        </w:tc>
        <w:tc>
          <w:tcPr>
            <w:tcW w:w="513" w:type="dxa"/>
          </w:tcPr>
          <w:p w14:paraId="47D30B3D" w14:textId="1B9C4882" w:rsidR="004B2DCA" w:rsidRDefault="0079130C" w:rsidP="00780046">
            <w:pPr>
              <w:pStyle w:val="Tekstpodstawowy"/>
              <w:spacing w:beforeLines="20" w:before="48" w:afterLines="20" w:after="48"/>
              <w:jc w:val="center"/>
            </w:pPr>
            <w:r>
              <w:t>13</w:t>
            </w:r>
          </w:p>
        </w:tc>
        <w:tc>
          <w:tcPr>
            <w:tcW w:w="513" w:type="dxa"/>
          </w:tcPr>
          <w:p w14:paraId="06630505" w14:textId="07DE9725" w:rsidR="004B2DCA" w:rsidRDefault="0079130C" w:rsidP="00780046">
            <w:pPr>
              <w:pStyle w:val="Tekstpodstawowy"/>
              <w:spacing w:beforeLines="20" w:before="48" w:afterLines="20" w:after="48"/>
              <w:jc w:val="center"/>
            </w:pPr>
            <w:r>
              <w:t>10</w:t>
            </w:r>
          </w:p>
        </w:tc>
        <w:tc>
          <w:tcPr>
            <w:tcW w:w="513" w:type="dxa"/>
          </w:tcPr>
          <w:p w14:paraId="1FC44CD6" w14:textId="3509368C" w:rsidR="004B2DCA" w:rsidRDefault="004B2DCA" w:rsidP="00780046">
            <w:pPr>
              <w:pStyle w:val="Tekstpodstawowy"/>
              <w:spacing w:beforeLines="20" w:before="48" w:afterLines="20" w:after="48"/>
              <w:jc w:val="center"/>
            </w:pPr>
            <w:r>
              <w:t>10</w:t>
            </w:r>
          </w:p>
        </w:tc>
        <w:tc>
          <w:tcPr>
            <w:tcW w:w="513" w:type="dxa"/>
          </w:tcPr>
          <w:p w14:paraId="48C4742D" w14:textId="0512F6AB" w:rsidR="004B2DCA" w:rsidRDefault="004B2DCA" w:rsidP="00780046">
            <w:pPr>
              <w:pStyle w:val="Tekstpodstawowy"/>
              <w:spacing w:beforeLines="20" w:before="48" w:afterLines="20" w:after="48"/>
              <w:jc w:val="center"/>
            </w:pPr>
            <w:r>
              <w:t>9</w:t>
            </w:r>
          </w:p>
        </w:tc>
      </w:tr>
      <w:tr w:rsidR="004D5366" w14:paraId="2AE9DADF" w14:textId="77777777" w:rsidTr="00ED4265">
        <w:trPr>
          <w:trHeight w:val="454"/>
        </w:trPr>
        <w:tc>
          <w:tcPr>
            <w:tcW w:w="1271" w:type="dxa"/>
            <w:shd w:val="clear" w:color="auto" w:fill="F2F2F2" w:themeFill="background1" w:themeFillShade="F2"/>
          </w:tcPr>
          <w:p w14:paraId="50F39A7E" w14:textId="05F61AE1" w:rsidR="004B2DCA" w:rsidRDefault="004B2DCA" w:rsidP="00780046">
            <w:pPr>
              <w:pStyle w:val="Tekstpodstawowy"/>
              <w:spacing w:beforeLines="20" w:before="48" w:afterLines="20" w:after="48"/>
            </w:pPr>
            <w:r>
              <w:t>China + HK</w:t>
            </w:r>
          </w:p>
        </w:tc>
        <w:tc>
          <w:tcPr>
            <w:tcW w:w="513" w:type="dxa"/>
            <w:shd w:val="clear" w:color="auto" w:fill="A5D9A7" w:themeFill="accent6" w:themeFillTint="66"/>
          </w:tcPr>
          <w:p w14:paraId="2C7AC3B8" w14:textId="532BA25C"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A5D9A7" w:themeFill="accent6" w:themeFillTint="66"/>
          </w:tcPr>
          <w:p w14:paraId="009ACBE5" w14:textId="6C7A2A6C" w:rsidR="004B2DCA" w:rsidRPr="00732A25" w:rsidRDefault="004B2DCA" w:rsidP="00780046">
            <w:pPr>
              <w:pStyle w:val="Tekstpodstawowy"/>
              <w:spacing w:beforeLines="20" w:before="48" w:afterLines="20" w:after="48"/>
              <w:jc w:val="center"/>
              <w:rPr>
                <w:b/>
                <w:bCs/>
              </w:rPr>
            </w:pPr>
            <w:r w:rsidRPr="00732A25">
              <w:rPr>
                <w:b/>
                <w:bCs/>
              </w:rPr>
              <w:t>1</w:t>
            </w:r>
          </w:p>
        </w:tc>
        <w:tc>
          <w:tcPr>
            <w:tcW w:w="513" w:type="dxa"/>
            <w:shd w:val="clear" w:color="auto" w:fill="D2ECD3" w:themeFill="accent6" w:themeFillTint="33"/>
          </w:tcPr>
          <w:p w14:paraId="4D8CB37B" w14:textId="33EB7F2A" w:rsidR="004B2DCA" w:rsidRPr="00732A25" w:rsidRDefault="004B2DCA" w:rsidP="00780046">
            <w:pPr>
              <w:pStyle w:val="Tekstpodstawowy"/>
              <w:spacing w:beforeLines="20" w:before="48" w:afterLines="20" w:after="48"/>
              <w:jc w:val="center"/>
              <w:rPr>
                <w:b/>
                <w:bCs/>
              </w:rPr>
            </w:pPr>
            <w:r w:rsidRPr="00732A25">
              <w:rPr>
                <w:b/>
                <w:bCs/>
              </w:rPr>
              <w:t>2</w:t>
            </w:r>
          </w:p>
        </w:tc>
        <w:tc>
          <w:tcPr>
            <w:tcW w:w="513" w:type="dxa"/>
            <w:shd w:val="clear" w:color="auto" w:fill="D2ECD3" w:themeFill="accent6" w:themeFillTint="33"/>
          </w:tcPr>
          <w:p w14:paraId="29CE64BB" w14:textId="5E391020" w:rsidR="004B2DCA" w:rsidRPr="00732A25" w:rsidRDefault="004B2DCA" w:rsidP="00780046">
            <w:pPr>
              <w:pStyle w:val="Tekstpodstawowy"/>
              <w:spacing w:beforeLines="20" w:before="48" w:afterLines="20" w:after="48"/>
              <w:jc w:val="center"/>
              <w:rPr>
                <w:b/>
                <w:bCs/>
              </w:rPr>
            </w:pPr>
            <w:r w:rsidRPr="00732A25">
              <w:rPr>
                <w:b/>
                <w:bCs/>
              </w:rPr>
              <w:t>2</w:t>
            </w:r>
          </w:p>
        </w:tc>
        <w:tc>
          <w:tcPr>
            <w:tcW w:w="513" w:type="dxa"/>
            <w:shd w:val="clear" w:color="auto" w:fill="D2ECD3" w:themeFill="accent6" w:themeFillTint="33"/>
          </w:tcPr>
          <w:p w14:paraId="6DFB2037" w14:textId="4E2C752A" w:rsidR="004B2DCA" w:rsidRPr="00732A25" w:rsidRDefault="004B2DCA" w:rsidP="00780046">
            <w:pPr>
              <w:pStyle w:val="Tekstpodstawowy"/>
              <w:spacing w:beforeLines="20" w:before="48" w:afterLines="20" w:after="48"/>
              <w:jc w:val="center"/>
              <w:rPr>
                <w:b/>
                <w:bCs/>
              </w:rPr>
            </w:pPr>
            <w:r w:rsidRPr="00732A25">
              <w:rPr>
                <w:b/>
                <w:bCs/>
              </w:rPr>
              <w:t>2</w:t>
            </w:r>
          </w:p>
        </w:tc>
        <w:tc>
          <w:tcPr>
            <w:tcW w:w="513" w:type="dxa"/>
            <w:shd w:val="clear" w:color="auto" w:fill="D2ECD3" w:themeFill="accent6" w:themeFillTint="33"/>
          </w:tcPr>
          <w:p w14:paraId="560FC65B" w14:textId="1A97A86C" w:rsidR="004B2DCA" w:rsidRPr="00732A25" w:rsidRDefault="004B2DCA" w:rsidP="00780046">
            <w:pPr>
              <w:pStyle w:val="Tekstpodstawowy"/>
              <w:spacing w:beforeLines="20" w:before="48" w:afterLines="20" w:after="48"/>
              <w:jc w:val="center"/>
              <w:rPr>
                <w:b/>
                <w:bCs/>
              </w:rPr>
            </w:pPr>
            <w:r w:rsidRPr="00732A25">
              <w:rPr>
                <w:b/>
                <w:bCs/>
              </w:rPr>
              <w:t>2</w:t>
            </w:r>
          </w:p>
        </w:tc>
        <w:tc>
          <w:tcPr>
            <w:tcW w:w="513" w:type="dxa"/>
            <w:shd w:val="clear" w:color="auto" w:fill="E4F4E5"/>
          </w:tcPr>
          <w:p w14:paraId="36396BF3" w14:textId="2CFE8066" w:rsidR="004B2DCA" w:rsidRPr="00732A25" w:rsidRDefault="002C6E95" w:rsidP="00780046">
            <w:pPr>
              <w:pStyle w:val="Tekstpodstawowy"/>
              <w:spacing w:beforeLines="20" w:before="48" w:afterLines="20" w:after="48"/>
              <w:jc w:val="center"/>
              <w:rPr>
                <w:b/>
                <w:bCs/>
              </w:rPr>
            </w:pPr>
            <w:r w:rsidRPr="00732A25">
              <w:rPr>
                <w:b/>
                <w:bCs/>
              </w:rPr>
              <w:t>3</w:t>
            </w:r>
          </w:p>
        </w:tc>
        <w:tc>
          <w:tcPr>
            <w:tcW w:w="513" w:type="dxa"/>
          </w:tcPr>
          <w:p w14:paraId="53EF096A" w14:textId="66A32C02" w:rsidR="004B2DCA" w:rsidRDefault="0079130C" w:rsidP="00780046">
            <w:pPr>
              <w:pStyle w:val="Tekstpodstawowy"/>
              <w:spacing w:beforeLines="20" w:before="48" w:afterLines="20" w:after="48"/>
              <w:jc w:val="center"/>
            </w:pPr>
            <w:r>
              <w:t>5</w:t>
            </w:r>
          </w:p>
        </w:tc>
        <w:tc>
          <w:tcPr>
            <w:tcW w:w="513" w:type="dxa"/>
          </w:tcPr>
          <w:p w14:paraId="144913EF" w14:textId="1CDC317B" w:rsidR="004B2DCA" w:rsidRDefault="0079130C" w:rsidP="00780046">
            <w:pPr>
              <w:pStyle w:val="Tekstpodstawowy"/>
              <w:spacing w:beforeLines="20" w:before="48" w:afterLines="20" w:after="48"/>
              <w:jc w:val="center"/>
            </w:pPr>
            <w:r>
              <w:t>7</w:t>
            </w:r>
          </w:p>
        </w:tc>
        <w:tc>
          <w:tcPr>
            <w:tcW w:w="513" w:type="dxa"/>
          </w:tcPr>
          <w:p w14:paraId="528E64EE" w14:textId="4662EC9D" w:rsidR="004B2DCA" w:rsidRDefault="0079130C" w:rsidP="00780046">
            <w:pPr>
              <w:pStyle w:val="Tekstpodstawowy"/>
              <w:spacing w:beforeLines="20" w:before="48" w:afterLines="20" w:after="48"/>
              <w:jc w:val="center"/>
            </w:pPr>
            <w:r>
              <w:t>8</w:t>
            </w:r>
          </w:p>
        </w:tc>
        <w:tc>
          <w:tcPr>
            <w:tcW w:w="513" w:type="dxa"/>
          </w:tcPr>
          <w:p w14:paraId="3BC2E5A3" w14:textId="2EF5B25C" w:rsidR="004B2DCA" w:rsidRDefault="004B2DCA" w:rsidP="00780046">
            <w:pPr>
              <w:pStyle w:val="Tekstpodstawowy"/>
              <w:spacing w:beforeLines="20" w:before="48" w:afterLines="20" w:after="48"/>
              <w:jc w:val="center"/>
            </w:pPr>
            <w:r>
              <w:t>12</w:t>
            </w:r>
          </w:p>
        </w:tc>
        <w:tc>
          <w:tcPr>
            <w:tcW w:w="513" w:type="dxa"/>
          </w:tcPr>
          <w:p w14:paraId="3EF07CA0" w14:textId="308F2D7A" w:rsidR="004B2DCA" w:rsidRDefault="004B2DCA" w:rsidP="00780046">
            <w:pPr>
              <w:pStyle w:val="Tekstpodstawowy"/>
              <w:spacing w:beforeLines="20" w:before="48" w:afterLines="20" w:after="48"/>
              <w:jc w:val="center"/>
            </w:pPr>
            <w:r>
              <w:t>10</w:t>
            </w:r>
          </w:p>
        </w:tc>
      </w:tr>
      <w:tr w:rsidR="004B2DCA" w14:paraId="4343672B" w14:textId="77777777" w:rsidTr="00780046">
        <w:trPr>
          <w:trHeight w:val="454"/>
        </w:trPr>
        <w:tc>
          <w:tcPr>
            <w:tcW w:w="1271" w:type="dxa"/>
            <w:shd w:val="clear" w:color="auto" w:fill="F2F2F2" w:themeFill="background1" w:themeFillShade="F2"/>
          </w:tcPr>
          <w:p w14:paraId="16EA6312" w14:textId="743D41DE" w:rsidR="004B2DCA" w:rsidRDefault="004B2DCA" w:rsidP="00780046">
            <w:pPr>
              <w:pStyle w:val="Tekstpodstawowy"/>
              <w:spacing w:beforeLines="20" w:before="48" w:afterLines="20" w:after="48"/>
            </w:pPr>
            <w:r>
              <w:t>Australia</w:t>
            </w:r>
          </w:p>
        </w:tc>
        <w:tc>
          <w:tcPr>
            <w:tcW w:w="513" w:type="dxa"/>
          </w:tcPr>
          <w:p w14:paraId="38E775E4" w14:textId="2DFA0BD9" w:rsidR="004B2DCA" w:rsidRDefault="00B9727A" w:rsidP="00780046">
            <w:pPr>
              <w:pStyle w:val="Tekstpodstawowy"/>
              <w:spacing w:beforeLines="20" w:before="48" w:afterLines="20" w:after="48"/>
              <w:jc w:val="center"/>
            </w:pPr>
            <w:r>
              <w:t>7</w:t>
            </w:r>
          </w:p>
        </w:tc>
        <w:tc>
          <w:tcPr>
            <w:tcW w:w="513" w:type="dxa"/>
          </w:tcPr>
          <w:p w14:paraId="5075DCB7" w14:textId="6CA5525B" w:rsidR="004B2DCA" w:rsidRDefault="00B9727A" w:rsidP="00780046">
            <w:pPr>
              <w:pStyle w:val="Tekstpodstawowy"/>
              <w:spacing w:beforeLines="20" w:before="48" w:afterLines="20" w:after="48"/>
              <w:jc w:val="center"/>
            </w:pPr>
            <w:r>
              <w:t>6</w:t>
            </w:r>
          </w:p>
        </w:tc>
        <w:tc>
          <w:tcPr>
            <w:tcW w:w="513" w:type="dxa"/>
          </w:tcPr>
          <w:p w14:paraId="54A12FFF" w14:textId="1D5554B0" w:rsidR="004B2DCA" w:rsidRDefault="00B9727A" w:rsidP="00780046">
            <w:pPr>
              <w:pStyle w:val="Tekstpodstawowy"/>
              <w:spacing w:beforeLines="20" w:before="48" w:afterLines="20" w:after="48"/>
              <w:jc w:val="center"/>
            </w:pPr>
            <w:r>
              <w:t>6</w:t>
            </w:r>
          </w:p>
        </w:tc>
        <w:tc>
          <w:tcPr>
            <w:tcW w:w="513" w:type="dxa"/>
          </w:tcPr>
          <w:p w14:paraId="46BB2978" w14:textId="6A88AE0F" w:rsidR="004B2DCA" w:rsidRDefault="004B2DCA" w:rsidP="00780046">
            <w:pPr>
              <w:pStyle w:val="Tekstpodstawowy"/>
              <w:spacing w:beforeLines="20" w:before="48" w:afterLines="20" w:after="48"/>
              <w:jc w:val="center"/>
            </w:pPr>
            <w:r>
              <w:t>8</w:t>
            </w:r>
          </w:p>
        </w:tc>
        <w:tc>
          <w:tcPr>
            <w:tcW w:w="513" w:type="dxa"/>
          </w:tcPr>
          <w:p w14:paraId="1532C6A6" w14:textId="113B0B94" w:rsidR="004B2DCA" w:rsidRDefault="004B2DCA" w:rsidP="00780046">
            <w:pPr>
              <w:pStyle w:val="Tekstpodstawowy"/>
              <w:spacing w:beforeLines="20" w:before="48" w:afterLines="20" w:after="48"/>
              <w:jc w:val="center"/>
            </w:pPr>
            <w:r>
              <w:t>10</w:t>
            </w:r>
          </w:p>
        </w:tc>
        <w:tc>
          <w:tcPr>
            <w:tcW w:w="513" w:type="dxa"/>
          </w:tcPr>
          <w:p w14:paraId="57FB90EA" w14:textId="2137E56A" w:rsidR="004B2DCA" w:rsidRDefault="004B2DCA" w:rsidP="00780046">
            <w:pPr>
              <w:pStyle w:val="Tekstpodstawowy"/>
              <w:spacing w:beforeLines="20" w:before="48" w:afterLines="20" w:after="48"/>
              <w:jc w:val="center"/>
            </w:pPr>
            <w:r>
              <w:t>7</w:t>
            </w:r>
          </w:p>
        </w:tc>
        <w:tc>
          <w:tcPr>
            <w:tcW w:w="513" w:type="dxa"/>
          </w:tcPr>
          <w:p w14:paraId="68F34D34" w14:textId="7B039405" w:rsidR="004B2DCA" w:rsidRDefault="00D7552A" w:rsidP="00780046">
            <w:pPr>
              <w:pStyle w:val="Tekstpodstawowy"/>
              <w:spacing w:beforeLines="20" w:before="48" w:afterLines="20" w:after="48"/>
              <w:jc w:val="center"/>
            </w:pPr>
            <w:r>
              <w:t>9</w:t>
            </w:r>
          </w:p>
        </w:tc>
        <w:tc>
          <w:tcPr>
            <w:tcW w:w="513" w:type="dxa"/>
          </w:tcPr>
          <w:p w14:paraId="58E5A8D1" w14:textId="01592E01" w:rsidR="004B2DCA" w:rsidRDefault="0079130C" w:rsidP="00780046">
            <w:pPr>
              <w:pStyle w:val="Tekstpodstawowy"/>
              <w:spacing w:beforeLines="20" w:before="48" w:afterLines="20" w:after="48"/>
              <w:jc w:val="center"/>
            </w:pPr>
            <w:r>
              <w:t>8</w:t>
            </w:r>
          </w:p>
        </w:tc>
        <w:tc>
          <w:tcPr>
            <w:tcW w:w="513" w:type="dxa"/>
          </w:tcPr>
          <w:p w14:paraId="7D8A4D76" w14:textId="55467B62" w:rsidR="004B2DCA" w:rsidRDefault="0079130C" w:rsidP="00780046">
            <w:pPr>
              <w:pStyle w:val="Tekstpodstawowy"/>
              <w:spacing w:beforeLines="20" w:before="48" w:afterLines="20" w:after="48"/>
              <w:jc w:val="center"/>
            </w:pPr>
            <w:r>
              <w:t>9</w:t>
            </w:r>
          </w:p>
        </w:tc>
        <w:tc>
          <w:tcPr>
            <w:tcW w:w="513" w:type="dxa"/>
          </w:tcPr>
          <w:p w14:paraId="3DCAAB84" w14:textId="0BF84017" w:rsidR="004B2DCA" w:rsidRDefault="0079130C" w:rsidP="00780046">
            <w:pPr>
              <w:pStyle w:val="Tekstpodstawowy"/>
              <w:spacing w:beforeLines="20" w:before="48" w:afterLines="20" w:after="48"/>
              <w:jc w:val="center"/>
            </w:pPr>
            <w:r>
              <w:t>7</w:t>
            </w:r>
          </w:p>
        </w:tc>
        <w:tc>
          <w:tcPr>
            <w:tcW w:w="513" w:type="dxa"/>
          </w:tcPr>
          <w:p w14:paraId="2322C657" w14:textId="27DFDE32" w:rsidR="004B2DCA" w:rsidRDefault="004B2DCA" w:rsidP="00780046">
            <w:pPr>
              <w:pStyle w:val="Tekstpodstawowy"/>
              <w:spacing w:beforeLines="20" w:before="48" w:afterLines="20" w:after="48"/>
              <w:jc w:val="center"/>
            </w:pPr>
            <w:r>
              <w:t>7</w:t>
            </w:r>
          </w:p>
        </w:tc>
        <w:tc>
          <w:tcPr>
            <w:tcW w:w="513" w:type="dxa"/>
          </w:tcPr>
          <w:p w14:paraId="081FB3DA" w14:textId="78BECBD8" w:rsidR="004B2DCA" w:rsidRDefault="004B2DCA" w:rsidP="00780046">
            <w:pPr>
              <w:pStyle w:val="Tekstpodstawowy"/>
              <w:spacing w:beforeLines="20" w:before="48" w:afterLines="20" w:after="48"/>
              <w:jc w:val="center"/>
            </w:pPr>
            <w:r>
              <w:t>11</w:t>
            </w:r>
          </w:p>
        </w:tc>
      </w:tr>
      <w:tr w:rsidR="004B2DCA" w14:paraId="30FA24D2" w14:textId="77777777" w:rsidTr="00780046">
        <w:trPr>
          <w:trHeight w:val="454"/>
        </w:trPr>
        <w:tc>
          <w:tcPr>
            <w:tcW w:w="1271" w:type="dxa"/>
            <w:shd w:val="clear" w:color="auto" w:fill="F2F2F2" w:themeFill="background1" w:themeFillShade="F2"/>
          </w:tcPr>
          <w:p w14:paraId="40FAA6C7" w14:textId="4FFFD66D" w:rsidR="004B2DCA" w:rsidRDefault="004B2DCA" w:rsidP="00780046">
            <w:pPr>
              <w:pStyle w:val="Tekstpodstawowy"/>
              <w:spacing w:beforeLines="20" w:before="48" w:afterLines="20" w:after="48"/>
            </w:pPr>
            <w:r>
              <w:t>New Zealand</w:t>
            </w:r>
          </w:p>
        </w:tc>
        <w:tc>
          <w:tcPr>
            <w:tcW w:w="513" w:type="dxa"/>
          </w:tcPr>
          <w:p w14:paraId="6ADCE659" w14:textId="405D8F24" w:rsidR="004B2DCA" w:rsidRDefault="00E93D5C" w:rsidP="00780046">
            <w:pPr>
              <w:pStyle w:val="Tekstpodstawowy"/>
              <w:spacing w:beforeLines="20" w:before="48" w:afterLines="20" w:after="48"/>
              <w:jc w:val="center"/>
            </w:pPr>
            <w:r>
              <w:t>-</w:t>
            </w:r>
          </w:p>
        </w:tc>
        <w:tc>
          <w:tcPr>
            <w:tcW w:w="513" w:type="dxa"/>
          </w:tcPr>
          <w:p w14:paraId="72C0D895" w14:textId="60494180" w:rsidR="004B2DCA" w:rsidRDefault="00E93D5C" w:rsidP="00780046">
            <w:pPr>
              <w:pStyle w:val="Tekstpodstawowy"/>
              <w:spacing w:beforeLines="20" w:before="48" w:afterLines="20" w:after="48"/>
              <w:jc w:val="center"/>
            </w:pPr>
            <w:r>
              <w:t>-</w:t>
            </w:r>
          </w:p>
        </w:tc>
        <w:tc>
          <w:tcPr>
            <w:tcW w:w="513" w:type="dxa"/>
          </w:tcPr>
          <w:p w14:paraId="6B41B879" w14:textId="7562BB24" w:rsidR="004B2DCA" w:rsidRDefault="00E93D5C" w:rsidP="00780046">
            <w:pPr>
              <w:pStyle w:val="Tekstpodstawowy"/>
              <w:spacing w:beforeLines="20" w:before="48" w:afterLines="20" w:after="48"/>
              <w:jc w:val="center"/>
            </w:pPr>
            <w:r>
              <w:t>-</w:t>
            </w:r>
          </w:p>
        </w:tc>
        <w:tc>
          <w:tcPr>
            <w:tcW w:w="513" w:type="dxa"/>
          </w:tcPr>
          <w:p w14:paraId="534EECF9" w14:textId="1B3A4B2C" w:rsidR="004B2DCA" w:rsidRDefault="004B2DCA" w:rsidP="00780046">
            <w:pPr>
              <w:pStyle w:val="Tekstpodstawowy"/>
              <w:spacing w:beforeLines="20" w:before="48" w:afterLines="20" w:after="48"/>
              <w:jc w:val="center"/>
            </w:pPr>
            <w:r>
              <w:t>-</w:t>
            </w:r>
          </w:p>
        </w:tc>
        <w:tc>
          <w:tcPr>
            <w:tcW w:w="513" w:type="dxa"/>
          </w:tcPr>
          <w:p w14:paraId="15E5DF68" w14:textId="266293AE" w:rsidR="004B2DCA" w:rsidRDefault="004B2DCA" w:rsidP="00780046">
            <w:pPr>
              <w:pStyle w:val="Tekstpodstawowy"/>
              <w:spacing w:beforeLines="20" w:before="48" w:afterLines="20" w:after="48"/>
              <w:jc w:val="center"/>
            </w:pPr>
            <w:r>
              <w:t>-</w:t>
            </w:r>
          </w:p>
        </w:tc>
        <w:tc>
          <w:tcPr>
            <w:tcW w:w="513" w:type="dxa"/>
          </w:tcPr>
          <w:p w14:paraId="2EB84F2E" w14:textId="2EC832A2" w:rsidR="004B2DCA" w:rsidRDefault="004B2DCA" w:rsidP="00780046">
            <w:pPr>
              <w:pStyle w:val="Tekstpodstawowy"/>
              <w:spacing w:beforeLines="20" w:before="48" w:afterLines="20" w:after="48"/>
              <w:jc w:val="center"/>
            </w:pPr>
            <w:r>
              <w:t>-</w:t>
            </w:r>
          </w:p>
        </w:tc>
        <w:tc>
          <w:tcPr>
            <w:tcW w:w="513" w:type="dxa"/>
          </w:tcPr>
          <w:p w14:paraId="6FC26C9A" w14:textId="7C99D9B0" w:rsidR="004B2DCA" w:rsidRDefault="009B0EF5" w:rsidP="00780046">
            <w:pPr>
              <w:pStyle w:val="Tekstpodstawowy"/>
              <w:spacing w:beforeLines="20" w:before="48" w:afterLines="20" w:after="48"/>
              <w:jc w:val="center"/>
            </w:pPr>
            <w:r>
              <w:t>23</w:t>
            </w:r>
          </w:p>
        </w:tc>
        <w:tc>
          <w:tcPr>
            <w:tcW w:w="513" w:type="dxa"/>
          </w:tcPr>
          <w:p w14:paraId="10CD486F" w14:textId="0FB45040" w:rsidR="004B2DCA" w:rsidRDefault="00212588" w:rsidP="00780046">
            <w:pPr>
              <w:pStyle w:val="Tekstpodstawowy"/>
              <w:spacing w:beforeLines="20" w:before="48" w:afterLines="20" w:after="48"/>
              <w:jc w:val="center"/>
            </w:pPr>
            <w:r>
              <w:t>16</w:t>
            </w:r>
          </w:p>
        </w:tc>
        <w:tc>
          <w:tcPr>
            <w:tcW w:w="513" w:type="dxa"/>
          </w:tcPr>
          <w:p w14:paraId="2E6080CC" w14:textId="64A405F5" w:rsidR="004B2DCA" w:rsidRDefault="00212588" w:rsidP="00780046">
            <w:pPr>
              <w:pStyle w:val="Tekstpodstawowy"/>
              <w:spacing w:beforeLines="20" w:before="48" w:afterLines="20" w:after="48"/>
              <w:jc w:val="center"/>
            </w:pPr>
            <w:r>
              <w:t>19</w:t>
            </w:r>
          </w:p>
        </w:tc>
        <w:tc>
          <w:tcPr>
            <w:tcW w:w="513" w:type="dxa"/>
          </w:tcPr>
          <w:p w14:paraId="4739EDF9" w14:textId="306EBCFA" w:rsidR="004B2DCA" w:rsidRDefault="00212588" w:rsidP="00780046">
            <w:pPr>
              <w:pStyle w:val="Tekstpodstawowy"/>
              <w:spacing w:beforeLines="20" w:before="48" w:afterLines="20" w:after="48"/>
              <w:jc w:val="center"/>
            </w:pPr>
            <w:r>
              <w:t>13</w:t>
            </w:r>
          </w:p>
        </w:tc>
        <w:tc>
          <w:tcPr>
            <w:tcW w:w="513" w:type="dxa"/>
          </w:tcPr>
          <w:p w14:paraId="146B3776" w14:textId="0636CE51" w:rsidR="004B2DCA" w:rsidRDefault="004B2DCA" w:rsidP="00780046">
            <w:pPr>
              <w:pStyle w:val="Tekstpodstawowy"/>
              <w:spacing w:beforeLines="20" w:before="48" w:afterLines="20" w:after="48"/>
              <w:jc w:val="center"/>
            </w:pPr>
            <w:r>
              <w:t>13</w:t>
            </w:r>
          </w:p>
        </w:tc>
        <w:tc>
          <w:tcPr>
            <w:tcW w:w="513" w:type="dxa"/>
          </w:tcPr>
          <w:p w14:paraId="703B60B6" w14:textId="37CF5C3C" w:rsidR="004B2DCA" w:rsidRDefault="004B2DCA" w:rsidP="00780046">
            <w:pPr>
              <w:pStyle w:val="Tekstpodstawowy"/>
              <w:spacing w:beforeLines="20" w:before="48" w:afterLines="20" w:after="48"/>
              <w:jc w:val="center"/>
            </w:pPr>
            <w:r>
              <w:t>12</w:t>
            </w:r>
          </w:p>
        </w:tc>
      </w:tr>
      <w:tr w:rsidR="004B2DCA" w14:paraId="32202889" w14:textId="77777777" w:rsidTr="00780046">
        <w:trPr>
          <w:trHeight w:val="454"/>
        </w:trPr>
        <w:tc>
          <w:tcPr>
            <w:tcW w:w="1271" w:type="dxa"/>
            <w:shd w:val="clear" w:color="auto" w:fill="F2F2F2" w:themeFill="background1" w:themeFillShade="F2"/>
          </w:tcPr>
          <w:p w14:paraId="25404C2C" w14:textId="4A4DDF79" w:rsidR="004B2DCA" w:rsidRDefault="004B2DCA" w:rsidP="00780046">
            <w:pPr>
              <w:pStyle w:val="Tekstpodstawowy"/>
              <w:spacing w:beforeLines="20" w:before="48" w:afterLines="20" w:after="48"/>
            </w:pPr>
            <w:r>
              <w:t>Sweden</w:t>
            </w:r>
          </w:p>
        </w:tc>
        <w:tc>
          <w:tcPr>
            <w:tcW w:w="513" w:type="dxa"/>
          </w:tcPr>
          <w:p w14:paraId="2EB70B94" w14:textId="2651BAA2" w:rsidR="004B2DCA" w:rsidRDefault="00AA1E82" w:rsidP="00780046">
            <w:pPr>
              <w:pStyle w:val="Tekstpodstawowy"/>
              <w:spacing w:beforeLines="20" w:before="48" w:afterLines="20" w:after="48"/>
              <w:jc w:val="center"/>
            </w:pPr>
            <w:r>
              <w:t>-</w:t>
            </w:r>
          </w:p>
        </w:tc>
        <w:tc>
          <w:tcPr>
            <w:tcW w:w="513" w:type="dxa"/>
          </w:tcPr>
          <w:p w14:paraId="2BEFC5D3" w14:textId="2871916D" w:rsidR="004B2DCA" w:rsidRDefault="00AA1E82" w:rsidP="00780046">
            <w:pPr>
              <w:pStyle w:val="Tekstpodstawowy"/>
              <w:spacing w:beforeLines="20" w:before="48" w:afterLines="20" w:after="48"/>
              <w:jc w:val="center"/>
            </w:pPr>
            <w:r>
              <w:t>-</w:t>
            </w:r>
          </w:p>
        </w:tc>
        <w:tc>
          <w:tcPr>
            <w:tcW w:w="513" w:type="dxa"/>
          </w:tcPr>
          <w:p w14:paraId="2884F2A4" w14:textId="27E4BB65" w:rsidR="004B2DCA" w:rsidRDefault="00AA1E82" w:rsidP="00780046">
            <w:pPr>
              <w:pStyle w:val="Tekstpodstawowy"/>
              <w:spacing w:beforeLines="20" w:before="48" w:afterLines="20" w:after="48"/>
              <w:jc w:val="center"/>
            </w:pPr>
            <w:r>
              <w:t>-</w:t>
            </w:r>
          </w:p>
        </w:tc>
        <w:tc>
          <w:tcPr>
            <w:tcW w:w="513" w:type="dxa"/>
          </w:tcPr>
          <w:p w14:paraId="0F5D3FE5" w14:textId="1F9AF1BE" w:rsidR="004B2DCA" w:rsidRDefault="004B2DCA" w:rsidP="00780046">
            <w:pPr>
              <w:pStyle w:val="Tekstpodstawowy"/>
              <w:spacing w:beforeLines="20" w:before="48" w:afterLines="20" w:after="48"/>
              <w:jc w:val="center"/>
            </w:pPr>
            <w:r>
              <w:t>16</w:t>
            </w:r>
          </w:p>
        </w:tc>
        <w:tc>
          <w:tcPr>
            <w:tcW w:w="513" w:type="dxa"/>
          </w:tcPr>
          <w:p w14:paraId="0768DE28" w14:textId="1A4808A1" w:rsidR="004B2DCA" w:rsidRDefault="004B2DCA" w:rsidP="00780046">
            <w:pPr>
              <w:pStyle w:val="Tekstpodstawowy"/>
              <w:spacing w:beforeLines="20" w:before="48" w:afterLines="20" w:after="48"/>
              <w:jc w:val="center"/>
            </w:pPr>
            <w:r>
              <w:t>18</w:t>
            </w:r>
          </w:p>
        </w:tc>
        <w:tc>
          <w:tcPr>
            <w:tcW w:w="513" w:type="dxa"/>
          </w:tcPr>
          <w:p w14:paraId="5D1F4D37" w14:textId="3A9F3EC5" w:rsidR="004B2DCA" w:rsidRDefault="004B2DCA" w:rsidP="00780046">
            <w:pPr>
              <w:pStyle w:val="Tekstpodstawowy"/>
              <w:spacing w:beforeLines="20" w:before="48" w:afterLines="20" w:after="48"/>
              <w:jc w:val="center"/>
            </w:pPr>
            <w:r>
              <w:t>22</w:t>
            </w:r>
          </w:p>
        </w:tc>
        <w:tc>
          <w:tcPr>
            <w:tcW w:w="513" w:type="dxa"/>
          </w:tcPr>
          <w:p w14:paraId="14E22906" w14:textId="0A86EAAE" w:rsidR="004B2DCA" w:rsidRDefault="0043176D" w:rsidP="00780046">
            <w:pPr>
              <w:pStyle w:val="Tekstpodstawowy"/>
              <w:spacing w:beforeLines="20" w:before="48" w:afterLines="20" w:after="48"/>
              <w:jc w:val="center"/>
            </w:pPr>
            <w:r>
              <w:t>15</w:t>
            </w:r>
          </w:p>
        </w:tc>
        <w:tc>
          <w:tcPr>
            <w:tcW w:w="513" w:type="dxa"/>
          </w:tcPr>
          <w:p w14:paraId="434C9030" w14:textId="407947A8" w:rsidR="004B2DCA" w:rsidRDefault="0079130C" w:rsidP="00780046">
            <w:pPr>
              <w:pStyle w:val="Tekstpodstawowy"/>
              <w:spacing w:beforeLines="20" w:before="48" w:afterLines="20" w:after="48"/>
              <w:jc w:val="center"/>
            </w:pPr>
            <w:r>
              <w:t>14</w:t>
            </w:r>
          </w:p>
        </w:tc>
        <w:tc>
          <w:tcPr>
            <w:tcW w:w="513" w:type="dxa"/>
          </w:tcPr>
          <w:p w14:paraId="6B446670" w14:textId="4001989D" w:rsidR="004B2DCA" w:rsidRDefault="0079130C" w:rsidP="00780046">
            <w:pPr>
              <w:pStyle w:val="Tekstpodstawowy"/>
              <w:spacing w:beforeLines="20" w:before="48" w:afterLines="20" w:after="48"/>
              <w:jc w:val="center"/>
            </w:pPr>
            <w:r>
              <w:t>15</w:t>
            </w:r>
          </w:p>
        </w:tc>
        <w:tc>
          <w:tcPr>
            <w:tcW w:w="513" w:type="dxa"/>
          </w:tcPr>
          <w:p w14:paraId="3A1AD132" w14:textId="3303E7B9" w:rsidR="004B2DCA" w:rsidRDefault="0079130C" w:rsidP="00780046">
            <w:pPr>
              <w:pStyle w:val="Tekstpodstawowy"/>
              <w:spacing w:beforeLines="20" w:before="48" w:afterLines="20" w:after="48"/>
              <w:jc w:val="center"/>
            </w:pPr>
            <w:r>
              <w:t>15</w:t>
            </w:r>
          </w:p>
        </w:tc>
        <w:tc>
          <w:tcPr>
            <w:tcW w:w="513" w:type="dxa"/>
          </w:tcPr>
          <w:p w14:paraId="31D84468" w14:textId="0BA67DCB" w:rsidR="004B2DCA" w:rsidRDefault="004B2DCA" w:rsidP="00780046">
            <w:pPr>
              <w:pStyle w:val="Tekstpodstawowy"/>
              <w:spacing w:beforeLines="20" w:before="48" w:afterLines="20" w:after="48"/>
              <w:jc w:val="center"/>
            </w:pPr>
            <w:r>
              <w:t>14</w:t>
            </w:r>
          </w:p>
        </w:tc>
        <w:tc>
          <w:tcPr>
            <w:tcW w:w="513" w:type="dxa"/>
          </w:tcPr>
          <w:p w14:paraId="50C50A12" w14:textId="4B3EE6D5" w:rsidR="004B2DCA" w:rsidRDefault="004B2DCA" w:rsidP="00780046">
            <w:pPr>
              <w:pStyle w:val="Tekstpodstawowy"/>
              <w:spacing w:beforeLines="20" w:before="48" w:afterLines="20" w:after="48"/>
              <w:jc w:val="center"/>
            </w:pPr>
            <w:r>
              <w:t>13</w:t>
            </w:r>
          </w:p>
        </w:tc>
      </w:tr>
      <w:tr w:rsidR="004B2DCA" w14:paraId="794A6518" w14:textId="77777777" w:rsidTr="00780046">
        <w:trPr>
          <w:trHeight w:val="454"/>
        </w:trPr>
        <w:tc>
          <w:tcPr>
            <w:tcW w:w="1271" w:type="dxa"/>
            <w:shd w:val="clear" w:color="auto" w:fill="F2F2F2" w:themeFill="background1" w:themeFillShade="F2"/>
          </w:tcPr>
          <w:p w14:paraId="1E934266" w14:textId="0DD68170" w:rsidR="004B2DCA" w:rsidRDefault="004B2DCA" w:rsidP="00780046">
            <w:pPr>
              <w:pStyle w:val="Tekstpodstawowy"/>
              <w:spacing w:beforeLines="20" w:before="48" w:afterLines="20" w:after="48"/>
            </w:pPr>
            <w:r>
              <w:t>UAE</w:t>
            </w:r>
          </w:p>
        </w:tc>
        <w:tc>
          <w:tcPr>
            <w:tcW w:w="513" w:type="dxa"/>
          </w:tcPr>
          <w:p w14:paraId="12670E70" w14:textId="2A6740A2" w:rsidR="004B2DCA" w:rsidRDefault="00B9727A" w:rsidP="00780046">
            <w:pPr>
              <w:pStyle w:val="Tekstpodstawowy"/>
              <w:spacing w:beforeLines="20" w:before="48" w:afterLines="20" w:after="48"/>
              <w:jc w:val="center"/>
            </w:pPr>
            <w:r>
              <w:t>11</w:t>
            </w:r>
          </w:p>
        </w:tc>
        <w:tc>
          <w:tcPr>
            <w:tcW w:w="513" w:type="dxa"/>
          </w:tcPr>
          <w:p w14:paraId="4DE478C7" w14:textId="3D7931B5" w:rsidR="004B2DCA" w:rsidRDefault="00B9727A" w:rsidP="00780046">
            <w:pPr>
              <w:pStyle w:val="Tekstpodstawowy"/>
              <w:spacing w:beforeLines="20" w:before="48" w:afterLines="20" w:after="48"/>
              <w:jc w:val="center"/>
            </w:pPr>
            <w:r>
              <w:t>15</w:t>
            </w:r>
          </w:p>
        </w:tc>
        <w:tc>
          <w:tcPr>
            <w:tcW w:w="513" w:type="dxa"/>
          </w:tcPr>
          <w:p w14:paraId="50FA3CF0" w14:textId="360D0EB5" w:rsidR="004B2DCA" w:rsidRDefault="00B9727A" w:rsidP="00780046">
            <w:pPr>
              <w:pStyle w:val="Tekstpodstawowy"/>
              <w:spacing w:beforeLines="20" w:before="48" w:afterLines="20" w:after="48"/>
              <w:jc w:val="center"/>
            </w:pPr>
            <w:r>
              <w:t>14</w:t>
            </w:r>
          </w:p>
        </w:tc>
        <w:tc>
          <w:tcPr>
            <w:tcW w:w="513" w:type="dxa"/>
          </w:tcPr>
          <w:p w14:paraId="2B00AA71" w14:textId="7E42C391" w:rsidR="004B2DCA" w:rsidRDefault="004B2DCA" w:rsidP="00780046">
            <w:pPr>
              <w:pStyle w:val="Tekstpodstawowy"/>
              <w:spacing w:beforeLines="20" w:before="48" w:afterLines="20" w:after="48"/>
              <w:jc w:val="center"/>
            </w:pPr>
            <w:r>
              <w:t>-</w:t>
            </w:r>
          </w:p>
        </w:tc>
        <w:tc>
          <w:tcPr>
            <w:tcW w:w="513" w:type="dxa"/>
          </w:tcPr>
          <w:p w14:paraId="53977011" w14:textId="62558A4F" w:rsidR="004B2DCA" w:rsidRDefault="004B2DCA" w:rsidP="00780046">
            <w:pPr>
              <w:pStyle w:val="Tekstpodstawowy"/>
              <w:spacing w:beforeLines="20" w:before="48" w:afterLines="20" w:after="48"/>
              <w:jc w:val="center"/>
            </w:pPr>
            <w:r>
              <w:t>-</w:t>
            </w:r>
          </w:p>
        </w:tc>
        <w:tc>
          <w:tcPr>
            <w:tcW w:w="513" w:type="dxa"/>
          </w:tcPr>
          <w:p w14:paraId="73B30CCC" w14:textId="06A7E3A0" w:rsidR="004B2DCA" w:rsidRDefault="004B2DCA" w:rsidP="00780046">
            <w:pPr>
              <w:pStyle w:val="Tekstpodstawowy"/>
              <w:spacing w:beforeLines="20" w:before="48" w:afterLines="20" w:after="48"/>
              <w:jc w:val="center"/>
            </w:pPr>
            <w:r>
              <w:t>-</w:t>
            </w:r>
          </w:p>
        </w:tc>
        <w:tc>
          <w:tcPr>
            <w:tcW w:w="513" w:type="dxa"/>
          </w:tcPr>
          <w:p w14:paraId="36FED908" w14:textId="3164762D" w:rsidR="004B2DCA" w:rsidRDefault="0043176D" w:rsidP="00780046">
            <w:pPr>
              <w:pStyle w:val="Tekstpodstawowy"/>
              <w:spacing w:beforeLines="20" w:before="48" w:afterLines="20" w:after="48"/>
              <w:jc w:val="center"/>
            </w:pPr>
            <w:r>
              <w:t>21</w:t>
            </w:r>
          </w:p>
        </w:tc>
        <w:tc>
          <w:tcPr>
            <w:tcW w:w="513" w:type="dxa"/>
          </w:tcPr>
          <w:p w14:paraId="69D8E989" w14:textId="37DD6B77" w:rsidR="004B2DCA" w:rsidRDefault="0079130C" w:rsidP="00780046">
            <w:pPr>
              <w:pStyle w:val="Tekstpodstawowy"/>
              <w:spacing w:beforeLines="20" w:before="48" w:afterLines="20" w:after="48"/>
              <w:jc w:val="center"/>
            </w:pPr>
            <w:r>
              <w:t>-</w:t>
            </w:r>
          </w:p>
        </w:tc>
        <w:tc>
          <w:tcPr>
            <w:tcW w:w="513" w:type="dxa"/>
          </w:tcPr>
          <w:p w14:paraId="4184209C" w14:textId="4470841B" w:rsidR="004B2DCA" w:rsidRDefault="0079130C" w:rsidP="00780046">
            <w:pPr>
              <w:pStyle w:val="Tekstpodstawowy"/>
              <w:spacing w:beforeLines="20" w:before="48" w:afterLines="20" w:after="48"/>
              <w:jc w:val="center"/>
            </w:pPr>
            <w:r>
              <w:t>-</w:t>
            </w:r>
          </w:p>
        </w:tc>
        <w:tc>
          <w:tcPr>
            <w:tcW w:w="513" w:type="dxa"/>
          </w:tcPr>
          <w:p w14:paraId="04E3D379" w14:textId="39F05F8D" w:rsidR="004B2DCA" w:rsidRDefault="0079130C" w:rsidP="00780046">
            <w:pPr>
              <w:pStyle w:val="Tekstpodstawowy"/>
              <w:spacing w:beforeLines="20" w:before="48" w:afterLines="20" w:after="48"/>
              <w:jc w:val="center"/>
            </w:pPr>
            <w:r>
              <w:t>19</w:t>
            </w:r>
          </w:p>
        </w:tc>
        <w:tc>
          <w:tcPr>
            <w:tcW w:w="513" w:type="dxa"/>
          </w:tcPr>
          <w:p w14:paraId="3334716B" w14:textId="345D78BE" w:rsidR="004B2DCA" w:rsidRDefault="004B2DCA" w:rsidP="00780046">
            <w:pPr>
              <w:pStyle w:val="Tekstpodstawowy"/>
              <w:spacing w:beforeLines="20" w:before="48" w:afterLines="20" w:after="48"/>
              <w:jc w:val="center"/>
            </w:pPr>
            <w:r>
              <w:t>15</w:t>
            </w:r>
          </w:p>
        </w:tc>
        <w:tc>
          <w:tcPr>
            <w:tcW w:w="513" w:type="dxa"/>
          </w:tcPr>
          <w:p w14:paraId="7DEFF301" w14:textId="3FF2240E" w:rsidR="004B2DCA" w:rsidRDefault="004B2DCA" w:rsidP="00780046">
            <w:pPr>
              <w:pStyle w:val="Tekstpodstawowy"/>
              <w:spacing w:beforeLines="20" w:before="48" w:afterLines="20" w:after="48"/>
              <w:jc w:val="center"/>
            </w:pPr>
            <w:r>
              <w:t>14</w:t>
            </w:r>
          </w:p>
        </w:tc>
      </w:tr>
      <w:tr w:rsidR="004B2DCA" w14:paraId="311DC91B" w14:textId="77777777" w:rsidTr="00780046">
        <w:trPr>
          <w:trHeight w:val="454"/>
        </w:trPr>
        <w:tc>
          <w:tcPr>
            <w:tcW w:w="1271" w:type="dxa"/>
            <w:shd w:val="clear" w:color="auto" w:fill="F2F2F2" w:themeFill="background1" w:themeFillShade="F2"/>
          </w:tcPr>
          <w:p w14:paraId="1FC4E6BB" w14:textId="0118E1AE" w:rsidR="004B2DCA" w:rsidRDefault="004B2DCA" w:rsidP="00780046">
            <w:pPr>
              <w:pStyle w:val="Tekstpodstawowy"/>
              <w:spacing w:beforeLines="20" w:before="48" w:afterLines="20" w:after="48"/>
            </w:pPr>
            <w:r>
              <w:t>Netherlands</w:t>
            </w:r>
          </w:p>
        </w:tc>
        <w:tc>
          <w:tcPr>
            <w:tcW w:w="513" w:type="dxa"/>
          </w:tcPr>
          <w:p w14:paraId="5FD4538C" w14:textId="44A6C379" w:rsidR="004B2DCA" w:rsidRDefault="0047529B" w:rsidP="00780046">
            <w:pPr>
              <w:pStyle w:val="Tekstpodstawowy"/>
              <w:spacing w:beforeLines="20" w:before="48" w:afterLines="20" w:after="48"/>
              <w:jc w:val="center"/>
            </w:pPr>
            <w:r>
              <w:t>-</w:t>
            </w:r>
          </w:p>
        </w:tc>
        <w:tc>
          <w:tcPr>
            <w:tcW w:w="513" w:type="dxa"/>
          </w:tcPr>
          <w:p w14:paraId="691F259A" w14:textId="4CA5D199" w:rsidR="004B2DCA" w:rsidRDefault="0047529B" w:rsidP="00780046">
            <w:pPr>
              <w:pStyle w:val="Tekstpodstawowy"/>
              <w:spacing w:beforeLines="20" w:before="48" w:afterLines="20" w:after="48"/>
              <w:jc w:val="center"/>
            </w:pPr>
            <w:r>
              <w:t>-</w:t>
            </w:r>
          </w:p>
        </w:tc>
        <w:tc>
          <w:tcPr>
            <w:tcW w:w="513" w:type="dxa"/>
          </w:tcPr>
          <w:p w14:paraId="6AF26992" w14:textId="1066AFDB" w:rsidR="004B2DCA" w:rsidRDefault="0047529B" w:rsidP="00780046">
            <w:pPr>
              <w:pStyle w:val="Tekstpodstawowy"/>
              <w:spacing w:beforeLines="20" w:before="48" w:afterLines="20" w:after="48"/>
              <w:jc w:val="center"/>
            </w:pPr>
            <w:r>
              <w:t>-</w:t>
            </w:r>
          </w:p>
        </w:tc>
        <w:tc>
          <w:tcPr>
            <w:tcW w:w="513" w:type="dxa"/>
          </w:tcPr>
          <w:p w14:paraId="70C90411" w14:textId="73B50C4B" w:rsidR="004B2DCA" w:rsidRDefault="004B2DCA" w:rsidP="00780046">
            <w:pPr>
              <w:pStyle w:val="Tekstpodstawowy"/>
              <w:spacing w:beforeLines="20" w:before="48" w:afterLines="20" w:after="48"/>
              <w:jc w:val="center"/>
            </w:pPr>
            <w:r>
              <w:t>22</w:t>
            </w:r>
          </w:p>
        </w:tc>
        <w:tc>
          <w:tcPr>
            <w:tcW w:w="513" w:type="dxa"/>
          </w:tcPr>
          <w:p w14:paraId="6AADEE18" w14:textId="028F6771" w:rsidR="004B2DCA" w:rsidRDefault="004B2DCA" w:rsidP="00780046">
            <w:pPr>
              <w:pStyle w:val="Tekstpodstawowy"/>
              <w:spacing w:beforeLines="20" w:before="48" w:afterLines="20" w:after="48"/>
              <w:jc w:val="center"/>
            </w:pPr>
            <w:r>
              <w:t>13</w:t>
            </w:r>
          </w:p>
        </w:tc>
        <w:tc>
          <w:tcPr>
            <w:tcW w:w="513" w:type="dxa"/>
          </w:tcPr>
          <w:p w14:paraId="2D93FA8B" w14:textId="17069509" w:rsidR="004B2DCA" w:rsidRDefault="004B2DCA" w:rsidP="00780046">
            <w:pPr>
              <w:pStyle w:val="Tekstpodstawowy"/>
              <w:spacing w:beforeLines="20" w:before="48" w:afterLines="20" w:after="48"/>
              <w:jc w:val="center"/>
            </w:pPr>
            <w:r>
              <w:t>14</w:t>
            </w:r>
          </w:p>
        </w:tc>
        <w:tc>
          <w:tcPr>
            <w:tcW w:w="513" w:type="dxa"/>
          </w:tcPr>
          <w:p w14:paraId="20FF6896" w14:textId="54317E98" w:rsidR="004B2DCA" w:rsidRDefault="0043176D" w:rsidP="00780046">
            <w:pPr>
              <w:pStyle w:val="Tekstpodstawowy"/>
              <w:spacing w:beforeLines="20" w:before="48" w:afterLines="20" w:after="48"/>
              <w:jc w:val="center"/>
            </w:pPr>
            <w:r>
              <w:t>14</w:t>
            </w:r>
          </w:p>
        </w:tc>
        <w:tc>
          <w:tcPr>
            <w:tcW w:w="513" w:type="dxa"/>
          </w:tcPr>
          <w:p w14:paraId="015BFDEA" w14:textId="7D840E29" w:rsidR="004B2DCA" w:rsidRDefault="00212588" w:rsidP="00780046">
            <w:pPr>
              <w:pStyle w:val="Tekstpodstawowy"/>
              <w:spacing w:beforeLines="20" w:before="48" w:afterLines="20" w:after="48"/>
              <w:jc w:val="center"/>
            </w:pPr>
            <w:r>
              <w:t>13</w:t>
            </w:r>
          </w:p>
        </w:tc>
        <w:tc>
          <w:tcPr>
            <w:tcW w:w="513" w:type="dxa"/>
          </w:tcPr>
          <w:p w14:paraId="4128AF0F" w14:textId="35B8544B" w:rsidR="004B2DCA" w:rsidRDefault="000A3624" w:rsidP="00780046">
            <w:pPr>
              <w:pStyle w:val="Tekstpodstawowy"/>
              <w:spacing w:beforeLines="20" w:before="48" w:afterLines="20" w:after="48"/>
              <w:jc w:val="center"/>
            </w:pPr>
            <w:r>
              <w:t>12</w:t>
            </w:r>
          </w:p>
        </w:tc>
        <w:tc>
          <w:tcPr>
            <w:tcW w:w="513" w:type="dxa"/>
          </w:tcPr>
          <w:p w14:paraId="50D09D01" w14:textId="740CE2C7" w:rsidR="004B2DCA" w:rsidRDefault="000A3624" w:rsidP="00780046">
            <w:pPr>
              <w:pStyle w:val="Tekstpodstawowy"/>
              <w:spacing w:beforeLines="20" w:before="48" w:afterLines="20" w:after="48"/>
              <w:jc w:val="center"/>
            </w:pPr>
            <w:r>
              <w:t>14</w:t>
            </w:r>
          </w:p>
        </w:tc>
        <w:tc>
          <w:tcPr>
            <w:tcW w:w="513" w:type="dxa"/>
          </w:tcPr>
          <w:p w14:paraId="6E240A66" w14:textId="21200D69" w:rsidR="004B2DCA" w:rsidRDefault="004B2DCA" w:rsidP="00780046">
            <w:pPr>
              <w:pStyle w:val="Tekstpodstawowy"/>
              <w:spacing w:beforeLines="20" w:before="48" w:afterLines="20" w:after="48"/>
              <w:jc w:val="center"/>
            </w:pPr>
            <w:r>
              <w:t>11</w:t>
            </w:r>
          </w:p>
        </w:tc>
        <w:tc>
          <w:tcPr>
            <w:tcW w:w="513" w:type="dxa"/>
          </w:tcPr>
          <w:p w14:paraId="77AFDF7D" w14:textId="7EB512D3" w:rsidR="004B2DCA" w:rsidRDefault="004B2DCA" w:rsidP="00780046">
            <w:pPr>
              <w:pStyle w:val="Tekstpodstawowy"/>
              <w:spacing w:beforeLines="20" w:before="48" w:afterLines="20" w:after="48"/>
              <w:jc w:val="center"/>
            </w:pPr>
            <w:r>
              <w:t>15</w:t>
            </w:r>
          </w:p>
        </w:tc>
      </w:tr>
      <w:tr w:rsidR="004B2DCA" w14:paraId="149BA040" w14:textId="77777777" w:rsidTr="00780046">
        <w:trPr>
          <w:trHeight w:val="454"/>
        </w:trPr>
        <w:tc>
          <w:tcPr>
            <w:tcW w:w="1271" w:type="dxa"/>
            <w:shd w:val="clear" w:color="auto" w:fill="F2F2F2" w:themeFill="background1" w:themeFillShade="F2"/>
          </w:tcPr>
          <w:p w14:paraId="0CAED0FD" w14:textId="35AA472A" w:rsidR="004B2DCA" w:rsidRDefault="004B2DCA" w:rsidP="00780046">
            <w:pPr>
              <w:pStyle w:val="Tekstpodstawowy"/>
              <w:spacing w:beforeLines="20" w:before="48" w:afterLines="20" w:after="48"/>
            </w:pPr>
            <w:r>
              <w:t>South Korea</w:t>
            </w:r>
          </w:p>
        </w:tc>
        <w:tc>
          <w:tcPr>
            <w:tcW w:w="513" w:type="dxa"/>
          </w:tcPr>
          <w:p w14:paraId="29942752" w14:textId="1E74D883" w:rsidR="004B2DCA" w:rsidRDefault="00534BAE" w:rsidP="00780046">
            <w:pPr>
              <w:pStyle w:val="Tekstpodstawowy"/>
              <w:spacing w:beforeLines="20" w:before="48" w:afterLines="20" w:after="48"/>
              <w:jc w:val="center"/>
            </w:pPr>
            <w:r>
              <w:t>-</w:t>
            </w:r>
          </w:p>
        </w:tc>
        <w:tc>
          <w:tcPr>
            <w:tcW w:w="513" w:type="dxa"/>
          </w:tcPr>
          <w:p w14:paraId="4843C576" w14:textId="18540ED5" w:rsidR="004B2DCA" w:rsidRDefault="00534BAE" w:rsidP="00780046">
            <w:pPr>
              <w:pStyle w:val="Tekstpodstawowy"/>
              <w:spacing w:beforeLines="20" w:before="48" w:afterLines="20" w:after="48"/>
              <w:jc w:val="center"/>
            </w:pPr>
            <w:r>
              <w:t>19</w:t>
            </w:r>
          </w:p>
        </w:tc>
        <w:tc>
          <w:tcPr>
            <w:tcW w:w="513" w:type="dxa"/>
          </w:tcPr>
          <w:p w14:paraId="6AFB161B" w14:textId="360EF181" w:rsidR="004B2DCA" w:rsidRDefault="00534BAE" w:rsidP="00780046">
            <w:pPr>
              <w:pStyle w:val="Tekstpodstawowy"/>
              <w:spacing w:beforeLines="20" w:before="48" w:afterLines="20" w:after="48"/>
              <w:jc w:val="center"/>
            </w:pPr>
            <w:r>
              <w:t>21</w:t>
            </w:r>
          </w:p>
        </w:tc>
        <w:tc>
          <w:tcPr>
            <w:tcW w:w="513" w:type="dxa"/>
          </w:tcPr>
          <w:p w14:paraId="3D8C0CA2" w14:textId="729049C4" w:rsidR="004B2DCA" w:rsidRDefault="004B2DCA" w:rsidP="00780046">
            <w:pPr>
              <w:pStyle w:val="Tekstpodstawowy"/>
              <w:spacing w:beforeLines="20" w:before="48" w:afterLines="20" w:after="48"/>
              <w:jc w:val="center"/>
            </w:pPr>
            <w:r>
              <w:t>-</w:t>
            </w:r>
          </w:p>
        </w:tc>
        <w:tc>
          <w:tcPr>
            <w:tcW w:w="513" w:type="dxa"/>
          </w:tcPr>
          <w:p w14:paraId="40CD8263" w14:textId="322E2DF3" w:rsidR="004B2DCA" w:rsidRDefault="004B2DCA" w:rsidP="00780046">
            <w:pPr>
              <w:pStyle w:val="Tekstpodstawowy"/>
              <w:spacing w:beforeLines="20" w:before="48" w:afterLines="20" w:after="48"/>
              <w:jc w:val="center"/>
            </w:pPr>
            <w:r>
              <w:t>16</w:t>
            </w:r>
          </w:p>
        </w:tc>
        <w:tc>
          <w:tcPr>
            <w:tcW w:w="513" w:type="dxa"/>
          </w:tcPr>
          <w:p w14:paraId="270FDA25" w14:textId="58CC24A2" w:rsidR="004B2DCA" w:rsidRDefault="004B2DCA" w:rsidP="00780046">
            <w:pPr>
              <w:pStyle w:val="Tekstpodstawowy"/>
              <w:spacing w:beforeLines="20" w:before="48" w:afterLines="20" w:after="48"/>
              <w:jc w:val="center"/>
            </w:pPr>
            <w:r>
              <w:t>17</w:t>
            </w:r>
          </w:p>
        </w:tc>
        <w:tc>
          <w:tcPr>
            <w:tcW w:w="513" w:type="dxa"/>
          </w:tcPr>
          <w:p w14:paraId="2630908A" w14:textId="2CD972F1" w:rsidR="004B2DCA" w:rsidRDefault="00442269" w:rsidP="00780046">
            <w:pPr>
              <w:pStyle w:val="Tekstpodstawowy"/>
              <w:spacing w:beforeLines="20" w:before="48" w:afterLines="20" w:after="48"/>
              <w:jc w:val="center"/>
            </w:pPr>
            <w:r>
              <w:t>18</w:t>
            </w:r>
          </w:p>
        </w:tc>
        <w:tc>
          <w:tcPr>
            <w:tcW w:w="513" w:type="dxa"/>
          </w:tcPr>
          <w:p w14:paraId="3025C278" w14:textId="11F21550" w:rsidR="004B2DCA" w:rsidRDefault="003829BA" w:rsidP="00780046">
            <w:pPr>
              <w:pStyle w:val="Tekstpodstawowy"/>
              <w:spacing w:beforeLines="20" w:before="48" w:afterLines="20" w:after="48"/>
              <w:jc w:val="center"/>
            </w:pPr>
            <w:r>
              <w:t>18</w:t>
            </w:r>
          </w:p>
        </w:tc>
        <w:tc>
          <w:tcPr>
            <w:tcW w:w="513" w:type="dxa"/>
          </w:tcPr>
          <w:p w14:paraId="33A2423F" w14:textId="175CFD5C" w:rsidR="004B2DCA" w:rsidRDefault="003829BA" w:rsidP="00780046">
            <w:pPr>
              <w:pStyle w:val="Tekstpodstawowy"/>
              <w:spacing w:beforeLines="20" w:before="48" w:afterLines="20" w:after="48"/>
              <w:jc w:val="center"/>
            </w:pPr>
            <w:r>
              <w:t>17</w:t>
            </w:r>
          </w:p>
        </w:tc>
        <w:tc>
          <w:tcPr>
            <w:tcW w:w="513" w:type="dxa"/>
          </w:tcPr>
          <w:p w14:paraId="72D43DC1" w14:textId="28408958" w:rsidR="004B2DCA" w:rsidRDefault="003829BA" w:rsidP="00780046">
            <w:pPr>
              <w:pStyle w:val="Tekstpodstawowy"/>
              <w:spacing w:beforeLines="20" w:before="48" w:afterLines="20" w:after="48"/>
              <w:jc w:val="center"/>
            </w:pPr>
            <w:r>
              <w:t>17</w:t>
            </w:r>
          </w:p>
        </w:tc>
        <w:tc>
          <w:tcPr>
            <w:tcW w:w="513" w:type="dxa"/>
          </w:tcPr>
          <w:p w14:paraId="53521145" w14:textId="52647A21" w:rsidR="004B2DCA" w:rsidRDefault="004B2DCA" w:rsidP="00780046">
            <w:pPr>
              <w:pStyle w:val="Tekstpodstawowy"/>
              <w:spacing w:beforeLines="20" w:before="48" w:afterLines="20" w:after="48"/>
              <w:jc w:val="center"/>
            </w:pPr>
            <w:r>
              <w:t>21</w:t>
            </w:r>
          </w:p>
        </w:tc>
        <w:tc>
          <w:tcPr>
            <w:tcW w:w="513" w:type="dxa"/>
          </w:tcPr>
          <w:p w14:paraId="0E6D5D29" w14:textId="31D090CB" w:rsidR="004B2DCA" w:rsidRDefault="004B2DCA" w:rsidP="00780046">
            <w:pPr>
              <w:pStyle w:val="Tekstpodstawowy"/>
              <w:spacing w:beforeLines="20" w:before="48" w:afterLines="20" w:after="48"/>
              <w:jc w:val="center"/>
            </w:pPr>
            <w:r>
              <w:t>16</w:t>
            </w:r>
          </w:p>
        </w:tc>
      </w:tr>
      <w:tr w:rsidR="004B2DCA" w14:paraId="12498E9A" w14:textId="77777777" w:rsidTr="00780046">
        <w:trPr>
          <w:trHeight w:val="454"/>
        </w:trPr>
        <w:tc>
          <w:tcPr>
            <w:tcW w:w="1271" w:type="dxa"/>
            <w:shd w:val="clear" w:color="auto" w:fill="F2F2F2" w:themeFill="background1" w:themeFillShade="F2"/>
          </w:tcPr>
          <w:p w14:paraId="05690B20" w14:textId="02699A80" w:rsidR="004B2DCA" w:rsidRDefault="004B2DCA" w:rsidP="00780046">
            <w:pPr>
              <w:pStyle w:val="Tekstpodstawowy"/>
              <w:spacing w:beforeLines="20" w:before="48" w:afterLines="20" w:after="48"/>
            </w:pPr>
            <w:r>
              <w:t>Belgium</w:t>
            </w:r>
          </w:p>
        </w:tc>
        <w:tc>
          <w:tcPr>
            <w:tcW w:w="513" w:type="dxa"/>
          </w:tcPr>
          <w:p w14:paraId="29DC8632" w14:textId="7653B99A" w:rsidR="004B2DCA" w:rsidRDefault="00534BAE" w:rsidP="00780046">
            <w:pPr>
              <w:pStyle w:val="Tekstpodstawowy"/>
              <w:spacing w:beforeLines="20" w:before="48" w:afterLines="20" w:after="48"/>
              <w:jc w:val="center"/>
            </w:pPr>
            <w:r>
              <w:t>-</w:t>
            </w:r>
          </w:p>
        </w:tc>
        <w:tc>
          <w:tcPr>
            <w:tcW w:w="513" w:type="dxa"/>
          </w:tcPr>
          <w:p w14:paraId="1A276D7B" w14:textId="05043DB0" w:rsidR="004B2DCA" w:rsidRDefault="00534BAE" w:rsidP="00780046">
            <w:pPr>
              <w:pStyle w:val="Tekstpodstawowy"/>
              <w:spacing w:beforeLines="20" w:before="48" w:afterLines="20" w:after="48"/>
              <w:jc w:val="center"/>
            </w:pPr>
            <w:r>
              <w:t>-</w:t>
            </w:r>
          </w:p>
        </w:tc>
        <w:tc>
          <w:tcPr>
            <w:tcW w:w="513" w:type="dxa"/>
          </w:tcPr>
          <w:p w14:paraId="759FD801" w14:textId="0EBF3C6B" w:rsidR="004B2DCA" w:rsidRDefault="00534BAE" w:rsidP="00780046">
            <w:pPr>
              <w:pStyle w:val="Tekstpodstawowy"/>
              <w:spacing w:beforeLines="20" w:before="48" w:afterLines="20" w:after="48"/>
              <w:jc w:val="center"/>
            </w:pPr>
            <w:r>
              <w:t>-</w:t>
            </w:r>
          </w:p>
        </w:tc>
        <w:tc>
          <w:tcPr>
            <w:tcW w:w="513" w:type="dxa"/>
          </w:tcPr>
          <w:p w14:paraId="102E93C7" w14:textId="1265F796" w:rsidR="004B2DCA" w:rsidRDefault="004B2DCA" w:rsidP="00780046">
            <w:pPr>
              <w:pStyle w:val="Tekstpodstawowy"/>
              <w:spacing w:beforeLines="20" w:before="48" w:afterLines="20" w:after="48"/>
              <w:jc w:val="center"/>
            </w:pPr>
            <w:r>
              <w:t>21</w:t>
            </w:r>
          </w:p>
        </w:tc>
        <w:tc>
          <w:tcPr>
            <w:tcW w:w="513" w:type="dxa"/>
          </w:tcPr>
          <w:p w14:paraId="65E8050B" w14:textId="356F9CF8" w:rsidR="004B2DCA" w:rsidRDefault="004B2DCA" w:rsidP="00780046">
            <w:pPr>
              <w:pStyle w:val="Tekstpodstawowy"/>
              <w:spacing w:beforeLines="20" w:before="48" w:afterLines="20" w:after="48"/>
              <w:jc w:val="center"/>
            </w:pPr>
            <w:r>
              <w:t>19</w:t>
            </w:r>
          </w:p>
        </w:tc>
        <w:tc>
          <w:tcPr>
            <w:tcW w:w="513" w:type="dxa"/>
          </w:tcPr>
          <w:p w14:paraId="11166957" w14:textId="26424504" w:rsidR="004B2DCA" w:rsidRDefault="004B2DCA" w:rsidP="00780046">
            <w:pPr>
              <w:pStyle w:val="Tekstpodstawowy"/>
              <w:spacing w:beforeLines="20" w:before="48" w:afterLines="20" w:after="48"/>
              <w:jc w:val="center"/>
            </w:pPr>
            <w:r>
              <w:t>19</w:t>
            </w:r>
          </w:p>
        </w:tc>
        <w:tc>
          <w:tcPr>
            <w:tcW w:w="513" w:type="dxa"/>
          </w:tcPr>
          <w:p w14:paraId="23D3E920" w14:textId="1BE2EE13" w:rsidR="004B2DCA" w:rsidRDefault="0010595C" w:rsidP="00780046">
            <w:pPr>
              <w:pStyle w:val="Tekstpodstawowy"/>
              <w:spacing w:beforeLines="20" w:before="48" w:afterLines="20" w:after="48"/>
              <w:jc w:val="center"/>
            </w:pPr>
            <w:r>
              <w:t>22</w:t>
            </w:r>
          </w:p>
        </w:tc>
        <w:tc>
          <w:tcPr>
            <w:tcW w:w="513" w:type="dxa"/>
          </w:tcPr>
          <w:p w14:paraId="13A34526" w14:textId="6091FD91" w:rsidR="004B2DCA" w:rsidRDefault="00E1443A" w:rsidP="00780046">
            <w:pPr>
              <w:pStyle w:val="Tekstpodstawowy"/>
              <w:spacing w:beforeLines="20" w:before="48" w:afterLines="20" w:after="48"/>
              <w:jc w:val="center"/>
            </w:pPr>
            <w:r>
              <w:t>21</w:t>
            </w:r>
          </w:p>
        </w:tc>
        <w:tc>
          <w:tcPr>
            <w:tcW w:w="513" w:type="dxa"/>
          </w:tcPr>
          <w:p w14:paraId="79A07215" w14:textId="79BFD834" w:rsidR="004B2DCA" w:rsidRDefault="00E1443A" w:rsidP="00780046">
            <w:pPr>
              <w:pStyle w:val="Tekstpodstawowy"/>
              <w:spacing w:beforeLines="20" w:before="48" w:afterLines="20" w:after="48"/>
              <w:jc w:val="center"/>
            </w:pPr>
            <w:r>
              <w:t>18</w:t>
            </w:r>
          </w:p>
        </w:tc>
        <w:tc>
          <w:tcPr>
            <w:tcW w:w="513" w:type="dxa"/>
          </w:tcPr>
          <w:p w14:paraId="1B458113" w14:textId="34968A11" w:rsidR="004B2DCA" w:rsidRDefault="00B436BD" w:rsidP="00780046">
            <w:pPr>
              <w:pStyle w:val="Tekstpodstawowy"/>
              <w:spacing w:beforeLines="20" w:before="48" w:afterLines="20" w:after="48"/>
              <w:jc w:val="center"/>
            </w:pPr>
            <w:r>
              <w:t>16</w:t>
            </w:r>
          </w:p>
        </w:tc>
        <w:tc>
          <w:tcPr>
            <w:tcW w:w="513" w:type="dxa"/>
          </w:tcPr>
          <w:p w14:paraId="547569AD" w14:textId="22610237" w:rsidR="004B2DCA" w:rsidRDefault="004B2DCA" w:rsidP="00780046">
            <w:pPr>
              <w:pStyle w:val="Tekstpodstawowy"/>
              <w:spacing w:beforeLines="20" w:before="48" w:afterLines="20" w:after="48"/>
              <w:jc w:val="center"/>
            </w:pPr>
            <w:r>
              <w:t>17</w:t>
            </w:r>
          </w:p>
        </w:tc>
        <w:tc>
          <w:tcPr>
            <w:tcW w:w="513" w:type="dxa"/>
          </w:tcPr>
          <w:p w14:paraId="3763FF65" w14:textId="6AE8A728" w:rsidR="004B2DCA" w:rsidRDefault="004B2DCA" w:rsidP="00780046">
            <w:pPr>
              <w:pStyle w:val="Tekstpodstawowy"/>
              <w:spacing w:beforeLines="20" w:before="48" w:afterLines="20" w:after="48"/>
              <w:jc w:val="center"/>
            </w:pPr>
            <w:r>
              <w:t>17</w:t>
            </w:r>
          </w:p>
        </w:tc>
      </w:tr>
      <w:tr w:rsidR="004B2DCA" w14:paraId="770C0843" w14:textId="77777777" w:rsidTr="00780046">
        <w:trPr>
          <w:trHeight w:val="454"/>
        </w:trPr>
        <w:tc>
          <w:tcPr>
            <w:tcW w:w="1271" w:type="dxa"/>
            <w:shd w:val="clear" w:color="auto" w:fill="F2F2F2" w:themeFill="background1" w:themeFillShade="F2"/>
          </w:tcPr>
          <w:p w14:paraId="6D1432E5" w14:textId="3EEF5661" w:rsidR="004B2DCA" w:rsidRDefault="004B2DCA" w:rsidP="00780046">
            <w:pPr>
              <w:pStyle w:val="Tekstpodstawowy"/>
              <w:spacing w:beforeLines="20" w:before="48" w:afterLines="20" w:after="48"/>
            </w:pPr>
            <w:r>
              <w:t>Singapore</w:t>
            </w:r>
          </w:p>
        </w:tc>
        <w:tc>
          <w:tcPr>
            <w:tcW w:w="513" w:type="dxa"/>
          </w:tcPr>
          <w:p w14:paraId="3AF17D6B" w14:textId="597D802E" w:rsidR="004B2DCA" w:rsidRDefault="00534BAE" w:rsidP="00780046">
            <w:pPr>
              <w:pStyle w:val="Tekstpodstawowy"/>
              <w:spacing w:beforeLines="20" w:before="48" w:afterLines="20" w:after="48"/>
              <w:jc w:val="center"/>
            </w:pPr>
            <w:r>
              <w:t>-</w:t>
            </w:r>
          </w:p>
        </w:tc>
        <w:tc>
          <w:tcPr>
            <w:tcW w:w="513" w:type="dxa"/>
          </w:tcPr>
          <w:p w14:paraId="1055EAF8" w14:textId="3EAB3E1A" w:rsidR="004B2DCA" w:rsidRDefault="00534BAE" w:rsidP="00780046">
            <w:pPr>
              <w:pStyle w:val="Tekstpodstawowy"/>
              <w:spacing w:beforeLines="20" w:before="48" w:afterLines="20" w:after="48"/>
              <w:jc w:val="center"/>
            </w:pPr>
            <w:r>
              <w:t>7</w:t>
            </w:r>
          </w:p>
        </w:tc>
        <w:tc>
          <w:tcPr>
            <w:tcW w:w="513" w:type="dxa"/>
          </w:tcPr>
          <w:p w14:paraId="4B23D5D4" w14:textId="4E03473D" w:rsidR="004B2DCA" w:rsidRDefault="00534BAE" w:rsidP="00780046">
            <w:pPr>
              <w:pStyle w:val="Tekstpodstawowy"/>
              <w:spacing w:beforeLines="20" w:before="48" w:afterLines="20" w:after="48"/>
              <w:jc w:val="center"/>
            </w:pPr>
            <w:r>
              <w:t>10</w:t>
            </w:r>
          </w:p>
        </w:tc>
        <w:tc>
          <w:tcPr>
            <w:tcW w:w="513" w:type="dxa"/>
          </w:tcPr>
          <w:p w14:paraId="38CF0686" w14:textId="6C3A0F13" w:rsidR="004B2DCA" w:rsidRDefault="004B2DCA" w:rsidP="00780046">
            <w:pPr>
              <w:pStyle w:val="Tekstpodstawowy"/>
              <w:spacing w:beforeLines="20" w:before="48" w:afterLines="20" w:after="48"/>
              <w:jc w:val="center"/>
            </w:pPr>
            <w:r>
              <w:t>9</w:t>
            </w:r>
          </w:p>
        </w:tc>
        <w:tc>
          <w:tcPr>
            <w:tcW w:w="513" w:type="dxa"/>
          </w:tcPr>
          <w:p w14:paraId="793A1AB8" w14:textId="4E13E333" w:rsidR="004B2DCA" w:rsidRDefault="004B2DCA" w:rsidP="00780046">
            <w:pPr>
              <w:pStyle w:val="Tekstpodstawowy"/>
              <w:spacing w:beforeLines="20" w:before="48" w:afterLines="20" w:after="48"/>
              <w:jc w:val="center"/>
            </w:pPr>
            <w:r>
              <w:t>15</w:t>
            </w:r>
          </w:p>
        </w:tc>
        <w:tc>
          <w:tcPr>
            <w:tcW w:w="513" w:type="dxa"/>
          </w:tcPr>
          <w:p w14:paraId="451FEF18" w14:textId="541358BA" w:rsidR="004B2DCA" w:rsidRDefault="004B2DCA" w:rsidP="00780046">
            <w:pPr>
              <w:pStyle w:val="Tekstpodstawowy"/>
              <w:spacing w:beforeLines="20" w:before="48" w:afterLines="20" w:after="48"/>
              <w:jc w:val="center"/>
            </w:pPr>
            <w:r>
              <w:t>10</w:t>
            </w:r>
          </w:p>
        </w:tc>
        <w:tc>
          <w:tcPr>
            <w:tcW w:w="513" w:type="dxa"/>
          </w:tcPr>
          <w:p w14:paraId="75243512" w14:textId="58F1A57F" w:rsidR="004B2DCA" w:rsidRDefault="0031160A" w:rsidP="00780046">
            <w:pPr>
              <w:pStyle w:val="Tekstpodstawowy"/>
              <w:spacing w:beforeLines="20" w:before="48" w:afterLines="20" w:after="48"/>
              <w:jc w:val="center"/>
            </w:pPr>
            <w:r>
              <w:t>10</w:t>
            </w:r>
          </w:p>
        </w:tc>
        <w:tc>
          <w:tcPr>
            <w:tcW w:w="513" w:type="dxa"/>
          </w:tcPr>
          <w:p w14:paraId="0914ED14" w14:textId="4A0D2834" w:rsidR="004B2DCA" w:rsidRDefault="00212588" w:rsidP="00780046">
            <w:pPr>
              <w:pStyle w:val="Tekstpodstawowy"/>
              <w:spacing w:beforeLines="20" w:before="48" w:afterLines="20" w:after="48"/>
              <w:jc w:val="center"/>
            </w:pPr>
            <w:r>
              <w:t>12</w:t>
            </w:r>
          </w:p>
        </w:tc>
        <w:tc>
          <w:tcPr>
            <w:tcW w:w="513" w:type="dxa"/>
          </w:tcPr>
          <w:p w14:paraId="02D7BD5C" w14:textId="44D4A7CD" w:rsidR="004B2DCA" w:rsidRDefault="00212588" w:rsidP="00780046">
            <w:pPr>
              <w:pStyle w:val="Tekstpodstawowy"/>
              <w:spacing w:beforeLines="20" w:before="48" w:afterLines="20" w:after="48"/>
              <w:jc w:val="center"/>
            </w:pPr>
            <w:r>
              <w:t>10</w:t>
            </w:r>
          </w:p>
        </w:tc>
        <w:tc>
          <w:tcPr>
            <w:tcW w:w="513" w:type="dxa"/>
          </w:tcPr>
          <w:p w14:paraId="29882287" w14:textId="17A0F7CB" w:rsidR="004B2DCA" w:rsidRDefault="00212588" w:rsidP="00780046">
            <w:pPr>
              <w:pStyle w:val="Tekstpodstawowy"/>
              <w:spacing w:beforeLines="20" w:before="48" w:afterLines="20" w:after="48"/>
              <w:jc w:val="center"/>
            </w:pPr>
            <w:r>
              <w:t>12</w:t>
            </w:r>
          </w:p>
        </w:tc>
        <w:tc>
          <w:tcPr>
            <w:tcW w:w="513" w:type="dxa"/>
          </w:tcPr>
          <w:p w14:paraId="66A1600C" w14:textId="3CD1B4D4" w:rsidR="004B2DCA" w:rsidRDefault="004B2DCA" w:rsidP="00780046">
            <w:pPr>
              <w:pStyle w:val="Tekstpodstawowy"/>
              <w:spacing w:beforeLines="20" w:before="48" w:afterLines="20" w:after="48"/>
              <w:jc w:val="center"/>
            </w:pPr>
            <w:r>
              <w:t>16</w:t>
            </w:r>
          </w:p>
        </w:tc>
        <w:tc>
          <w:tcPr>
            <w:tcW w:w="513" w:type="dxa"/>
          </w:tcPr>
          <w:p w14:paraId="57EE9662" w14:textId="0D4F5EC7" w:rsidR="004B2DCA" w:rsidRDefault="004B2DCA" w:rsidP="00780046">
            <w:pPr>
              <w:pStyle w:val="Tekstpodstawowy"/>
              <w:spacing w:beforeLines="20" w:before="48" w:afterLines="20" w:after="48"/>
              <w:jc w:val="center"/>
            </w:pPr>
            <w:r>
              <w:t>18</w:t>
            </w:r>
          </w:p>
        </w:tc>
      </w:tr>
      <w:tr w:rsidR="004B2DCA" w14:paraId="1DB51A51" w14:textId="77777777" w:rsidTr="00780046">
        <w:trPr>
          <w:trHeight w:val="454"/>
        </w:trPr>
        <w:tc>
          <w:tcPr>
            <w:tcW w:w="1271" w:type="dxa"/>
            <w:shd w:val="clear" w:color="auto" w:fill="F2F2F2" w:themeFill="background1" w:themeFillShade="F2"/>
          </w:tcPr>
          <w:p w14:paraId="452B4097" w14:textId="1DA76CAB" w:rsidR="004B2DCA" w:rsidRDefault="004B2DCA" w:rsidP="00780046">
            <w:pPr>
              <w:pStyle w:val="Tekstpodstawowy"/>
              <w:spacing w:beforeLines="20" w:before="48" w:afterLines="20" w:after="48"/>
            </w:pPr>
            <w:r>
              <w:t>Portugal</w:t>
            </w:r>
          </w:p>
        </w:tc>
        <w:tc>
          <w:tcPr>
            <w:tcW w:w="513" w:type="dxa"/>
          </w:tcPr>
          <w:p w14:paraId="2759BC32" w14:textId="6ED0BB23" w:rsidR="004B2DCA" w:rsidRDefault="00534BAE" w:rsidP="00780046">
            <w:pPr>
              <w:pStyle w:val="Tekstpodstawowy"/>
              <w:spacing w:beforeLines="20" w:before="48" w:afterLines="20" w:after="48"/>
              <w:jc w:val="center"/>
            </w:pPr>
            <w:r>
              <w:t>-</w:t>
            </w:r>
          </w:p>
        </w:tc>
        <w:tc>
          <w:tcPr>
            <w:tcW w:w="513" w:type="dxa"/>
          </w:tcPr>
          <w:p w14:paraId="5C6BD272" w14:textId="58A80E99" w:rsidR="004B2DCA" w:rsidRDefault="00534BAE" w:rsidP="00780046">
            <w:pPr>
              <w:pStyle w:val="Tekstpodstawowy"/>
              <w:spacing w:beforeLines="20" w:before="48" w:afterLines="20" w:after="48"/>
              <w:jc w:val="center"/>
            </w:pPr>
            <w:r>
              <w:t>-</w:t>
            </w:r>
          </w:p>
        </w:tc>
        <w:tc>
          <w:tcPr>
            <w:tcW w:w="513" w:type="dxa"/>
          </w:tcPr>
          <w:p w14:paraId="2F753522" w14:textId="4244D82D" w:rsidR="004B2DCA" w:rsidRDefault="00534BAE" w:rsidP="00780046">
            <w:pPr>
              <w:pStyle w:val="Tekstpodstawowy"/>
              <w:spacing w:beforeLines="20" w:before="48" w:afterLines="20" w:after="48"/>
              <w:jc w:val="center"/>
            </w:pPr>
            <w:r>
              <w:t>-</w:t>
            </w:r>
          </w:p>
        </w:tc>
        <w:tc>
          <w:tcPr>
            <w:tcW w:w="513" w:type="dxa"/>
          </w:tcPr>
          <w:p w14:paraId="3E842B66" w14:textId="08B52E3C" w:rsidR="004B2DCA" w:rsidRDefault="004B2DCA" w:rsidP="00780046">
            <w:pPr>
              <w:pStyle w:val="Tekstpodstawowy"/>
              <w:spacing w:beforeLines="20" w:before="48" w:afterLines="20" w:after="48"/>
              <w:jc w:val="center"/>
            </w:pPr>
            <w:r>
              <w:t>-</w:t>
            </w:r>
          </w:p>
        </w:tc>
        <w:tc>
          <w:tcPr>
            <w:tcW w:w="513" w:type="dxa"/>
          </w:tcPr>
          <w:p w14:paraId="6F81BDEC" w14:textId="29BB7B0E" w:rsidR="004B2DCA" w:rsidRDefault="004B2DCA" w:rsidP="00780046">
            <w:pPr>
              <w:pStyle w:val="Tekstpodstawowy"/>
              <w:spacing w:beforeLines="20" w:before="48" w:afterLines="20" w:after="48"/>
              <w:jc w:val="center"/>
            </w:pPr>
            <w:r>
              <w:t>-</w:t>
            </w:r>
          </w:p>
        </w:tc>
        <w:tc>
          <w:tcPr>
            <w:tcW w:w="513" w:type="dxa"/>
          </w:tcPr>
          <w:p w14:paraId="5F5FE6B7" w14:textId="47120FCC" w:rsidR="004B2DCA" w:rsidRDefault="004B2DCA" w:rsidP="00780046">
            <w:pPr>
              <w:pStyle w:val="Tekstpodstawowy"/>
              <w:spacing w:beforeLines="20" w:before="48" w:afterLines="20" w:after="48"/>
              <w:jc w:val="center"/>
            </w:pPr>
            <w:r>
              <w:t>-</w:t>
            </w:r>
          </w:p>
        </w:tc>
        <w:tc>
          <w:tcPr>
            <w:tcW w:w="513" w:type="dxa"/>
          </w:tcPr>
          <w:p w14:paraId="7D22EE8A" w14:textId="387F3CCD" w:rsidR="004B2DCA" w:rsidRDefault="006C477D" w:rsidP="00780046">
            <w:pPr>
              <w:pStyle w:val="Tekstpodstawowy"/>
              <w:spacing w:beforeLines="20" w:before="48" w:afterLines="20" w:after="48"/>
              <w:jc w:val="center"/>
            </w:pPr>
            <w:r>
              <w:t>-</w:t>
            </w:r>
          </w:p>
        </w:tc>
        <w:tc>
          <w:tcPr>
            <w:tcW w:w="513" w:type="dxa"/>
          </w:tcPr>
          <w:p w14:paraId="40263232" w14:textId="4BD04266" w:rsidR="004B2DCA" w:rsidRDefault="00B436BD" w:rsidP="00780046">
            <w:pPr>
              <w:pStyle w:val="Tekstpodstawowy"/>
              <w:spacing w:beforeLines="20" w:before="48" w:afterLines="20" w:after="48"/>
              <w:jc w:val="center"/>
            </w:pPr>
            <w:r>
              <w:t>22</w:t>
            </w:r>
          </w:p>
        </w:tc>
        <w:tc>
          <w:tcPr>
            <w:tcW w:w="513" w:type="dxa"/>
          </w:tcPr>
          <w:p w14:paraId="146090FE" w14:textId="79C3A700" w:rsidR="004B2DCA" w:rsidRDefault="009E4270" w:rsidP="00780046">
            <w:pPr>
              <w:pStyle w:val="Tekstpodstawowy"/>
              <w:spacing w:beforeLines="20" w:before="48" w:afterLines="20" w:after="48"/>
              <w:jc w:val="center"/>
            </w:pPr>
            <w:r>
              <w:t>-</w:t>
            </w:r>
          </w:p>
        </w:tc>
        <w:tc>
          <w:tcPr>
            <w:tcW w:w="513" w:type="dxa"/>
          </w:tcPr>
          <w:p w14:paraId="57A7182B" w14:textId="7EFC6692" w:rsidR="004B2DCA" w:rsidRDefault="009E4270" w:rsidP="00780046">
            <w:pPr>
              <w:pStyle w:val="Tekstpodstawowy"/>
              <w:spacing w:beforeLines="20" w:before="48" w:afterLines="20" w:after="48"/>
              <w:jc w:val="center"/>
            </w:pPr>
            <w:r>
              <w:t>21</w:t>
            </w:r>
          </w:p>
        </w:tc>
        <w:tc>
          <w:tcPr>
            <w:tcW w:w="513" w:type="dxa"/>
          </w:tcPr>
          <w:p w14:paraId="405716CB" w14:textId="1B3F37C2" w:rsidR="004B2DCA" w:rsidRDefault="004B2DCA" w:rsidP="00780046">
            <w:pPr>
              <w:pStyle w:val="Tekstpodstawowy"/>
              <w:spacing w:beforeLines="20" w:before="48" w:afterLines="20" w:after="48"/>
              <w:jc w:val="center"/>
            </w:pPr>
            <w:r>
              <w:t>20</w:t>
            </w:r>
          </w:p>
        </w:tc>
        <w:tc>
          <w:tcPr>
            <w:tcW w:w="513" w:type="dxa"/>
          </w:tcPr>
          <w:p w14:paraId="6812362C" w14:textId="778FF08B" w:rsidR="004B2DCA" w:rsidRDefault="004B2DCA" w:rsidP="00780046">
            <w:pPr>
              <w:pStyle w:val="Tekstpodstawowy"/>
              <w:spacing w:beforeLines="20" w:before="48" w:afterLines="20" w:after="48"/>
              <w:jc w:val="center"/>
            </w:pPr>
            <w:r>
              <w:t>19</w:t>
            </w:r>
          </w:p>
        </w:tc>
      </w:tr>
      <w:tr w:rsidR="004B2DCA" w14:paraId="4768AD87" w14:textId="77777777" w:rsidTr="00780046">
        <w:trPr>
          <w:trHeight w:val="454"/>
        </w:trPr>
        <w:tc>
          <w:tcPr>
            <w:tcW w:w="1271" w:type="dxa"/>
            <w:shd w:val="clear" w:color="auto" w:fill="F2F2F2" w:themeFill="background1" w:themeFillShade="F2"/>
          </w:tcPr>
          <w:p w14:paraId="396DD440" w14:textId="34A2A065" w:rsidR="004B2DCA" w:rsidRDefault="004B2DCA" w:rsidP="00780046">
            <w:pPr>
              <w:pStyle w:val="Tekstpodstawowy"/>
              <w:spacing w:beforeLines="20" w:before="48" w:afterLines="20" w:after="48"/>
            </w:pPr>
            <w:r>
              <w:t>Austria</w:t>
            </w:r>
          </w:p>
        </w:tc>
        <w:tc>
          <w:tcPr>
            <w:tcW w:w="513" w:type="dxa"/>
          </w:tcPr>
          <w:p w14:paraId="45747730" w14:textId="77777777" w:rsidR="004B2DCA" w:rsidRDefault="004B2DCA" w:rsidP="00780046">
            <w:pPr>
              <w:pStyle w:val="Tekstpodstawowy"/>
              <w:spacing w:beforeLines="20" w:before="48" w:afterLines="20" w:after="48"/>
              <w:jc w:val="center"/>
            </w:pPr>
          </w:p>
        </w:tc>
        <w:tc>
          <w:tcPr>
            <w:tcW w:w="513" w:type="dxa"/>
          </w:tcPr>
          <w:p w14:paraId="37930BDF" w14:textId="77777777" w:rsidR="004B2DCA" w:rsidRDefault="004B2DCA" w:rsidP="00780046">
            <w:pPr>
              <w:pStyle w:val="Tekstpodstawowy"/>
              <w:spacing w:beforeLines="20" w:before="48" w:afterLines="20" w:after="48"/>
              <w:jc w:val="center"/>
            </w:pPr>
          </w:p>
        </w:tc>
        <w:tc>
          <w:tcPr>
            <w:tcW w:w="513" w:type="dxa"/>
          </w:tcPr>
          <w:p w14:paraId="1F3B42BB" w14:textId="77777777" w:rsidR="004B2DCA" w:rsidRDefault="004B2DCA" w:rsidP="00780046">
            <w:pPr>
              <w:pStyle w:val="Tekstpodstawowy"/>
              <w:spacing w:beforeLines="20" w:before="48" w:afterLines="20" w:after="48"/>
              <w:jc w:val="center"/>
            </w:pPr>
          </w:p>
        </w:tc>
        <w:tc>
          <w:tcPr>
            <w:tcW w:w="513" w:type="dxa"/>
          </w:tcPr>
          <w:p w14:paraId="3F7BB5CF" w14:textId="575E7FA5" w:rsidR="004B2DCA" w:rsidRDefault="004B2DCA" w:rsidP="00780046">
            <w:pPr>
              <w:pStyle w:val="Tekstpodstawowy"/>
              <w:spacing w:beforeLines="20" w:before="48" w:afterLines="20" w:after="48"/>
              <w:jc w:val="center"/>
            </w:pPr>
            <w:r>
              <w:t>-</w:t>
            </w:r>
          </w:p>
        </w:tc>
        <w:tc>
          <w:tcPr>
            <w:tcW w:w="513" w:type="dxa"/>
          </w:tcPr>
          <w:p w14:paraId="07FA90AF" w14:textId="2C9D258A" w:rsidR="004B2DCA" w:rsidRDefault="004B2DCA" w:rsidP="00780046">
            <w:pPr>
              <w:pStyle w:val="Tekstpodstawowy"/>
              <w:spacing w:beforeLines="20" w:before="48" w:afterLines="20" w:after="48"/>
              <w:jc w:val="center"/>
            </w:pPr>
            <w:r>
              <w:t>21</w:t>
            </w:r>
          </w:p>
        </w:tc>
        <w:tc>
          <w:tcPr>
            <w:tcW w:w="513" w:type="dxa"/>
          </w:tcPr>
          <w:p w14:paraId="328D2BD1" w14:textId="2F7B59FF" w:rsidR="004B2DCA" w:rsidRDefault="004B2DCA" w:rsidP="00780046">
            <w:pPr>
              <w:pStyle w:val="Tekstpodstawowy"/>
              <w:spacing w:beforeLines="20" w:before="48" w:afterLines="20" w:after="48"/>
              <w:jc w:val="center"/>
            </w:pPr>
            <w:r>
              <w:t>24</w:t>
            </w:r>
          </w:p>
        </w:tc>
        <w:tc>
          <w:tcPr>
            <w:tcW w:w="513" w:type="dxa"/>
          </w:tcPr>
          <w:p w14:paraId="6CD6CB23" w14:textId="25FCA24D" w:rsidR="004B2DCA" w:rsidRDefault="00E73836" w:rsidP="00780046">
            <w:pPr>
              <w:pStyle w:val="Tekstpodstawowy"/>
              <w:spacing w:beforeLines="20" w:before="48" w:afterLines="20" w:after="48"/>
              <w:jc w:val="center"/>
            </w:pPr>
            <w:r>
              <w:t>24</w:t>
            </w:r>
          </w:p>
        </w:tc>
        <w:tc>
          <w:tcPr>
            <w:tcW w:w="513" w:type="dxa"/>
          </w:tcPr>
          <w:p w14:paraId="073BF23B" w14:textId="3276E85C" w:rsidR="004B2DCA" w:rsidRDefault="0072306E" w:rsidP="00780046">
            <w:pPr>
              <w:pStyle w:val="Tekstpodstawowy"/>
              <w:spacing w:beforeLines="20" w:before="48" w:afterLines="20" w:after="48"/>
              <w:jc w:val="center"/>
            </w:pPr>
            <w:r>
              <w:t>-</w:t>
            </w:r>
          </w:p>
        </w:tc>
        <w:tc>
          <w:tcPr>
            <w:tcW w:w="513" w:type="dxa"/>
          </w:tcPr>
          <w:p w14:paraId="21C8864B" w14:textId="16BCCCEB" w:rsidR="004B2DCA" w:rsidRDefault="0072306E" w:rsidP="00780046">
            <w:pPr>
              <w:pStyle w:val="Tekstpodstawowy"/>
              <w:spacing w:beforeLines="20" w:before="48" w:afterLines="20" w:after="48"/>
              <w:jc w:val="center"/>
            </w:pPr>
            <w:r>
              <w:t>-</w:t>
            </w:r>
          </w:p>
        </w:tc>
        <w:tc>
          <w:tcPr>
            <w:tcW w:w="513" w:type="dxa"/>
          </w:tcPr>
          <w:p w14:paraId="24D4C251" w14:textId="342849CA" w:rsidR="004B2DCA" w:rsidRDefault="0072306E" w:rsidP="00780046">
            <w:pPr>
              <w:pStyle w:val="Tekstpodstawowy"/>
              <w:spacing w:beforeLines="20" w:before="48" w:afterLines="20" w:after="48"/>
              <w:jc w:val="center"/>
            </w:pPr>
            <w:r>
              <w:t>-</w:t>
            </w:r>
          </w:p>
        </w:tc>
        <w:tc>
          <w:tcPr>
            <w:tcW w:w="513" w:type="dxa"/>
          </w:tcPr>
          <w:p w14:paraId="112F5374" w14:textId="1E1F12D3" w:rsidR="004B2DCA" w:rsidRDefault="004B2DCA" w:rsidP="00780046">
            <w:pPr>
              <w:pStyle w:val="Tekstpodstawowy"/>
              <w:spacing w:beforeLines="20" w:before="48" w:afterLines="20" w:after="48"/>
              <w:jc w:val="center"/>
            </w:pPr>
            <w:r>
              <w:t>19</w:t>
            </w:r>
          </w:p>
        </w:tc>
        <w:tc>
          <w:tcPr>
            <w:tcW w:w="513" w:type="dxa"/>
          </w:tcPr>
          <w:p w14:paraId="5FA13B31" w14:textId="319E4772" w:rsidR="004B2DCA" w:rsidRDefault="004B2DCA" w:rsidP="00780046">
            <w:pPr>
              <w:pStyle w:val="Tekstpodstawowy"/>
              <w:spacing w:beforeLines="20" w:before="48" w:afterLines="20" w:after="48"/>
              <w:jc w:val="center"/>
            </w:pPr>
            <w:r>
              <w:t>20</w:t>
            </w:r>
          </w:p>
        </w:tc>
      </w:tr>
    </w:tbl>
    <w:p w14:paraId="69979326" w14:textId="018C72D7" w:rsidR="00867B05" w:rsidRPr="00732A25" w:rsidRDefault="00780046" w:rsidP="00732A25">
      <w:pPr>
        <w:pStyle w:val="Tekstpodstawowy"/>
        <w:rPr>
          <w:sz w:val="16"/>
          <w:szCs w:val="16"/>
        </w:rPr>
      </w:pPr>
      <w:r w:rsidRPr="00732A25">
        <w:rPr>
          <w:sz w:val="16"/>
          <w:szCs w:val="16"/>
        </w:rPr>
        <w:t>Source: Kearney FDI Confidence Indices 2010</w:t>
      </w:r>
      <w:r w:rsidR="00556791">
        <w:rPr>
          <w:rFonts w:cs="Arial"/>
          <w:sz w:val="16"/>
          <w:szCs w:val="16"/>
        </w:rPr>
        <w:t>–</w:t>
      </w:r>
      <w:r w:rsidRPr="00732A25">
        <w:rPr>
          <w:sz w:val="16"/>
          <w:szCs w:val="16"/>
        </w:rPr>
        <w:t>2020</w:t>
      </w:r>
      <w:r w:rsidRPr="00FE4313">
        <w:rPr>
          <w:rStyle w:val="Odwoanieprzypisudolnego"/>
          <w:szCs w:val="16"/>
        </w:rPr>
        <w:footnoteReference w:id="245"/>
      </w:r>
    </w:p>
    <w:p w14:paraId="111E19C0" w14:textId="0C33D14F" w:rsidR="005870D5" w:rsidRDefault="00C55994" w:rsidP="00D53D69">
      <w:pPr>
        <w:pStyle w:val="Nagwek4"/>
      </w:pPr>
      <w:r>
        <w:lastRenderedPageBreak/>
        <w:t xml:space="preserve">Investment </w:t>
      </w:r>
      <w:bookmarkEnd w:id="222"/>
      <w:r w:rsidR="00B6717B">
        <w:t>case studies and additional contributions</w:t>
      </w:r>
    </w:p>
    <w:p w14:paraId="128BE230" w14:textId="647659C7" w:rsidR="00B6717B" w:rsidRDefault="00697662" w:rsidP="00B6717B">
      <w:pPr>
        <w:pStyle w:val="Tekstpodstawowy"/>
      </w:pPr>
      <w:r>
        <w:t xml:space="preserve">The interview programme was structured around a series of case-study based interviews </w:t>
      </w:r>
      <w:r w:rsidR="00084483">
        <w:t xml:space="preserve">with senior executives at pharmaceutical companies, listed below in </w:t>
      </w:r>
      <w:r w:rsidR="00084483">
        <w:fldChar w:fldCharType="begin"/>
      </w:r>
      <w:r w:rsidR="00084483">
        <w:instrText xml:space="preserve"> REF _Ref106361778 \h </w:instrText>
      </w:r>
      <w:r w:rsidR="00084483">
        <w:fldChar w:fldCharType="separate"/>
      </w:r>
      <w:r w:rsidR="00084483">
        <w:t xml:space="preserve">Table </w:t>
      </w:r>
      <w:r w:rsidR="00084483">
        <w:rPr>
          <w:noProof/>
        </w:rPr>
        <w:t>4</w:t>
      </w:r>
      <w:r w:rsidR="00084483">
        <w:fldChar w:fldCharType="end"/>
      </w:r>
      <w:r w:rsidR="00084483">
        <w:t>.</w:t>
      </w:r>
    </w:p>
    <w:p w14:paraId="1C4E7683" w14:textId="49F7E811" w:rsidR="0032470F" w:rsidRDefault="0032470F" w:rsidP="00B6717B">
      <w:pPr>
        <w:pStyle w:val="Tekstpodstawowy"/>
      </w:pPr>
      <w:r>
        <w:t xml:space="preserve">Additional </w:t>
      </w:r>
      <w:r w:rsidR="007A2C5A">
        <w:t>non-case-study based discussions were held with a number of individual companies and trade associations, which also fed into the development of the report</w:t>
      </w:r>
      <w:r w:rsidR="00431785">
        <w:t>, including</w:t>
      </w:r>
      <w:r w:rsidR="007A2C5A">
        <w:t>:</w:t>
      </w:r>
    </w:p>
    <w:p w14:paraId="1A8A49BD" w14:textId="0D7F66E5" w:rsidR="0032470F" w:rsidRDefault="0032470F" w:rsidP="0032470F">
      <w:pPr>
        <w:pStyle w:val="Tekstpodstawowy"/>
        <w:numPr>
          <w:ilvl w:val="0"/>
          <w:numId w:val="179"/>
        </w:numPr>
      </w:pPr>
      <w:r>
        <w:t>Johnson &amp; Johnson</w:t>
      </w:r>
      <w:r w:rsidR="00F1413E">
        <w:t xml:space="preserve"> (J&amp;J)</w:t>
      </w:r>
    </w:p>
    <w:p w14:paraId="187464F5" w14:textId="74A1949C" w:rsidR="007A2C5A" w:rsidRDefault="00F1413E" w:rsidP="0032470F">
      <w:pPr>
        <w:pStyle w:val="Tekstpodstawowy"/>
        <w:numPr>
          <w:ilvl w:val="0"/>
          <w:numId w:val="179"/>
        </w:numPr>
      </w:pPr>
      <w:r>
        <w:t xml:space="preserve">The Association of </w:t>
      </w:r>
      <w:r w:rsidR="005C4E74">
        <w:t>the British Pharmaceutical Industry (ABPI)</w:t>
      </w:r>
    </w:p>
    <w:p w14:paraId="5514F11E" w14:textId="74B6874C" w:rsidR="00962BA4" w:rsidRPr="00B6717B" w:rsidRDefault="00962BA4" w:rsidP="000A2E03">
      <w:pPr>
        <w:pStyle w:val="Tekstpodstawowy"/>
        <w:numPr>
          <w:ilvl w:val="0"/>
          <w:numId w:val="179"/>
        </w:numPr>
      </w:pPr>
      <w:r>
        <w:t>Pharmaceutical Research and Manufacturers of America (PhRMA)</w:t>
      </w:r>
    </w:p>
    <w:p w14:paraId="4ACE8A8E" w14:textId="3AF17E98" w:rsidR="005870D5" w:rsidRDefault="005870D5" w:rsidP="005870D5">
      <w:pPr>
        <w:pStyle w:val="Legenda"/>
      </w:pPr>
      <w:bookmarkStart w:id="225" w:name="_Ref106361778"/>
      <w:bookmarkStart w:id="226" w:name="_Toc115717817"/>
      <w:r>
        <w:t xml:space="preserve">Table </w:t>
      </w:r>
      <w:r w:rsidRPr="000A2E03">
        <w:fldChar w:fldCharType="begin"/>
      </w:r>
      <w:r>
        <w:instrText xml:space="preserve"> SEQ Table \* ARABIC </w:instrText>
      </w:r>
      <w:r w:rsidRPr="000A2E03">
        <w:fldChar w:fldCharType="separate"/>
      </w:r>
      <w:r w:rsidR="00A35E91">
        <w:rPr>
          <w:noProof/>
        </w:rPr>
        <w:t>4</w:t>
      </w:r>
      <w:r w:rsidRPr="000A2E03">
        <w:fldChar w:fldCharType="end"/>
      </w:r>
      <w:bookmarkEnd w:id="225"/>
      <w:r>
        <w:t xml:space="preserve">: </w:t>
      </w:r>
      <w:r w:rsidR="00046E1D">
        <w:t>Sixteen</w:t>
      </w:r>
      <w:r w:rsidR="009560C5">
        <w:t xml:space="preserve"> biopharmaceutical</w:t>
      </w:r>
      <w:r w:rsidR="000D09DA">
        <w:t xml:space="preserve"> </w:t>
      </w:r>
      <w:r w:rsidR="009560C5">
        <w:t>investment case studies were reviewed during the interview programme</w:t>
      </w:r>
      <w:bookmarkEnd w:id="226"/>
    </w:p>
    <w:tbl>
      <w:tblPr>
        <w:tblStyle w:val="Tabela-Siatka"/>
        <w:tblW w:w="0" w:type="auto"/>
        <w:tblLook w:val="04A0" w:firstRow="1" w:lastRow="0" w:firstColumn="1" w:lastColumn="0" w:noHBand="0" w:noVBand="1"/>
      </w:tblPr>
      <w:tblGrid>
        <w:gridCol w:w="1555"/>
        <w:gridCol w:w="5480"/>
        <w:gridCol w:w="905"/>
      </w:tblGrid>
      <w:tr w:rsidR="005870D5" w14:paraId="34CEC5C5" w14:textId="77777777" w:rsidTr="00714C8B">
        <w:tc>
          <w:tcPr>
            <w:tcW w:w="7940" w:type="dxa"/>
            <w:gridSpan w:val="3"/>
            <w:shd w:val="clear" w:color="auto" w:fill="0073AE" w:themeFill="accent1"/>
          </w:tcPr>
          <w:p w14:paraId="70A63F14" w14:textId="2EDE6474" w:rsidR="005870D5" w:rsidRPr="002E3320" w:rsidRDefault="005870D5" w:rsidP="00714C8B">
            <w:pPr>
              <w:pStyle w:val="Tekstpodstawowy"/>
              <w:spacing w:beforeLines="20" w:before="48" w:afterLines="20" w:after="48" w:line="192" w:lineRule="auto"/>
              <w:jc w:val="center"/>
              <w:rPr>
                <w:b/>
                <w:bCs/>
              </w:rPr>
            </w:pPr>
            <w:r>
              <w:rPr>
                <w:b/>
                <w:bCs/>
                <w:color w:val="FFFFFF" w:themeColor="background1"/>
              </w:rPr>
              <w:t xml:space="preserve">1. </w:t>
            </w:r>
            <w:r w:rsidRPr="002E3320">
              <w:rPr>
                <w:b/>
                <w:bCs/>
                <w:color w:val="FFFFFF" w:themeColor="background1"/>
              </w:rPr>
              <w:t>R</w:t>
            </w:r>
            <w:r>
              <w:rPr>
                <w:b/>
                <w:bCs/>
                <w:color w:val="FFFFFF" w:themeColor="background1"/>
              </w:rPr>
              <w:t>esearch</w:t>
            </w:r>
            <w:r w:rsidRPr="002E3320">
              <w:rPr>
                <w:b/>
                <w:bCs/>
                <w:color w:val="FFFFFF" w:themeColor="background1"/>
              </w:rPr>
              <w:t xml:space="preserve"> investment case studies</w:t>
            </w:r>
          </w:p>
        </w:tc>
      </w:tr>
      <w:tr w:rsidR="005870D5" w14:paraId="5DA688F8" w14:textId="77777777" w:rsidTr="00714C8B">
        <w:tc>
          <w:tcPr>
            <w:tcW w:w="7940" w:type="dxa"/>
            <w:gridSpan w:val="3"/>
            <w:shd w:val="clear" w:color="auto" w:fill="C0C0C0" w:themeFill="text2"/>
          </w:tcPr>
          <w:p w14:paraId="7B85F8CB" w14:textId="77777777" w:rsidR="005870D5" w:rsidRPr="002E3320" w:rsidRDefault="005870D5" w:rsidP="00714C8B">
            <w:pPr>
              <w:pStyle w:val="Tekstpodstawowy"/>
              <w:spacing w:beforeLines="20" w:before="48" w:afterLines="20" w:after="48" w:line="192" w:lineRule="auto"/>
              <w:rPr>
                <w:b/>
                <w:bCs/>
              </w:rPr>
            </w:pPr>
            <w:r w:rsidRPr="00FC693C">
              <w:rPr>
                <w:b/>
                <w:bCs/>
                <w:color w:val="FFFFFF" w:themeColor="background1"/>
              </w:rPr>
              <w:t>European companies investing in Europe</w:t>
            </w:r>
          </w:p>
        </w:tc>
      </w:tr>
      <w:tr w:rsidR="005870D5" w14:paraId="16EDCB37" w14:textId="77777777" w:rsidTr="000A2E03">
        <w:tc>
          <w:tcPr>
            <w:tcW w:w="1555" w:type="dxa"/>
            <w:shd w:val="clear" w:color="auto" w:fill="E5E5E5" w:themeFill="text2" w:themeFillTint="66"/>
          </w:tcPr>
          <w:p w14:paraId="58E16A6F" w14:textId="77777777" w:rsidR="005870D5" w:rsidRPr="00FC693C" w:rsidRDefault="005870D5" w:rsidP="00714C8B">
            <w:pPr>
              <w:pStyle w:val="Tekstpodstawowy"/>
              <w:spacing w:beforeLines="20" w:before="48" w:afterLines="20" w:after="48" w:line="192" w:lineRule="auto"/>
              <w:rPr>
                <w:b/>
                <w:bCs/>
                <w:i/>
                <w:iCs/>
              </w:rPr>
            </w:pPr>
            <w:r w:rsidRPr="00FC693C">
              <w:rPr>
                <w:b/>
                <w:bCs/>
                <w:i/>
                <w:iCs/>
              </w:rPr>
              <w:t>Company</w:t>
            </w:r>
          </w:p>
        </w:tc>
        <w:tc>
          <w:tcPr>
            <w:tcW w:w="5480" w:type="dxa"/>
            <w:shd w:val="clear" w:color="auto" w:fill="E5E5E5" w:themeFill="text2" w:themeFillTint="66"/>
          </w:tcPr>
          <w:p w14:paraId="5ABD0415" w14:textId="77777777" w:rsidR="005870D5" w:rsidRPr="00FC693C" w:rsidRDefault="005870D5" w:rsidP="00714C8B">
            <w:pPr>
              <w:pStyle w:val="Tekstpodstawowy"/>
              <w:spacing w:beforeLines="20" w:before="48" w:afterLines="20" w:after="48" w:line="192" w:lineRule="auto"/>
              <w:rPr>
                <w:b/>
                <w:bCs/>
                <w:i/>
                <w:iCs/>
              </w:rPr>
            </w:pPr>
            <w:r w:rsidRPr="00FC693C">
              <w:rPr>
                <w:b/>
                <w:bCs/>
                <w:i/>
                <w:iCs/>
              </w:rPr>
              <w:t>Case study</w:t>
            </w:r>
          </w:p>
        </w:tc>
        <w:tc>
          <w:tcPr>
            <w:tcW w:w="905" w:type="dxa"/>
            <w:shd w:val="clear" w:color="auto" w:fill="E5E5E5" w:themeFill="text2" w:themeFillTint="66"/>
          </w:tcPr>
          <w:p w14:paraId="205278B7" w14:textId="77777777" w:rsidR="005870D5" w:rsidRPr="00FC693C" w:rsidRDefault="005870D5" w:rsidP="00714C8B">
            <w:pPr>
              <w:pStyle w:val="Tekstpodstawowy"/>
              <w:spacing w:beforeLines="20" w:before="48" w:afterLines="20" w:after="48" w:line="192" w:lineRule="auto"/>
              <w:jc w:val="center"/>
              <w:rPr>
                <w:b/>
                <w:bCs/>
                <w:i/>
                <w:iCs/>
              </w:rPr>
            </w:pPr>
            <w:r w:rsidRPr="00FC693C">
              <w:rPr>
                <w:b/>
                <w:bCs/>
                <w:i/>
                <w:iCs/>
              </w:rPr>
              <w:t>Source</w:t>
            </w:r>
          </w:p>
        </w:tc>
      </w:tr>
      <w:tr w:rsidR="005870D5" w14:paraId="1603468D" w14:textId="77777777" w:rsidTr="000A2E03">
        <w:tc>
          <w:tcPr>
            <w:tcW w:w="1555" w:type="dxa"/>
            <w:shd w:val="clear" w:color="auto" w:fill="auto"/>
          </w:tcPr>
          <w:p w14:paraId="3B99C271" w14:textId="77777777" w:rsidR="005870D5" w:rsidRPr="00882721" w:rsidRDefault="005870D5" w:rsidP="00714C8B">
            <w:pPr>
              <w:pStyle w:val="Tekstpodstawowy"/>
              <w:spacing w:beforeLines="20" w:before="48" w:afterLines="20" w:after="48" w:line="192" w:lineRule="auto"/>
            </w:pPr>
            <w:r w:rsidRPr="00882721">
              <w:t>Roche</w:t>
            </w:r>
          </w:p>
        </w:tc>
        <w:tc>
          <w:tcPr>
            <w:tcW w:w="5480" w:type="dxa"/>
            <w:shd w:val="clear" w:color="auto" w:fill="auto"/>
          </w:tcPr>
          <w:p w14:paraId="14C52B24" w14:textId="77777777" w:rsidR="005870D5" w:rsidRPr="00882721" w:rsidRDefault="005870D5" w:rsidP="00714C8B">
            <w:pPr>
              <w:pStyle w:val="Tekstpodstawowy"/>
              <w:spacing w:beforeLines="20" w:before="48" w:afterLines="20" w:after="48" w:line="192" w:lineRule="auto"/>
            </w:pPr>
            <w:r w:rsidRPr="00882721">
              <w:t>CHF 1.2 billion expansion of existing Basel R&amp;D site announced in 2020</w:t>
            </w:r>
          </w:p>
        </w:tc>
        <w:tc>
          <w:tcPr>
            <w:tcW w:w="905" w:type="dxa"/>
            <w:shd w:val="clear" w:color="auto" w:fill="auto"/>
          </w:tcPr>
          <w:p w14:paraId="6B14BF7E" w14:textId="77777777" w:rsidR="005870D5" w:rsidRPr="00882721" w:rsidRDefault="005870D5" w:rsidP="00714C8B">
            <w:pPr>
              <w:pStyle w:val="Tekstpodstawowy"/>
              <w:spacing w:beforeLines="20" w:before="48" w:afterLines="20" w:after="48" w:line="192" w:lineRule="auto"/>
              <w:jc w:val="center"/>
            </w:pPr>
            <w:r w:rsidRPr="00882721">
              <w:rPr>
                <w:rStyle w:val="Odwoanieprzypisudolnego"/>
              </w:rPr>
              <w:footnoteReference w:id="246"/>
            </w:r>
          </w:p>
        </w:tc>
      </w:tr>
      <w:tr w:rsidR="005870D5" w14:paraId="0131DFA1" w14:textId="77777777" w:rsidTr="000A2E03">
        <w:tc>
          <w:tcPr>
            <w:tcW w:w="1555" w:type="dxa"/>
            <w:shd w:val="clear" w:color="auto" w:fill="auto"/>
          </w:tcPr>
          <w:p w14:paraId="16B659C7" w14:textId="77777777" w:rsidR="005870D5" w:rsidRPr="00882721" w:rsidRDefault="005870D5" w:rsidP="00714C8B">
            <w:pPr>
              <w:pStyle w:val="Tekstpodstawowy"/>
              <w:spacing w:beforeLines="20" w:before="48" w:afterLines="20" w:after="48" w:line="192" w:lineRule="auto"/>
            </w:pPr>
            <w:r w:rsidRPr="00882721">
              <w:t>Roche</w:t>
            </w:r>
          </w:p>
        </w:tc>
        <w:tc>
          <w:tcPr>
            <w:tcW w:w="5480" w:type="dxa"/>
            <w:shd w:val="clear" w:color="auto" w:fill="auto"/>
          </w:tcPr>
          <w:p w14:paraId="6C9EF6DD" w14:textId="77777777" w:rsidR="005870D5" w:rsidRPr="00882721" w:rsidRDefault="005870D5" w:rsidP="00714C8B">
            <w:pPr>
              <w:pStyle w:val="Tekstpodstawowy"/>
              <w:spacing w:beforeLines="20" w:before="48" w:afterLines="20" w:after="48" w:line="192" w:lineRule="auto"/>
            </w:pPr>
            <w:r w:rsidRPr="00882721">
              <w:t>Global IT Centre in Poland with R&amp;D support capabilities, established 2004 and headcount expanded in 2018</w:t>
            </w:r>
          </w:p>
        </w:tc>
        <w:tc>
          <w:tcPr>
            <w:tcW w:w="905" w:type="dxa"/>
            <w:shd w:val="clear" w:color="auto" w:fill="auto"/>
          </w:tcPr>
          <w:p w14:paraId="297178BE" w14:textId="77777777" w:rsidR="005870D5" w:rsidRPr="00882721" w:rsidRDefault="005870D5" w:rsidP="00714C8B">
            <w:pPr>
              <w:pStyle w:val="Tekstpodstawowy"/>
              <w:spacing w:beforeLines="20" w:before="48" w:afterLines="20" w:after="48" w:line="192" w:lineRule="auto"/>
              <w:jc w:val="center"/>
            </w:pPr>
            <w:r w:rsidRPr="00882721">
              <w:rPr>
                <w:rStyle w:val="Odwoanieprzypisudolnego"/>
              </w:rPr>
              <w:footnoteReference w:id="247"/>
            </w:r>
          </w:p>
        </w:tc>
      </w:tr>
      <w:tr w:rsidR="005870D5" w14:paraId="513352BA" w14:textId="77777777" w:rsidTr="000A2E03">
        <w:tc>
          <w:tcPr>
            <w:tcW w:w="1555" w:type="dxa"/>
          </w:tcPr>
          <w:p w14:paraId="715CC55A" w14:textId="77777777" w:rsidR="005870D5" w:rsidRDefault="005870D5" w:rsidP="00714C8B">
            <w:pPr>
              <w:pStyle w:val="Tekstpodstawowy"/>
              <w:spacing w:beforeLines="20" w:before="48" w:afterLines="20" w:after="48" w:line="192" w:lineRule="auto"/>
            </w:pPr>
            <w:r>
              <w:t xml:space="preserve">Merck </w:t>
            </w:r>
            <w:proofErr w:type="spellStart"/>
            <w:r>
              <w:t>KGaA</w:t>
            </w:r>
            <w:proofErr w:type="spellEnd"/>
          </w:p>
        </w:tc>
        <w:tc>
          <w:tcPr>
            <w:tcW w:w="5480" w:type="dxa"/>
          </w:tcPr>
          <w:p w14:paraId="0F0C11CC" w14:textId="77777777" w:rsidR="005870D5" w:rsidRDefault="005870D5" w:rsidP="00714C8B">
            <w:pPr>
              <w:pStyle w:val="Tekstpodstawowy"/>
              <w:spacing w:beforeLines="20" w:before="48" w:afterLines="20" w:after="48" w:line="192" w:lineRule="auto"/>
            </w:pPr>
            <w:r>
              <w:t>R&amp;D and Investigational Medicinal Product (IMP) biologic manufacturing site in Switzerland</w:t>
            </w:r>
          </w:p>
        </w:tc>
        <w:tc>
          <w:tcPr>
            <w:tcW w:w="905" w:type="dxa"/>
          </w:tcPr>
          <w:p w14:paraId="5D13871D" w14:textId="77777777" w:rsidR="005870D5" w:rsidRDefault="005870D5" w:rsidP="00714C8B">
            <w:pPr>
              <w:pStyle w:val="Tekstpodstawowy"/>
              <w:spacing w:beforeLines="20" w:before="48" w:afterLines="20" w:after="48" w:line="192" w:lineRule="auto"/>
              <w:jc w:val="center"/>
              <w:rPr>
                <w:rStyle w:val="Odwoanieprzypisudolnego"/>
              </w:rPr>
            </w:pPr>
            <w:r>
              <w:rPr>
                <w:rStyle w:val="Odwoanieprzypisudolnego"/>
              </w:rPr>
              <w:footnoteReference w:id="248"/>
            </w:r>
          </w:p>
        </w:tc>
      </w:tr>
      <w:tr w:rsidR="005870D5" w14:paraId="5A638016" w14:textId="77777777" w:rsidTr="00714C8B">
        <w:tc>
          <w:tcPr>
            <w:tcW w:w="7940" w:type="dxa"/>
            <w:gridSpan w:val="3"/>
            <w:shd w:val="clear" w:color="auto" w:fill="C0C0C0" w:themeFill="text2"/>
          </w:tcPr>
          <w:p w14:paraId="38F998B1" w14:textId="77777777" w:rsidR="005870D5" w:rsidRPr="002E3320" w:rsidRDefault="005870D5" w:rsidP="00714C8B">
            <w:pPr>
              <w:pStyle w:val="Tekstpodstawowy"/>
              <w:spacing w:beforeLines="20" w:before="48" w:afterLines="20" w:after="48" w:line="192" w:lineRule="auto"/>
              <w:rPr>
                <w:b/>
                <w:bCs/>
              </w:rPr>
            </w:pPr>
            <w:r w:rsidRPr="00FC693C">
              <w:rPr>
                <w:b/>
                <w:bCs/>
                <w:color w:val="FFFFFF" w:themeColor="background1"/>
              </w:rPr>
              <w:t>US companies investing in Europe</w:t>
            </w:r>
          </w:p>
        </w:tc>
      </w:tr>
      <w:tr w:rsidR="005870D5" w14:paraId="24ABF2A5" w14:textId="77777777" w:rsidTr="000A2E03">
        <w:tc>
          <w:tcPr>
            <w:tcW w:w="1555" w:type="dxa"/>
            <w:shd w:val="clear" w:color="auto" w:fill="auto"/>
          </w:tcPr>
          <w:p w14:paraId="3635B844" w14:textId="77777777" w:rsidR="005870D5" w:rsidRDefault="005870D5" w:rsidP="00714C8B">
            <w:pPr>
              <w:pStyle w:val="Tekstpodstawowy"/>
              <w:spacing w:beforeLines="20" w:before="48" w:afterLines="20" w:after="48" w:line="192" w:lineRule="auto"/>
            </w:pPr>
            <w:r>
              <w:t>MSD</w:t>
            </w:r>
          </w:p>
        </w:tc>
        <w:tc>
          <w:tcPr>
            <w:tcW w:w="5480" w:type="dxa"/>
            <w:shd w:val="clear" w:color="auto" w:fill="auto"/>
          </w:tcPr>
          <w:p w14:paraId="45EACE3D" w14:textId="77777777" w:rsidR="005870D5" w:rsidRDefault="005870D5" w:rsidP="00714C8B">
            <w:pPr>
              <w:pStyle w:val="Tekstpodstawowy"/>
              <w:spacing w:beforeLines="20" w:before="48" w:afterLines="20" w:after="48" w:line="192" w:lineRule="auto"/>
            </w:pPr>
            <w:r>
              <w:t>New central London R&amp;D site with investment of $1.3 billion; expected completion in 2025</w:t>
            </w:r>
          </w:p>
        </w:tc>
        <w:tc>
          <w:tcPr>
            <w:tcW w:w="905" w:type="dxa"/>
            <w:shd w:val="clear" w:color="auto" w:fill="auto"/>
          </w:tcPr>
          <w:p w14:paraId="5BF6C337" w14:textId="77777777" w:rsidR="005870D5" w:rsidRDefault="005870D5" w:rsidP="00714C8B">
            <w:pPr>
              <w:pStyle w:val="Tekstpodstawowy"/>
              <w:spacing w:beforeLines="20" w:before="48" w:afterLines="20" w:after="48" w:line="192" w:lineRule="auto"/>
              <w:jc w:val="center"/>
            </w:pPr>
            <w:r>
              <w:rPr>
                <w:rStyle w:val="Odwoanieprzypisudolnego"/>
              </w:rPr>
              <w:footnoteReference w:id="249"/>
            </w:r>
          </w:p>
        </w:tc>
      </w:tr>
      <w:tr w:rsidR="00882721" w14:paraId="0CF5B547" w14:textId="77777777" w:rsidTr="000A2E03">
        <w:tc>
          <w:tcPr>
            <w:tcW w:w="1555" w:type="dxa"/>
            <w:shd w:val="clear" w:color="auto" w:fill="auto"/>
          </w:tcPr>
          <w:p w14:paraId="7873029B" w14:textId="2ADCD3E9" w:rsidR="00882721" w:rsidRDefault="00882721" w:rsidP="00714C8B">
            <w:pPr>
              <w:pStyle w:val="Tekstpodstawowy"/>
              <w:spacing w:beforeLines="20" w:before="48" w:afterLines="20" w:after="48" w:line="192" w:lineRule="auto"/>
            </w:pPr>
            <w:r>
              <w:t>Moderna</w:t>
            </w:r>
          </w:p>
        </w:tc>
        <w:tc>
          <w:tcPr>
            <w:tcW w:w="5480" w:type="dxa"/>
            <w:shd w:val="clear" w:color="auto" w:fill="auto"/>
          </w:tcPr>
          <w:p w14:paraId="6F37E90B" w14:textId="10FB84A5" w:rsidR="00882721" w:rsidRDefault="00D24C28" w:rsidP="00714C8B">
            <w:pPr>
              <w:pStyle w:val="Tekstpodstawowy"/>
              <w:spacing w:beforeLines="20" w:before="48" w:afterLines="20" w:after="48" w:line="192" w:lineRule="auto"/>
            </w:pPr>
            <w:r>
              <w:t>Global mRNA research centre planned in the UK; deal reached with UK government also on manufacturing</w:t>
            </w:r>
          </w:p>
        </w:tc>
        <w:tc>
          <w:tcPr>
            <w:tcW w:w="905" w:type="dxa"/>
            <w:shd w:val="clear" w:color="auto" w:fill="auto"/>
          </w:tcPr>
          <w:p w14:paraId="4EF44B33" w14:textId="488B9DFF" w:rsidR="00882721" w:rsidRDefault="00334EC4" w:rsidP="00714C8B">
            <w:pPr>
              <w:pStyle w:val="Tekstpodstawowy"/>
              <w:spacing w:beforeLines="20" w:before="48" w:afterLines="20" w:after="48" w:line="192" w:lineRule="auto"/>
              <w:jc w:val="center"/>
              <w:rPr>
                <w:rStyle w:val="Odwoanieprzypisudolnego"/>
              </w:rPr>
            </w:pPr>
            <w:r>
              <w:rPr>
                <w:rStyle w:val="Odwoanieprzypisudolnego"/>
              </w:rPr>
              <w:footnoteReference w:id="250"/>
            </w:r>
          </w:p>
        </w:tc>
      </w:tr>
      <w:tr w:rsidR="005870D5" w14:paraId="50D9322E" w14:textId="77777777" w:rsidTr="00714C8B">
        <w:tc>
          <w:tcPr>
            <w:tcW w:w="7940" w:type="dxa"/>
            <w:gridSpan w:val="3"/>
            <w:shd w:val="clear" w:color="auto" w:fill="C0C0C0" w:themeFill="text2"/>
          </w:tcPr>
          <w:p w14:paraId="7388595D" w14:textId="77777777" w:rsidR="005870D5" w:rsidRPr="002E3320" w:rsidRDefault="005870D5" w:rsidP="00714C8B">
            <w:pPr>
              <w:pStyle w:val="Tekstpodstawowy"/>
              <w:spacing w:beforeLines="20" w:before="48" w:afterLines="20" w:after="48" w:line="192" w:lineRule="auto"/>
              <w:rPr>
                <w:b/>
                <w:bCs/>
              </w:rPr>
            </w:pPr>
            <w:r w:rsidRPr="002A661E">
              <w:rPr>
                <w:b/>
                <w:bCs/>
                <w:color w:val="FFFFFF" w:themeColor="background1"/>
              </w:rPr>
              <w:t>US and European companies investing in US</w:t>
            </w:r>
          </w:p>
        </w:tc>
      </w:tr>
      <w:tr w:rsidR="005870D5" w14:paraId="62E442A2" w14:textId="77777777" w:rsidTr="000A2E03">
        <w:tc>
          <w:tcPr>
            <w:tcW w:w="1555" w:type="dxa"/>
          </w:tcPr>
          <w:p w14:paraId="3766F00B" w14:textId="77777777" w:rsidR="005870D5" w:rsidRDefault="005870D5" w:rsidP="00714C8B">
            <w:pPr>
              <w:pStyle w:val="Tekstpodstawowy"/>
              <w:spacing w:beforeLines="20" w:before="48" w:afterLines="20" w:after="48" w:line="192" w:lineRule="auto"/>
            </w:pPr>
            <w:r>
              <w:t>Eli Lilly</w:t>
            </w:r>
          </w:p>
        </w:tc>
        <w:tc>
          <w:tcPr>
            <w:tcW w:w="5480" w:type="dxa"/>
          </w:tcPr>
          <w:p w14:paraId="0313ADF7" w14:textId="77777777" w:rsidR="005870D5" w:rsidRDefault="005870D5" w:rsidP="00714C8B">
            <w:pPr>
              <w:pStyle w:val="Tekstpodstawowy"/>
              <w:spacing w:beforeLines="20" w:before="48" w:afterLines="20" w:after="48" w:line="192" w:lineRule="auto"/>
            </w:pPr>
            <w:r>
              <w:t>$200 million gene therapy R&amp;D site (Lilly Institute for Genetic Medicine) established in Boston in 2022</w:t>
            </w:r>
          </w:p>
        </w:tc>
        <w:tc>
          <w:tcPr>
            <w:tcW w:w="905" w:type="dxa"/>
          </w:tcPr>
          <w:p w14:paraId="250599A6" w14:textId="77777777" w:rsidR="005870D5" w:rsidRDefault="005870D5" w:rsidP="00714C8B">
            <w:pPr>
              <w:pStyle w:val="Tekstpodstawowy"/>
              <w:spacing w:beforeLines="20" w:before="48" w:afterLines="20" w:after="48" w:line="192" w:lineRule="auto"/>
              <w:jc w:val="center"/>
            </w:pPr>
            <w:r>
              <w:rPr>
                <w:rStyle w:val="Odwoanieprzypisudolnego"/>
              </w:rPr>
              <w:footnoteReference w:id="251"/>
            </w:r>
          </w:p>
        </w:tc>
      </w:tr>
      <w:tr w:rsidR="005870D5" w14:paraId="49487E88" w14:textId="77777777" w:rsidTr="000A2E03">
        <w:tc>
          <w:tcPr>
            <w:tcW w:w="1555" w:type="dxa"/>
          </w:tcPr>
          <w:p w14:paraId="69DD1CB6" w14:textId="77777777" w:rsidR="005870D5" w:rsidRDefault="005870D5" w:rsidP="00714C8B">
            <w:pPr>
              <w:pStyle w:val="Tekstpodstawowy"/>
              <w:spacing w:beforeLines="20" w:before="48" w:afterLines="20" w:after="48" w:line="192" w:lineRule="auto"/>
            </w:pPr>
            <w:r>
              <w:t>Sanofi</w:t>
            </w:r>
          </w:p>
        </w:tc>
        <w:tc>
          <w:tcPr>
            <w:tcW w:w="5480" w:type="dxa"/>
          </w:tcPr>
          <w:p w14:paraId="62A3667B" w14:textId="77777777" w:rsidR="005870D5" w:rsidRDefault="005870D5" w:rsidP="00714C8B">
            <w:pPr>
              <w:pStyle w:val="Tekstpodstawowy"/>
              <w:spacing w:beforeLines="20" w:before="48" w:afterLines="20" w:after="48" w:line="192" w:lineRule="auto"/>
            </w:pPr>
            <w:r>
              <w:t>Combined €400 million annual investment in mRNA vaccine research in US and France sites</w:t>
            </w:r>
          </w:p>
        </w:tc>
        <w:tc>
          <w:tcPr>
            <w:tcW w:w="905" w:type="dxa"/>
          </w:tcPr>
          <w:p w14:paraId="319F59E5" w14:textId="77777777" w:rsidR="005870D5" w:rsidRDefault="005870D5" w:rsidP="00714C8B">
            <w:pPr>
              <w:pStyle w:val="Tekstpodstawowy"/>
              <w:spacing w:beforeLines="20" w:before="48" w:afterLines="20" w:after="48" w:line="192" w:lineRule="auto"/>
              <w:jc w:val="center"/>
            </w:pPr>
            <w:r>
              <w:rPr>
                <w:rStyle w:val="Odwoanieprzypisudolnego"/>
              </w:rPr>
              <w:footnoteReference w:id="252"/>
            </w:r>
          </w:p>
        </w:tc>
      </w:tr>
      <w:tr w:rsidR="005870D5" w14:paraId="76BEB557" w14:textId="77777777" w:rsidTr="00714C8B">
        <w:tc>
          <w:tcPr>
            <w:tcW w:w="7940" w:type="dxa"/>
            <w:gridSpan w:val="3"/>
            <w:shd w:val="clear" w:color="auto" w:fill="C0C0C0" w:themeFill="text2"/>
          </w:tcPr>
          <w:p w14:paraId="7D2B0729" w14:textId="77777777" w:rsidR="005870D5" w:rsidRPr="002E3320" w:rsidRDefault="005870D5" w:rsidP="00714C8B">
            <w:pPr>
              <w:pStyle w:val="Tekstpodstawowy"/>
              <w:spacing w:beforeLines="20" w:before="48" w:afterLines="20" w:after="48" w:line="192" w:lineRule="auto"/>
              <w:rPr>
                <w:b/>
                <w:bCs/>
              </w:rPr>
            </w:pPr>
            <w:r w:rsidRPr="002A661E">
              <w:rPr>
                <w:b/>
                <w:bCs/>
                <w:color w:val="FFFFFF" w:themeColor="background1"/>
              </w:rPr>
              <w:lastRenderedPageBreak/>
              <w:t>European companies investing in China</w:t>
            </w:r>
          </w:p>
        </w:tc>
      </w:tr>
      <w:tr w:rsidR="005870D5" w14:paraId="7409C007" w14:textId="77777777" w:rsidTr="000A2E03">
        <w:tc>
          <w:tcPr>
            <w:tcW w:w="1555" w:type="dxa"/>
          </w:tcPr>
          <w:p w14:paraId="0D3FB7C8" w14:textId="1EC74C38" w:rsidR="00721366" w:rsidRDefault="00721366" w:rsidP="00721366">
            <w:pPr>
              <w:pStyle w:val="Tekstpodstawowy"/>
              <w:spacing w:beforeLines="20" w:before="48" w:afterLines="20" w:after="48" w:line="192" w:lineRule="auto"/>
            </w:pPr>
            <w:r>
              <w:t>Sanofi</w:t>
            </w:r>
          </w:p>
        </w:tc>
        <w:tc>
          <w:tcPr>
            <w:tcW w:w="5480" w:type="dxa"/>
          </w:tcPr>
          <w:p w14:paraId="607A19CB" w14:textId="5EC3BD7C" w:rsidR="005870D5" w:rsidRDefault="00721366" w:rsidP="00714C8B">
            <w:pPr>
              <w:pStyle w:val="Tekstpodstawowy"/>
              <w:spacing w:beforeLines="20" w:before="48" w:afterLines="20" w:after="48" w:line="192" w:lineRule="auto"/>
            </w:pPr>
            <w:r>
              <w:t xml:space="preserve">Establishment of </w:t>
            </w:r>
            <w:r w:rsidR="006A0C8F">
              <w:t>Sanofi’s first global research institute in China</w:t>
            </w:r>
          </w:p>
        </w:tc>
        <w:tc>
          <w:tcPr>
            <w:tcW w:w="905" w:type="dxa"/>
          </w:tcPr>
          <w:p w14:paraId="473C6C0B" w14:textId="77777777" w:rsidR="005870D5" w:rsidRDefault="005870D5" w:rsidP="00714C8B">
            <w:pPr>
              <w:pStyle w:val="Tekstpodstawowy"/>
              <w:spacing w:beforeLines="20" w:before="48" w:afterLines="20" w:after="48" w:line="192" w:lineRule="auto"/>
              <w:jc w:val="center"/>
            </w:pPr>
            <w:r>
              <w:rPr>
                <w:rStyle w:val="Odwoanieprzypisudolnego"/>
              </w:rPr>
              <w:footnoteReference w:id="253"/>
            </w:r>
          </w:p>
        </w:tc>
      </w:tr>
      <w:tr w:rsidR="005870D5" w14:paraId="13372FED" w14:textId="77777777" w:rsidTr="00714C8B">
        <w:tc>
          <w:tcPr>
            <w:tcW w:w="7940" w:type="dxa"/>
            <w:gridSpan w:val="3"/>
            <w:shd w:val="clear" w:color="auto" w:fill="0073AE" w:themeFill="accent1"/>
            <w:vAlign w:val="center"/>
          </w:tcPr>
          <w:p w14:paraId="3518CB2C" w14:textId="24C08857" w:rsidR="005870D5" w:rsidRPr="002E3320" w:rsidRDefault="005870D5" w:rsidP="00714C8B">
            <w:pPr>
              <w:pStyle w:val="Tekstpodstawowy"/>
              <w:spacing w:beforeLines="20" w:before="48" w:afterLines="20" w:after="48" w:line="192" w:lineRule="auto"/>
              <w:jc w:val="center"/>
              <w:rPr>
                <w:b/>
                <w:bCs/>
                <w:color w:val="FFFFFF" w:themeColor="background1"/>
              </w:rPr>
            </w:pPr>
            <w:r>
              <w:rPr>
                <w:b/>
                <w:bCs/>
                <w:color w:val="FFFFFF" w:themeColor="background1"/>
              </w:rPr>
              <w:t xml:space="preserve">2. </w:t>
            </w:r>
            <w:r w:rsidRPr="002E3320">
              <w:rPr>
                <w:b/>
                <w:bCs/>
                <w:color w:val="FFFFFF" w:themeColor="background1"/>
              </w:rPr>
              <w:t>Manufacturing investment case studies</w:t>
            </w:r>
          </w:p>
        </w:tc>
      </w:tr>
      <w:tr w:rsidR="005870D5" w14:paraId="0C55B2DB" w14:textId="77777777" w:rsidTr="00714C8B">
        <w:tc>
          <w:tcPr>
            <w:tcW w:w="7940" w:type="dxa"/>
            <w:gridSpan w:val="3"/>
            <w:shd w:val="clear" w:color="auto" w:fill="C0C0C0" w:themeFill="text2"/>
          </w:tcPr>
          <w:p w14:paraId="473661E0" w14:textId="77777777" w:rsidR="005870D5" w:rsidRPr="00FC693C" w:rsidRDefault="005870D5" w:rsidP="00714C8B">
            <w:pPr>
              <w:pStyle w:val="Tekstpodstawowy"/>
              <w:spacing w:beforeLines="20" w:before="48" w:afterLines="20" w:after="48" w:line="192" w:lineRule="auto"/>
              <w:rPr>
                <w:b/>
                <w:bCs/>
              </w:rPr>
            </w:pPr>
            <w:r w:rsidRPr="002A661E">
              <w:rPr>
                <w:b/>
                <w:bCs/>
                <w:color w:val="FFFFFF" w:themeColor="background1"/>
              </w:rPr>
              <w:t>European companies investing in Europe</w:t>
            </w:r>
          </w:p>
        </w:tc>
      </w:tr>
      <w:tr w:rsidR="005870D5" w14:paraId="20883B00" w14:textId="77777777" w:rsidTr="000A2E03">
        <w:tc>
          <w:tcPr>
            <w:tcW w:w="1555" w:type="dxa"/>
            <w:shd w:val="clear" w:color="auto" w:fill="auto"/>
          </w:tcPr>
          <w:p w14:paraId="4EBB454A" w14:textId="77777777" w:rsidR="005870D5" w:rsidRDefault="005870D5" w:rsidP="00714C8B">
            <w:pPr>
              <w:pStyle w:val="Tekstpodstawowy"/>
              <w:spacing w:beforeLines="20" w:before="48" w:afterLines="20" w:after="48" w:line="192" w:lineRule="auto"/>
            </w:pPr>
            <w:proofErr w:type="spellStart"/>
            <w:r>
              <w:t>Menarini</w:t>
            </w:r>
            <w:proofErr w:type="spellEnd"/>
          </w:p>
        </w:tc>
        <w:tc>
          <w:tcPr>
            <w:tcW w:w="5480" w:type="dxa"/>
            <w:shd w:val="clear" w:color="auto" w:fill="auto"/>
          </w:tcPr>
          <w:p w14:paraId="015DF789" w14:textId="77777777" w:rsidR="005870D5" w:rsidRDefault="005870D5" w:rsidP="00714C8B">
            <w:pPr>
              <w:pStyle w:val="Tekstpodstawowy"/>
              <w:spacing w:beforeLines="20" w:before="48" w:afterLines="20" w:after="48" w:line="192" w:lineRule="auto"/>
            </w:pPr>
            <w:r>
              <w:t>€150 million investment in new Florence commercial manufacturing site</w:t>
            </w:r>
          </w:p>
        </w:tc>
        <w:tc>
          <w:tcPr>
            <w:tcW w:w="905" w:type="dxa"/>
            <w:shd w:val="clear" w:color="auto" w:fill="auto"/>
          </w:tcPr>
          <w:p w14:paraId="0CEDF978" w14:textId="77777777" w:rsidR="005870D5" w:rsidRDefault="005870D5" w:rsidP="00714C8B">
            <w:pPr>
              <w:pStyle w:val="Tekstpodstawowy"/>
              <w:spacing w:beforeLines="20" w:before="48" w:afterLines="20" w:after="48" w:line="192" w:lineRule="auto"/>
              <w:jc w:val="center"/>
            </w:pPr>
            <w:r>
              <w:rPr>
                <w:rStyle w:val="Odwoanieprzypisudolnego"/>
              </w:rPr>
              <w:footnoteReference w:id="254"/>
            </w:r>
          </w:p>
        </w:tc>
      </w:tr>
      <w:tr w:rsidR="005870D5" w14:paraId="57C08577" w14:textId="77777777" w:rsidTr="000A2E03">
        <w:tc>
          <w:tcPr>
            <w:tcW w:w="1555" w:type="dxa"/>
          </w:tcPr>
          <w:p w14:paraId="254C3C24" w14:textId="77777777" w:rsidR="005870D5" w:rsidRDefault="005870D5" w:rsidP="00714C8B">
            <w:pPr>
              <w:pStyle w:val="Tekstpodstawowy"/>
              <w:spacing w:beforeLines="20" w:before="48" w:afterLines="20" w:after="48" w:line="192" w:lineRule="auto"/>
            </w:pPr>
            <w:r>
              <w:t>UCB</w:t>
            </w:r>
          </w:p>
        </w:tc>
        <w:tc>
          <w:tcPr>
            <w:tcW w:w="5480" w:type="dxa"/>
          </w:tcPr>
          <w:p w14:paraId="78ABF7B2" w14:textId="77777777" w:rsidR="005870D5" w:rsidRDefault="005870D5" w:rsidP="00714C8B">
            <w:pPr>
              <w:pStyle w:val="Tekstpodstawowy"/>
              <w:spacing w:beforeLines="20" w:before="48" w:afterLines="20" w:after="48" w:line="192" w:lineRule="auto"/>
            </w:pPr>
            <w:r>
              <w:t>New €200 million gene therapy Investigational Medicinal Product (IMP) manufacturing site in Belgium</w:t>
            </w:r>
          </w:p>
        </w:tc>
        <w:tc>
          <w:tcPr>
            <w:tcW w:w="905" w:type="dxa"/>
          </w:tcPr>
          <w:p w14:paraId="784A5C36" w14:textId="77777777" w:rsidR="005870D5" w:rsidRDefault="005870D5" w:rsidP="00714C8B">
            <w:pPr>
              <w:pStyle w:val="Tekstpodstawowy"/>
              <w:spacing w:beforeLines="20" w:before="48" w:afterLines="20" w:after="48" w:line="192" w:lineRule="auto"/>
              <w:jc w:val="center"/>
            </w:pPr>
            <w:r>
              <w:rPr>
                <w:rStyle w:val="Odwoanieprzypisudolnego"/>
              </w:rPr>
              <w:footnoteReference w:id="255"/>
            </w:r>
          </w:p>
        </w:tc>
      </w:tr>
      <w:tr w:rsidR="00FF499D" w14:paraId="420E816E" w14:textId="77777777" w:rsidTr="00977791">
        <w:tc>
          <w:tcPr>
            <w:tcW w:w="1555" w:type="dxa"/>
          </w:tcPr>
          <w:p w14:paraId="103A63EB" w14:textId="5C8C09CD" w:rsidR="00FF499D" w:rsidRDefault="00FF499D" w:rsidP="00FF499D">
            <w:pPr>
              <w:pStyle w:val="Tekstpodstawowy"/>
              <w:spacing w:beforeLines="20" w:before="48" w:afterLines="20" w:after="48" w:line="192" w:lineRule="auto"/>
            </w:pPr>
            <w:r>
              <w:t>Bayer</w:t>
            </w:r>
          </w:p>
        </w:tc>
        <w:tc>
          <w:tcPr>
            <w:tcW w:w="5480" w:type="dxa"/>
          </w:tcPr>
          <w:p w14:paraId="2B17EE10" w14:textId="1D8D5229" w:rsidR="00FF499D" w:rsidRDefault="003124E8" w:rsidP="00FF499D">
            <w:pPr>
              <w:pStyle w:val="Tekstpodstawowy"/>
              <w:spacing w:beforeLines="20" w:before="48" w:afterLines="20" w:after="48" w:line="192" w:lineRule="auto"/>
            </w:pPr>
            <w:r w:rsidRPr="003124E8">
              <w:t>Bayer’s public-private partnership in Germany for a cell and gene therapy translation centre</w:t>
            </w:r>
          </w:p>
        </w:tc>
        <w:tc>
          <w:tcPr>
            <w:tcW w:w="905" w:type="dxa"/>
          </w:tcPr>
          <w:p w14:paraId="50149E6C" w14:textId="55073B7E" w:rsidR="00FF499D" w:rsidRDefault="00B168CD" w:rsidP="00FF499D">
            <w:pPr>
              <w:pStyle w:val="Tekstpodstawowy"/>
              <w:spacing w:beforeLines="20" w:before="48" w:afterLines="20" w:after="48" w:line="192" w:lineRule="auto"/>
              <w:jc w:val="center"/>
              <w:rPr>
                <w:rStyle w:val="Odwoanieprzypisudolnego"/>
              </w:rPr>
            </w:pPr>
            <w:r>
              <w:rPr>
                <w:rStyle w:val="Odwoanieprzypisudolnego"/>
              </w:rPr>
              <w:footnoteReference w:id="256"/>
            </w:r>
          </w:p>
        </w:tc>
      </w:tr>
      <w:tr w:rsidR="00FF499D" w14:paraId="4B0C1039" w14:textId="77777777" w:rsidTr="00714C8B">
        <w:tc>
          <w:tcPr>
            <w:tcW w:w="7940" w:type="dxa"/>
            <w:gridSpan w:val="3"/>
            <w:shd w:val="clear" w:color="auto" w:fill="C0C0C0" w:themeFill="text2"/>
          </w:tcPr>
          <w:p w14:paraId="0FCD1E32" w14:textId="77777777" w:rsidR="00FF499D" w:rsidRPr="00FC693C" w:rsidRDefault="00FF499D" w:rsidP="00FF499D">
            <w:pPr>
              <w:pStyle w:val="Tekstpodstawowy"/>
              <w:spacing w:beforeLines="20" w:before="48" w:afterLines="20" w:after="48" w:line="192" w:lineRule="auto"/>
              <w:rPr>
                <w:b/>
                <w:bCs/>
              </w:rPr>
            </w:pPr>
            <w:r w:rsidRPr="002A661E">
              <w:rPr>
                <w:b/>
                <w:bCs/>
                <w:color w:val="FFFFFF" w:themeColor="background1"/>
              </w:rPr>
              <w:t>US, Chinese and Japanese companies investing in Europe</w:t>
            </w:r>
          </w:p>
        </w:tc>
      </w:tr>
      <w:tr w:rsidR="00FF499D" w14:paraId="59034E0F" w14:textId="77777777" w:rsidTr="000A2E03">
        <w:tc>
          <w:tcPr>
            <w:tcW w:w="1555" w:type="dxa"/>
            <w:shd w:val="clear" w:color="auto" w:fill="auto"/>
          </w:tcPr>
          <w:p w14:paraId="28D72D0E" w14:textId="77777777" w:rsidR="00FF499D" w:rsidRDefault="00FF499D" w:rsidP="00FF499D">
            <w:pPr>
              <w:pStyle w:val="Tekstpodstawowy"/>
              <w:spacing w:beforeLines="20" w:before="48" w:afterLines="20" w:after="48" w:line="192" w:lineRule="auto"/>
            </w:pPr>
            <w:r>
              <w:t>Pfizer</w:t>
            </w:r>
          </w:p>
        </w:tc>
        <w:tc>
          <w:tcPr>
            <w:tcW w:w="5480" w:type="dxa"/>
            <w:shd w:val="clear" w:color="auto" w:fill="auto"/>
          </w:tcPr>
          <w:p w14:paraId="61E83D76" w14:textId="77777777" w:rsidR="00FF499D" w:rsidRDefault="00FF499D" w:rsidP="00FF499D">
            <w:pPr>
              <w:pStyle w:val="Tekstpodstawowy"/>
              <w:spacing w:beforeLines="20" w:before="48" w:afterLines="20" w:after="48" w:line="192" w:lineRule="auto"/>
            </w:pPr>
            <w:r>
              <w:t>Re</w:t>
            </w:r>
            <w:r w:rsidRPr="001B713B">
              <w:t>cent €50</w:t>
            </w:r>
            <w:r>
              <w:t xml:space="preserve"> million</w:t>
            </w:r>
            <w:r w:rsidRPr="001B713B">
              <w:t xml:space="preserve"> </w:t>
            </w:r>
            <w:r>
              <w:t xml:space="preserve">investment into </w:t>
            </w:r>
            <w:r w:rsidRPr="001B713B">
              <w:t>high-tech</w:t>
            </w:r>
            <w:r>
              <w:t xml:space="preserve"> continuous manufacturing</w:t>
            </w:r>
            <w:r w:rsidRPr="001B713B">
              <w:t xml:space="preserve"> site in Freiburg, Germany</w:t>
            </w:r>
          </w:p>
        </w:tc>
        <w:tc>
          <w:tcPr>
            <w:tcW w:w="905" w:type="dxa"/>
            <w:shd w:val="clear" w:color="auto" w:fill="auto"/>
          </w:tcPr>
          <w:p w14:paraId="258ACDBB" w14:textId="77777777" w:rsidR="00FF499D" w:rsidRDefault="00FF499D" w:rsidP="00FF499D">
            <w:pPr>
              <w:pStyle w:val="Tekstpodstawowy"/>
              <w:spacing w:beforeLines="20" w:before="48" w:afterLines="20" w:after="48" w:line="192" w:lineRule="auto"/>
              <w:jc w:val="center"/>
            </w:pPr>
            <w:r>
              <w:rPr>
                <w:rStyle w:val="Odwoanieprzypisudolnego"/>
              </w:rPr>
              <w:footnoteReference w:id="257"/>
            </w:r>
          </w:p>
        </w:tc>
      </w:tr>
      <w:tr w:rsidR="00FF499D" w14:paraId="7CB4E451" w14:textId="77777777" w:rsidTr="000A2E03">
        <w:tc>
          <w:tcPr>
            <w:tcW w:w="1555" w:type="dxa"/>
            <w:shd w:val="clear" w:color="auto" w:fill="auto"/>
          </w:tcPr>
          <w:p w14:paraId="6ED66818" w14:textId="77777777" w:rsidR="00FF499D" w:rsidRDefault="00FF499D" w:rsidP="00FF499D">
            <w:pPr>
              <w:pStyle w:val="Tekstpodstawowy"/>
              <w:spacing w:beforeLines="20" w:before="48" w:afterLines="20" w:after="48" w:line="192" w:lineRule="auto"/>
            </w:pPr>
            <w:proofErr w:type="spellStart"/>
            <w:r>
              <w:t>WuXi</w:t>
            </w:r>
            <w:proofErr w:type="spellEnd"/>
          </w:p>
        </w:tc>
        <w:tc>
          <w:tcPr>
            <w:tcW w:w="5480" w:type="dxa"/>
            <w:shd w:val="clear" w:color="auto" w:fill="auto"/>
          </w:tcPr>
          <w:p w14:paraId="326447F9" w14:textId="77777777" w:rsidR="00FF499D" w:rsidRDefault="00FF499D" w:rsidP="00FF499D">
            <w:pPr>
              <w:pStyle w:val="Tekstpodstawowy"/>
              <w:spacing w:beforeLines="20" w:before="48" w:afterLines="20" w:after="48" w:line="192" w:lineRule="auto"/>
            </w:pPr>
            <w:r>
              <w:t>€500 million investment in biologic and vaccine manufacturing in Ireland in 2018/2019</w:t>
            </w:r>
          </w:p>
        </w:tc>
        <w:tc>
          <w:tcPr>
            <w:tcW w:w="905" w:type="dxa"/>
            <w:shd w:val="clear" w:color="auto" w:fill="auto"/>
          </w:tcPr>
          <w:p w14:paraId="4C29DA9F" w14:textId="77777777" w:rsidR="00FF499D" w:rsidRDefault="00FF499D" w:rsidP="00FF499D">
            <w:pPr>
              <w:pStyle w:val="Tekstpodstawowy"/>
              <w:spacing w:beforeLines="20" w:before="48" w:afterLines="20" w:after="48" w:line="192" w:lineRule="auto"/>
              <w:jc w:val="center"/>
            </w:pPr>
            <w:r>
              <w:rPr>
                <w:rStyle w:val="Odwoanieprzypisudolnego"/>
              </w:rPr>
              <w:footnoteReference w:id="258"/>
            </w:r>
          </w:p>
        </w:tc>
      </w:tr>
      <w:tr w:rsidR="00FF499D" w14:paraId="76113B8F" w14:textId="77777777" w:rsidTr="000A2E03">
        <w:tc>
          <w:tcPr>
            <w:tcW w:w="1555" w:type="dxa"/>
          </w:tcPr>
          <w:p w14:paraId="42A80078" w14:textId="77777777" w:rsidR="00FF499D" w:rsidRDefault="00FF499D" w:rsidP="00FF499D">
            <w:pPr>
              <w:pStyle w:val="Tekstpodstawowy"/>
              <w:spacing w:beforeLines="20" w:before="48" w:afterLines="20" w:after="48" w:line="192" w:lineRule="auto"/>
            </w:pPr>
            <w:r>
              <w:t>Takeda</w:t>
            </w:r>
          </w:p>
        </w:tc>
        <w:tc>
          <w:tcPr>
            <w:tcW w:w="5480" w:type="dxa"/>
          </w:tcPr>
          <w:p w14:paraId="4226DDFA" w14:textId="77777777" w:rsidR="00FF499D" w:rsidRDefault="00FF499D" w:rsidP="00FF499D">
            <w:pPr>
              <w:pStyle w:val="Tekstpodstawowy"/>
              <w:spacing w:beforeLines="20" w:before="48" w:afterLines="20" w:after="48" w:line="192" w:lineRule="auto"/>
            </w:pPr>
            <w:r>
              <w:t>Cell therapy commercial manufacturing sites in Europe, US, and Japan</w:t>
            </w:r>
          </w:p>
        </w:tc>
        <w:tc>
          <w:tcPr>
            <w:tcW w:w="905" w:type="dxa"/>
          </w:tcPr>
          <w:p w14:paraId="681E8640" w14:textId="77777777" w:rsidR="00FF499D" w:rsidRDefault="00FF499D" w:rsidP="00FF499D">
            <w:pPr>
              <w:pStyle w:val="Tekstpodstawowy"/>
              <w:spacing w:beforeLines="20" w:before="48" w:afterLines="20" w:after="48" w:line="192" w:lineRule="auto"/>
              <w:jc w:val="center"/>
            </w:pPr>
            <w:r>
              <w:rPr>
                <w:rStyle w:val="Odwoanieprzypisudolnego"/>
              </w:rPr>
              <w:footnoteReference w:id="259"/>
            </w:r>
          </w:p>
        </w:tc>
      </w:tr>
      <w:tr w:rsidR="00FF499D" w14:paraId="02E81F8A" w14:textId="77777777" w:rsidTr="00714C8B">
        <w:tc>
          <w:tcPr>
            <w:tcW w:w="7940" w:type="dxa"/>
            <w:gridSpan w:val="3"/>
            <w:shd w:val="clear" w:color="auto" w:fill="C0C0C0" w:themeFill="text2"/>
          </w:tcPr>
          <w:p w14:paraId="0E26D5E3" w14:textId="77777777" w:rsidR="00FF499D" w:rsidRPr="00FC693C" w:rsidRDefault="00FF499D" w:rsidP="00FF499D">
            <w:pPr>
              <w:pStyle w:val="Tekstpodstawowy"/>
              <w:spacing w:beforeLines="20" w:before="48" w:afterLines="20" w:after="48" w:line="192" w:lineRule="auto"/>
              <w:rPr>
                <w:b/>
                <w:bCs/>
              </w:rPr>
            </w:pPr>
            <w:r w:rsidRPr="002A661E">
              <w:rPr>
                <w:b/>
                <w:bCs/>
                <w:color w:val="FFFFFF" w:themeColor="background1"/>
              </w:rPr>
              <w:t>US and European companies investing in the US and Puerto Rico</w:t>
            </w:r>
          </w:p>
        </w:tc>
      </w:tr>
      <w:tr w:rsidR="00FF499D" w14:paraId="5B362338" w14:textId="77777777" w:rsidTr="000A2E03">
        <w:tc>
          <w:tcPr>
            <w:tcW w:w="1555" w:type="dxa"/>
          </w:tcPr>
          <w:p w14:paraId="1E0E9BD8" w14:textId="77777777" w:rsidR="00FF499D" w:rsidRDefault="00FF499D" w:rsidP="00FF499D">
            <w:pPr>
              <w:pStyle w:val="Tekstpodstawowy"/>
              <w:spacing w:beforeLines="20" w:before="48" w:afterLines="20" w:after="48" w:line="192" w:lineRule="auto"/>
            </w:pPr>
            <w:r>
              <w:t>Biogen</w:t>
            </w:r>
          </w:p>
        </w:tc>
        <w:tc>
          <w:tcPr>
            <w:tcW w:w="5480" w:type="dxa"/>
          </w:tcPr>
          <w:p w14:paraId="317D757A" w14:textId="77777777" w:rsidR="00FF499D" w:rsidRDefault="00FF499D" w:rsidP="00FF499D">
            <w:pPr>
              <w:pStyle w:val="Tekstpodstawowy"/>
              <w:spacing w:beforeLines="20" w:before="48" w:afterLines="20" w:after="48" w:line="192" w:lineRule="auto"/>
            </w:pPr>
            <w:r>
              <w:t>Investigational Medicinal Product (IMP) manufacturing of gene therapies in US</w:t>
            </w:r>
          </w:p>
        </w:tc>
        <w:tc>
          <w:tcPr>
            <w:tcW w:w="905" w:type="dxa"/>
          </w:tcPr>
          <w:p w14:paraId="3510A928" w14:textId="77777777" w:rsidR="00FF499D" w:rsidRDefault="00FF499D" w:rsidP="00FF499D">
            <w:pPr>
              <w:pStyle w:val="Tekstpodstawowy"/>
              <w:spacing w:beforeLines="20" w:before="48" w:afterLines="20" w:after="48" w:line="192" w:lineRule="auto"/>
              <w:jc w:val="center"/>
            </w:pPr>
            <w:r>
              <w:rPr>
                <w:rStyle w:val="Odwoanieprzypisudolnego"/>
              </w:rPr>
              <w:footnoteReference w:id="260"/>
            </w:r>
          </w:p>
        </w:tc>
      </w:tr>
      <w:tr w:rsidR="00FF499D" w14:paraId="5F1587CD" w14:textId="77777777" w:rsidTr="000A2E03">
        <w:tc>
          <w:tcPr>
            <w:tcW w:w="7940" w:type="dxa"/>
            <w:gridSpan w:val="3"/>
            <w:shd w:val="clear" w:color="auto" w:fill="0073AE" w:themeFill="accent1"/>
          </w:tcPr>
          <w:p w14:paraId="7F865270" w14:textId="11DB9DAF" w:rsidR="00FF499D" w:rsidRPr="000A2E03" w:rsidRDefault="00FF499D" w:rsidP="00FF499D">
            <w:pPr>
              <w:pStyle w:val="Tekstpodstawowy"/>
              <w:spacing w:beforeLines="20" w:before="48" w:afterLines="20" w:after="48" w:line="192" w:lineRule="auto"/>
              <w:jc w:val="center"/>
              <w:rPr>
                <w:rStyle w:val="Odwoanieprzypisudolnego"/>
                <w:b/>
                <w:bCs/>
              </w:rPr>
            </w:pPr>
            <w:r w:rsidRPr="000A2E03">
              <w:rPr>
                <w:b/>
                <w:bCs/>
                <w:color w:val="FFFFFF" w:themeColor="background1"/>
              </w:rPr>
              <w:t>3. Clinical trial case studies</w:t>
            </w:r>
          </w:p>
        </w:tc>
      </w:tr>
      <w:tr w:rsidR="00FF499D" w14:paraId="24A694C8" w14:textId="77777777" w:rsidTr="000A2E03">
        <w:tc>
          <w:tcPr>
            <w:tcW w:w="7940" w:type="dxa"/>
            <w:gridSpan w:val="3"/>
            <w:shd w:val="clear" w:color="auto" w:fill="C0C0C0" w:themeFill="text2"/>
          </w:tcPr>
          <w:p w14:paraId="1C6332F5" w14:textId="64EE5925" w:rsidR="00FF499D" w:rsidRPr="000A2E03" w:rsidRDefault="00FF499D" w:rsidP="000A2E03">
            <w:pPr>
              <w:pStyle w:val="Tekstpodstawowy"/>
              <w:spacing w:beforeLines="20" w:before="48" w:afterLines="20" w:after="48" w:line="192" w:lineRule="auto"/>
              <w:jc w:val="left"/>
              <w:rPr>
                <w:rStyle w:val="Odwoanieprzypisudolnego"/>
                <w:b/>
                <w:bCs/>
                <w:color w:val="FFFFFF" w:themeColor="background1"/>
              </w:rPr>
            </w:pPr>
            <w:r w:rsidRPr="000A2E03">
              <w:rPr>
                <w:b/>
                <w:bCs/>
                <w:color w:val="FFFFFF" w:themeColor="background1"/>
              </w:rPr>
              <w:t xml:space="preserve">European companies investing in </w:t>
            </w:r>
            <w:r w:rsidR="00473B35">
              <w:rPr>
                <w:b/>
                <w:bCs/>
                <w:color w:val="FFFFFF" w:themeColor="background1"/>
              </w:rPr>
              <w:t>Asia</w:t>
            </w:r>
          </w:p>
        </w:tc>
      </w:tr>
      <w:tr w:rsidR="00FF499D" w14:paraId="13341991" w14:textId="77777777" w:rsidTr="00977791">
        <w:tc>
          <w:tcPr>
            <w:tcW w:w="1555" w:type="dxa"/>
          </w:tcPr>
          <w:p w14:paraId="1F09E8F2" w14:textId="1BB51CCD" w:rsidR="00FF499D" w:rsidRDefault="00FF499D" w:rsidP="00FF499D">
            <w:pPr>
              <w:pStyle w:val="Tekstpodstawowy"/>
              <w:spacing w:beforeLines="20" w:before="48" w:afterLines="20" w:after="48" w:line="192" w:lineRule="auto"/>
            </w:pPr>
            <w:r>
              <w:t>PTC Therapeutics</w:t>
            </w:r>
          </w:p>
        </w:tc>
        <w:tc>
          <w:tcPr>
            <w:tcW w:w="5480" w:type="dxa"/>
          </w:tcPr>
          <w:p w14:paraId="5A3A46CE" w14:textId="1DE3B6ED" w:rsidR="00FF499D" w:rsidRDefault="00FF499D" w:rsidP="00FF499D">
            <w:pPr>
              <w:pStyle w:val="Tekstpodstawowy"/>
              <w:spacing w:beforeLines="20" w:before="48" w:afterLines="20" w:after="48" w:line="192" w:lineRule="auto"/>
            </w:pPr>
            <w:r>
              <w:t xml:space="preserve">Taiwan-based pivotal clinical trial studies for </w:t>
            </w:r>
            <w:proofErr w:type="spellStart"/>
            <w:r>
              <w:t>Upstaza</w:t>
            </w:r>
            <w:proofErr w:type="spellEnd"/>
          </w:p>
        </w:tc>
        <w:tc>
          <w:tcPr>
            <w:tcW w:w="905" w:type="dxa"/>
          </w:tcPr>
          <w:p w14:paraId="08BB4433" w14:textId="2A86D467" w:rsidR="00FF499D" w:rsidRDefault="00FF499D" w:rsidP="00FF499D">
            <w:pPr>
              <w:pStyle w:val="Tekstpodstawowy"/>
              <w:spacing w:beforeLines="20" w:before="48" w:afterLines="20" w:after="48" w:line="192" w:lineRule="auto"/>
              <w:jc w:val="center"/>
              <w:rPr>
                <w:rStyle w:val="Odwoanieprzypisudolnego"/>
              </w:rPr>
            </w:pPr>
            <w:r>
              <w:rPr>
                <w:rStyle w:val="Odwoanieprzypisudolnego"/>
              </w:rPr>
              <w:footnoteReference w:id="261"/>
            </w:r>
          </w:p>
        </w:tc>
      </w:tr>
    </w:tbl>
    <w:p w14:paraId="035C9DC2" w14:textId="77777777" w:rsidR="00B6717B" w:rsidRPr="00CF7B4F" w:rsidRDefault="00B6717B" w:rsidP="00CF7B4F">
      <w:pPr>
        <w:pStyle w:val="Tekstpodstawowy"/>
      </w:pPr>
    </w:p>
    <w:sectPr w:rsidR="00B6717B" w:rsidRPr="00CF7B4F" w:rsidSect="006B314B">
      <w:headerReference w:type="default" r:id="rId51"/>
      <w:footerReference w:type="default" r:id="rId52"/>
      <w:headerReference w:type="first" r:id="rId53"/>
      <w:endnotePr>
        <w:numFmt w:val="decimal"/>
      </w:endnotePr>
      <w:pgSz w:w="11907" w:h="16839" w:code="9"/>
      <w:pgMar w:top="1440" w:right="1440" w:bottom="1440" w:left="1440" w:header="578" w:footer="403" w:gutter="1077"/>
      <w:paperSrc w:first="500" w:other="50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A81A8" w14:textId="77777777" w:rsidR="00620BA7" w:rsidRDefault="00620BA7">
      <w:r>
        <w:separator/>
      </w:r>
    </w:p>
  </w:endnote>
  <w:endnote w:type="continuationSeparator" w:id="0">
    <w:p w14:paraId="74B12193" w14:textId="77777777" w:rsidR="00620BA7" w:rsidRDefault="00620BA7">
      <w:r>
        <w:continuationSeparator/>
      </w:r>
    </w:p>
  </w:endnote>
  <w:endnote w:type="continuationNotice" w:id="1">
    <w:p w14:paraId="2D0CC36B" w14:textId="77777777" w:rsidR="00620BA7" w:rsidRDefault="00620B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D223" w14:textId="77777777" w:rsidR="009C2CD4" w:rsidRDefault="009C2CD4">
    <w:pPr>
      <w:pStyle w:val="Stopka"/>
      <w:framePr w:wrap="around" w:vAnchor="text" w:hAnchor="margin" w:xAlign="right" w:y="1"/>
    </w:pPr>
    <w:r w:rsidRPr="000A2E03">
      <w:fldChar w:fldCharType="begin"/>
    </w:r>
    <w:r>
      <w:instrText xml:space="preserve">PAGE  </w:instrText>
    </w:r>
    <w:r w:rsidRPr="000A2E03">
      <w:fldChar w:fldCharType="separate"/>
    </w:r>
    <w:r>
      <w:t>3</w:t>
    </w:r>
    <w:r w:rsidRPr="000A2E03">
      <w:fldChar w:fldCharType="end"/>
    </w:r>
  </w:p>
  <w:p w14:paraId="0D4D3F91" w14:textId="77777777" w:rsidR="009C2CD4" w:rsidRDefault="009C2CD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996E" w14:textId="77777777" w:rsidR="009C2CD4" w:rsidRDefault="009C2CD4">
    <w:pPr>
      <w:pStyle w:val="Stopka"/>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800F" w14:textId="77777777" w:rsidR="009C2CD4" w:rsidRDefault="009C2CD4">
    <w:pPr>
      <w:pStyle w:val="Stopka"/>
      <w:pBdr>
        <w:top w:val="none" w:sz="0" w:space="0" w:color="auto"/>
      </w:pBdr>
      <w:tabs>
        <w:tab w:val="center" w:pos="4320"/>
        <w:tab w:val="right" w:pos="8190"/>
      </w:tabs>
      <w:ind w:left="1134" w:right="-764"/>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A5E8" w14:textId="54AE94C4" w:rsidR="009C2CD4" w:rsidRPr="00413023" w:rsidRDefault="004A1471" w:rsidP="009C2CD4">
    <w:pPr>
      <w:pStyle w:val="Stopka"/>
      <w:tabs>
        <w:tab w:val="clear" w:pos="8280"/>
        <w:tab w:val="right" w:pos="7920"/>
      </w:tabs>
    </w:pPr>
    <w:r>
      <w:t>Final R</w:t>
    </w:r>
    <w:r w:rsidR="001F05B4">
      <w:t>eport</w:t>
    </w:r>
    <w:r w:rsidR="009C2CD4" w:rsidRPr="00413023">
      <w:tab/>
    </w:r>
    <w:r w:rsidR="009C2CD4">
      <w:tab/>
    </w:r>
    <w:r w:rsidR="009C2CD4" w:rsidRPr="00413023">
      <w:t xml:space="preserve">Page </w:t>
    </w:r>
    <w:r w:rsidR="009C2CD4" w:rsidRPr="000A2E03">
      <w:fldChar w:fldCharType="begin"/>
    </w:r>
    <w:r w:rsidR="009C2CD4" w:rsidRPr="00413023">
      <w:instrText xml:space="preserve"> PAGE </w:instrText>
    </w:r>
    <w:r w:rsidR="009C2CD4" w:rsidRPr="000A2E03">
      <w:fldChar w:fldCharType="separate"/>
    </w:r>
    <w:r w:rsidR="00EA4048">
      <w:rPr>
        <w:noProof/>
      </w:rPr>
      <w:t>6</w:t>
    </w:r>
    <w:r w:rsidR="009C2CD4" w:rsidRPr="000A2E03">
      <w:fldChar w:fldCharType="end"/>
    </w:r>
  </w:p>
  <w:p w14:paraId="6BA27C16" w14:textId="77777777" w:rsidR="009C2CD4" w:rsidRDefault="009C2CD4">
    <w:pPr>
      <w:pStyle w:val="Stopka"/>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EE46" w14:textId="7D036AEC" w:rsidR="009C2CD4" w:rsidRDefault="009C2CD4">
    <w:pPr>
      <w:pStyle w:val="Stopka"/>
      <w:pBdr>
        <w:top w:val="single" w:sz="6" w:space="1" w:color="568A9E"/>
      </w:pBdr>
    </w:pPr>
    <w:r w:rsidRPr="000A2E03">
      <w:rPr>
        <w:noProof/>
        <w:lang w:val="en-US"/>
      </w:rPr>
      <mc:AlternateContent>
        <mc:Choice Requires="wps">
          <w:drawing>
            <wp:anchor distT="0" distB="0" distL="114300" distR="114300" simplePos="0" relativeHeight="251658241" behindDoc="0" locked="0" layoutInCell="1" allowOverlap="1" wp14:anchorId="3C7DD1E1" wp14:editId="41E970F1">
              <wp:simplePos x="0" y="0"/>
              <wp:positionH relativeFrom="column">
                <wp:posOffset>-619125</wp:posOffset>
              </wp:positionH>
              <wp:positionV relativeFrom="paragraph">
                <wp:posOffset>69850</wp:posOffset>
              </wp:positionV>
              <wp:extent cx="605155" cy="452755"/>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3081" w14:textId="77777777" w:rsidR="009C2CD4" w:rsidRDefault="009C2CD4">
                          <w:pPr>
                            <w:spacing w:before="0" w:after="0"/>
                            <w:jc w:val="right"/>
                          </w:pPr>
                          <w:r w:rsidRPr="000A2E03">
                            <w:rPr>
                              <w:noProof/>
                              <w:lang w:val="en-US"/>
                            </w:rPr>
                            <w:drawing>
                              <wp:inline distT="0" distB="0" distL="0" distR="0" wp14:anchorId="4C0A41B3" wp14:editId="40874752">
                                <wp:extent cx="361950" cy="361950"/>
                                <wp:effectExtent l="0" t="0" r="0" b="0"/>
                                <wp:docPr id="3" name="Picture 1" descr="Blue box logo 4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ox logo 4 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DD1E1" id="_x0000_t202" coordsize="21600,21600" o:spt="202" path="m,l,21600r21600,l21600,xe">
              <v:stroke joinstyle="miter"/>
              <v:path gradientshapeok="t" o:connecttype="rect"/>
            </v:shapetype>
            <v:shape id="Text Box 33" o:spid="_x0000_s1026" type="#_x0000_t202" style="position:absolute;left:0;text-align:left;margin-left:-48.75pt;margin-top:5.5pt;width:47.65pt;height:3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" filled="f" stroked="f">
              <v:textbox>
                <w:txbxContent>
                  <w:p w14:paraId="03653081" w14:textId="77777777" w:rsidR="009C2CD4" w:rsidRDefault="009C2CD4">
                    <w:pPr>
                      <w:spacing w:before="0" w:after="0"/>
                      <w:jc w:val="right"/>
                    </w:pPr>
                    <w:r w:rsidRPr="000A2E03">
                      <w:rPr>
                        <w:noProof/>
                        <w:lang w:val="en-US"/>
                      </w:rPr>
                      <w:drawing>
                        <wp:inline distT="0" distB="0" distL="0" distR="0" wp14:anchorId="4C0A41B3" wp14:editId="40874752">
                          <wp:extent cx="361950" cy="361950"/>
                          <wp:effectExtent l="0" t="0" r="0" b="0"/>
                          <wp:docPr id="3" name="Picture 1" descr="Blue box logo 4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ox logo 4 microsof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tab/>
    </w:r>
    <w:fldSimple w:instr=" DOCPROPERTY &quot;Status&quot;  \* MERGEFORMAT ">
      <w:r w:rsidR="006B314B">
        <w:t>Enter Status in Properties</w:t>
      </w:r>
    </w:fldSimple>
    <w:r>
      <w:tab/>
      <w:t xml:space="preserve">Page </w:t>
    </w:r>
    <w:r w:rsidRPr="000A2E03">
      <w:fldChar w:fldCharType="begin"/>
    </w:r>
    <w:r>
      <w:instrText xml:space="preserve"> PAGE </w:instrText>
    </w:r>
    <w:r w:rsidRPr="000A2E03">
      <w:fldChar w:fldCharType="separate"/>
    </w:r>
    <w:r>
      <w:rPr>
        <w:noProof/>
      </w:rPr>
      <w:t>i</w:t>
    </w:r>
    <w:r w:rsidRPr="000A2E03">
      <w:fldChar w:fldCharType="end"/>
    </w:r>
  </w:p>
  <w:p w14:paraId="11F8BE10" w14:textId="77777777" w:rsidR="009C2CD4" w:rsidRDefault="009C2CD4">
    <w:pPr>
      <w:pStyle w:val="Stopka"/>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B337" w14:textId="6BE55BCC" w:rsidR="009C2CD4" w:rsidRDefault="004A1471" w:rsidP="009C2CD4">
    <w:pPr>
      <w:pStyle w:val="Stopka"/>
      <w:tabs>
        <w:tab w:val="clear" w:pos="8280"/>
        <w:tab w:val="right" w:pos="7920"/>
      </w:tabs>
      <w:rPr>
        <w:rStyle w:val="Numerstrony"/>
      </w:rPr>
    </w:pPr>
    <w:r>
      <w:t>Final</w:t>
    </w:r>
    <w:r w:rsidR="008020F1">
      <w:t xml:space="preserve"> Report</w:t>
    </w:r>
    <w:r w:rsidR="009C2CD4">
      <w:tab/>
    </w:r>
    <w:r w:rsidR="009C2CD4">
      <w:tab/>
      <w:t xml:space="preserve">Page </w:t>
    </w:r>
    <w:r w:rsidR="009C2CD4">
      <w:rPr>
        <w:rStyle w:val="Numerstrony"/>
      </w:rPr>
      <w:fldChar w:fldCharType="begin"/>
    </w:r>
    <w:r w:rsidR="009C2CD4">
      <w:rPr>
        <w:rStyle w:val="Numerstrony"/>
      </w:rPr>
      <w:instrText xml:space="preserve"> PAGE </w:instrText>
    </w:r>
    <w:r w:rsidR="009C2CD4">
      <w:rPr>
        <w:rStyle w:val="Numerstrony"/>
      </w:rPr>
      <w:fldChar w:fldCharType="separate"/>
    </w:r>
    <w:r w:rsidR="00EA4048">
      <w:rPr>
        <w:rStyle w:val="Numerstrony"/>
        <w:noProof/>
      </w:rPr>
      <w:t>11</w:t>
    </w:r>
    <w:r w:rsidR="009C2CD4">
      <w:rPr>
        <w:rStyle w:val="Numerstrony"/>
      </w:rPr>
      <w:fldChar w:fldCharType="end"/>
    </w:r>
  </w:p>
  <w:p w14:paraId="1EC50A24" w14:textId="77777777" w:rsidR="00564DF8" w:rsidRDefault="00564DF8" w:rsidP="00564DF8">
    <w:pPr>
      <w:pStyle w:val="Stopka"/>
      <w:pBdr>
        <w:top w:val="none" w:sz="0" w:space="0" w:color="auto"/>
      </w:pBdr>
      <w:tabs>
        <w:tab w:val="clear" w:pos="8280"/>
        <w:tab w:val="right" w:pos="7920"/>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CD94" w14:textId="77777777" w:rsidR="00620BA7" w:rsidRDefault="00620BA7">
      <w:r>
        <w:separator/>
      </w:r>
    </w:p>
  </w:footnote>
  <w:footnote w:type="continuationSeparator" w:id="0">
    <w:p w14:paraId="38C2E0EF" w14:textId="77777777" w:rsidR="00620BA7" w:rsidRDefault="00620BA7">
      <w:r>
        <w:continuationSeparator/>
      </w:r>
    </w:p>
  </w:footnote>
  <w:footnote w:type="continuationNotice" w:id="1">
    <w:p w14:paraId="41F115C8" w14:textId="77777777" w:rsidR="00620BA7" w:rsidRDefault="00620BA7">
      <w:pPr>
        <w:spacing w:before="0" w:after="0"/>
      </w:pPr>
    </w:p>
  </w:footnote>
  <w:footnote w:id="2">
    <w:p w14:paraId="6CEF24C7" w14:textId="259561ED" w:rsidR="00BC3C39" w:rsidRDefault="00BC3C39">
      <w:pPr>
        <w:pStyle w:val="Tekstprzypisudolnego"/>
      </w:pPr>
      <w:r>
        <w:rPr>
          <w:rStyle w:val="Odwoanieprzypisudolnego"/>
        </w:rPr>
        <w:footnoteRef/>
      </w:r>
      <w:r>
        <w:t xml:space="preserve"> </w:t>
      </w:r>
      <w:r>
        <w:tab/>
        <w:t xml:space="preserve">See </w:t>
      </w:r>
      <w:r w:rsidRPr="000A2E03">
        <w:fldChar w:fldCharType="begin"/>
      </w:r>
      <w:r>
        <w:instrText xml:space="preserve"> REF _Ref109651455 \h </w:instrText>
      </w:r>
      <w:r w:rsidRPr="000A2E03">
        <w:fldChar w:fldCharType="separate"/>
      </w:r>
      <w:r>
        <w:t xml:space="preserve">Figure </w:t>
      </w:r>
      <w:r>
        <w:rPr>
          <w:noProof/>
        </w:rPr>
        <w:t>1</w:t>
      </w:r>
      <w:r w:rsidRPr="000A2E03">
        <w:fldChar w:fldCharType="end"/>
      </w:r>
      <w:r>
        <w:t xml:space="preserve"> of </w:t>
      </w:r>
      <w:r w:rsidR="00861F83">
        <w:t>this</w:t>
      </w:r>
      <w:r>
        <w:t xml:space="preserve"> report.</w:t>
      </w:r>
    </w:p>
  </w:footnote>
  <w:footnote w:id="3">
    <w:p w14:paraId="43639D83" w14:textId="58FF85A9" w:rsidR="009B4F54" w:rsidRDefault="009B4F54">
      <w:pPr>
        <w:pStyle w:val="Tekstprzypisudolnego"/>
      </w:pPr>
      <w:r>
        <w:rPr>
          <w:rStyle w:val="Odwoanieprzypisudolnego"/>
        </w:rPr>
        <w:footnoteRef/>
      </w:r>
      <w:r>
        <w:t xml:space="preserve"> </w:t>
      </w:r>
      <w:r>
        <w:tab/>
      </w:r>
      <w:r w:rsidR="00A24992" w:rsidRPr="00A24992">
        <w:t>NIH Awards by Location &amp; Organization</w:t>
      </w:r>
      <w:r w:rsidR="00A24992">
        <w:t xml:space="preserve">. </w:t>
      </w:r>
      <w:r w:rsidR="00066431">
        <w:t xml:space="preserve">Available at: </w:t>
      </w:r>
      <w:hyperlink r:id="rId1" w:anchor="tab1" w:history="1">
        <w:r w:rsidR="00066431" w:rsidRPr="00372B28">
          <w:rPr>
            <w:rStyle w:val="Hipercze"/>
            <w:sz w:val="16"/>
          </w:rPr>
          <w:t>https://report.nih.gov/award/index.cfm#tab1</w:t>
        </w:r>
      </w:hyperlink>
      <w:r w:rsidR="00066431">
        <w:t xml:space="preserve"> [Accessed </w:t>
      </w:r>
      <w:r w:rsidR="00C35E88">
        <w:t xml:space="preserve">October </w:t>
      </w:r>
      <w:r w:rsidR="00066431">
        <w:t>2022]</w:t>
      </w:r>
    </w:p>
  </w:footnote>
  <w:footnote w:id="4">
    <w:p w14:paraId="40EB1120" w14:textId="5DB79B9B" w:rsidR="00456106" w:rsidRDefault="00456106">
      <w:pPr>
        <w:pStyle w:val="Tekstprzypisudolnego"/>
      </w:pPr>
      <w:r>
        <w:rPr>
          <w:rStyle w:val="Odwoanieprzypisudolnego"/>
        </w:rPr>
        <w:footnoteRef/>
      </w:r>
      <w:r>
        <w:t xml:space="preserve"> </w:t>
      </w:r>
      <w:r>
        <w:tab/>
        <w:t xml:space="preserve">IQVIA Institute for Human Data Science (2022) </w:t>
      </w:r>
      <w:r w:rsidR="000860D9">
        <w:t xml:space="preserve">Available at: </w:t>
      </w:r>
      <w:hyperlink r:id="rId2" w:history="1">
        <w:r w:rsidRPr="0009423D">
          <w:rPr>
            <w:rStyle w:val="Hipercze"/>
            <w:sz w:val="16"/>
          </w:rPr>
          <w:t>https://www.iqvia.com/insights/the-iqvia-institute/reports/emerging-biopharma-contribution-to-innovation</w:t>
        </w:r>
      </w:hyperlink>
      <w:r>
        <w:t xml:space="preserve"> [Accessed July 2022]</w:t>
      </w:r>
    </w:p>
  </w:footnote>
  <w:footnote w:id="5">
    <w:p w14:paraId="73977DAF" w14:textId="19AF1B20" w:rsidR="00446C75" w:rsidRDefault="00446C75">
      <w:pPr>
        <w:pStyle w:val="Tekstprzypisudolnego"/>
      </w:pPr>
      <w:r>
        <w:rPr>
          <w:rStyle w:val="Odwoanieprzypisudolnego"/>
        </w:rPr>
        <w:footnoteRef/>
      </w:r>
      <w:r>
        <w:t xml:space="preserve"> </w:t>
      </w:r>
      <w:r>
        <w:tab/>
        <w:t xml:space="preserve">Loche, A. </w:t>
      </w:r>
      <w:r w:rsidR="000860D9">
        <w:t xml:space="preserve">et al. </w:t>
      </w:r>
      <w:r>
        <w:t xml:space="preserve">(2021) </w:t>
      </w:r>
      <w:r w:rsidRPr="00C4321D">
        <w:t>A call to action: Opportunities and challenges for CGTs in Europe</w:t>
      </w:r>
      <w:r>
        <w:t xml:space="preserve">. </w:t>
      </w:r>
      <w:r w:rsidR="00D34428">
        <w:t>Available at:</w:t>
      </w:r>
      <w:r>
        <w:t xml:space="preserve"> </w:t>
      </w:r>
      <w:hyperlink r:id="rId3" w:history="1">
        <w:r w:rsidRPr="000C0A98">
          <w:rPr>
            <w:rStyle w:val="Hipercze"/>
            <w:sz w:val="16"/>
          </w:rPr>
          <w:t>https://www.mckinsey.com/industries/life-sciences/our-insights/a-call-to-action-opportunities-and-challenges-for-cgts-in-Europe</w:t>
        </w:r>
      </w:hyperlink>
      <w:r>
        <w:t xml:space="preserve"> [Accessed June 2022]</w:t>
      </w:r>
    </w:p>
  </w:footnote>
  <w:footnote w:id="6">
    <w:p w14:paraId="35D876D2" w14:textId="0A4F2950" w:rsidR="00446C75" w:rsidRDefault="00446C75">
      <w:pPr>
        <w:pStyle w:val="Tekstprzypisudolnego"/>
      </w:pPr>
      <w:r>
        <w:rPr>
          <w:rStyle w:val="Odwoanieprzypisudolnego"/>
        </w:rPr>
        <w:footnoteRef/>
      </w:r>
      <w:r>
        <w:t xml:space="preserve"> </w:t>
      </w:r>
      <w:r>
        <w:tab/>
        <w:t>CRA analysis of data retrieved in July 2022 from GlobalData.com</w:t>
      </w:r>
    </w:p>
  </w:footnote>
  <w:footnote w:id="7">
    <w:p w14:paraId="7769538D" w14:textId="0D8E0A8D" w:rsidR="00ED6176" w:rsidRDefault="00ED6176">
      <w:pPr>
        <w:pStyle w:val="Tekstprzypisudolnego"/>
      </w:pPr>
      <w:r>
        <w:rPr>
          <w:rStyle w:val="Odwoanieprzypisudolnego"/>
        </w:rPr>
        <w:footnoteRef/>
      </w:r>
      <w:r>
        <w:t xml:space="preserve"> </w:t>
      </w:r>
      <w:r>
        <w:tab/>
      </w:r>
      <w:r w:rsidR="00F01759" w:rsidRPr="00F01759">
        <w:t>IMD World Digital Competitiveness Centre (2022) World Digital Competitiveness Ranking 202</w:t>
      </w:r>
      <w:r w:rsidR="008266BD">
        <w:t>2</w:t>
      </w:r>
      <w:r w:rsidR="00F01759" w:rsidRPr="00F01759">
        <w:t xml:space="preserve">. Available at: </w:t>
      </w:r>
      <w:hyperlink r:id="rId4" w:history="1">
        <w:r w:rsidR="00EC16D4" w:rsidRPr="00EC16D4">
          <w:rPr>
            <w:rStyle w:val="Hipercze"/>
            <w:sz w:val="16"/>
            <w:szCs w:val="16"/>
          </w:rPr>
          <w:t>https://www.imd.org/centers/world-competitiveness-center/rankings/world-digital-competitiveness/</w:t>
        </w:r>
      </w:hyperlink>
      <w:r w:rsidRPr="00D53D69">
        <w:rPr>
          <w:szCs w:val="16"/>
        </w:rPr>
        <w:t xml:space="preserve"> [Accessed </w:t>
      </w:r>
      <w:r w:rsidR="008266BD">
        <w:rPr>
          <w:szCs w:val="16"/>
        </w:rPr>
        <w:t>October</w:t>
      </w:r>
      <w:r w:rsidR="008266BD" w:rsidRPr="00D53D69">
        <w:rPr>
          <w:szCs w:val="16"/>
        </w:rPr>
        <w:t xml:space="preserve"> </w:t>
      </w:r>
      <w:r w:rsidRPr="00D53D69">
        <w:rPr>
          <w:szCs w:val="16"/>
        </w:rPr>
        <w:t>2022]</w:t>
      </w:r>
    </w:p>
  </w:footnote>
  <w:footnote w:id="8">
    <w:p w14:paraId="0588BBE1" w14:textId="4DA1E9EE" w:rsidR="00CA2E64" w:rsidRDefault="00CA2E64" w:rsidP="00CA2E64">
      <w:pPr>
        <w:pStyle w:val="Tekstprzypisudolnego"/>
      </w:pPr>
      <w:r>
        <w:rPr>
          <w:rStyle w:val="Odwoanieprzypisudolnego"/>
        </w:rPr>
        <w:footnoteRef/>
      </w:r>
      <w:r>
        <w:t xml:space="preserve"> </w:t>
      </w:r>
      <w:r>
        <w:tab/>
        <w:t xml:space="preserve">European Commission </w:t>
      </w:r>
      <w:r w:rsidR="00355250">
        <w:t>(</w:t>
      </w:r>
      <w:r>
        <w:t>2020</w:t>
      </w:r>
      <w:r w:rsidR="00355250">
        <w:t>)</w:t>
      </w:r>
      <w:r>
        <w:t xml:space="preserve"> Pharmaceutical Strategy for Europe</w:t>
      </w:r>
      <w:r w:rsidR="00355250">
        <w:t xml:space="preserve">. </w:t>
      </w:r>
      <w:r w:rsidR="000860D9">
        <w:t xml:space="preserve">Available at: </w:t>
      </w:r>
      <w:hyperlink r:id="rId5" w:history="1">
        <w:r w:rsidR="00355250" w:rsidRPr="00A160AA">
          <w:rPr>
            <w:rStyle w:val="Hipercze"/>
            <w:sz w:val="16"/>
          </w:rPr>
          <w:t>https://health.ec.europa.eu/system/files/2021-02/pharma-strategy_report_en_0.pdf</w:t>
        </w:r>
      </w:hyperlink>
      <w:r w:rsidR="00355250">
        <w:t xml:space="preserve"> [Accessed July 2022]</w:t>
      </w:r>
    </w:p>
  </w:footnote>
  <w:footnote w:id="9">
    <w:p w14:paraId="785453E9" w14:textId="029ACA7A" w:rsidR="00F152A6" w:rsidRPr="00F152A6" w:rsidRDefault="00F152A6" w:rsidP="00F152A6">
      <w:pPr>
        <w:pStyle w:val="Tekstprzypisudolnego"/>
        <w:spacing w:before="0" w:after="0"/>
        <w:ind w:hanging="709"/>
        <w:rPr>
          <w:szCs w:val="16"/>
        </w:rPr>
      </w:pPr>
      <w:r w:rsidRPr="00F152A6">
        <w:rPr>
          <w:rStyle w:val="Odwoanieprzypisudolnego"/>
          <w:szCs w:val="16"/>
        </w:rPr>
        <w:footnoteRef/>
      </w:r>
      <w:r w:rsidRPr="00F152A6">
        <w:rPr>
          <w:szCs w:val="16"/>
        </w:rPr>
        <w:t xml:space="preserve"> </w:t>
      </w:r>
      <w:r w:rsidRPr="00F152A6">
        <w:rPr>
          <w:szCs w:val="16"/>
        </w:rPr>
        <w:tab/>
        <w:t>“Innovation in the pharmaceutical sector”</w:t>
      </w:r>
      <w:r w:rsidR="00F01759">
        <w:rPr>
          <w:szCs w:val="16"/>
        </w:rPr>
        <w:t>.</w:t>
      </w:r>
      <w:r w:rsidRPr="00F152A6">
        <w:rPr>
          <w:szCs w:val="16"/>
        </w:rPr>
        <w:t xml:space="preserve"> A report by Charles River Associates for DG Enterprise, 2004. </w:t>
      </w:r>
      <w:hyperlink r:id="rId6" w:history="1">
        <w:r w:rsidRPr="00F152A6">
          <w:rPr>
            <w:rStyle w:val="Hipercze"/>
            <w:sz w:val="16"/>
            <w:szCs w:val="16"/>
          </w:rPr>
          <w:t>https://media.crai.com/sites/default/files/publications/innovation-in-the-pharmaceutical-sector.pdf</w:t>
        </w:r>
      </w:hyperlink>
      <w:r w:rsidRPr="00F152A6">
        <w:rPr>
          <w:szCs w:val="16"/>
        </w:rPr>
        <w:t>. Indeed. The recognition of the issue occurred much earlier still</w:t>
      </w:r>
      <w:r w:rsidR="00B83766">
        <w:rPr>
          <w:szCs w:val="16"/>
        </w:rPr>
        <w:t>.</w:t>
      </w:r>
      <w:r w:rsidRPr="00F152A6">
        <w:rPr>
          <w:szCs w:val="16"/>
        </w:rPr>
        <w:t xml:space="preserve"> In its 1994 Communication on the Outlines of an Industrial Policy for the Pharmaceutical Sector in the European Community, the European Commission stated that the pharmaceutical “industry is a substantial asset for growth and employment in the European Union” and that “there are signs that the competitiveness of the Community industry is yielding in comparison with its main competitors”</w:t>
      </w:r>
      <w:r w:rsidR="00B83766">
        <w:rPr>
          <w:szCs w:val="16"/>
        </w:rPr>
        <w:t>.</w:t>
      </w:r>
    </w:p>
  </w:footnote>
  <w:footnote w:id="10">
    <w:p w14:paraId="6AF19C38" w14:textId="075663A5" w:rsidR="008619D7" w:rsidRDefault="008619D7" w:rsidP="008619D7">
      <w:pPr>
        <w:pStyle w:val="Tekstprzypisudolnego"/>
      </w:pPr>
      <w:r>
        <w:rPr>
          <w:rStyle w:val="Odwoanieprzypisudolnego"/>
        </w:rPr>
        <w:footnoteRef/>
      </w:r>
      <w:r>
        <w:t xml:space="preserve"> </w:t>
      </w:r>
      <w:r>
        <w:tab/>
        <w:t>Study on the relationship between the localisation of production, R&amp;D and innovation activities ANNEX 2: Data analysis report. 2014</w:t>
      </w:r>
      <w:r w:rsidR="00B83766">
        <w:t>.</w:t>
      </w:r>
      <w:r>
        <w:t xml:space="preserve"> A report undertaken on behalf of European Commission</w:t>
      </w:r>
    </w:p>
  </w:footnote>
  <w:footnote w:id="11">
    <w:p w14:paraId="511FE5C5" w14:textId="455F501D" w:rsidR="002F221F" w:rsidRDefault="002F221F">
      <w:pPr>
        <w:pStyle w:val="Tekstprzypisudolnego"/>
      </w:pPr>
      <w:r>
        <w:rPr>
          <w:rStyle w:val="Odwoanieprzypisudolnego"/>
        </w:rPr>
        <w:footnoteRef/>
      </w:r>
      <w:r>
        <w:t xml:space="preserve"> </w:t>
      </w:r>
      <w:r>
        <w:tab/>
      </w:r>
      <w:r w:rsidR="004407FE">
        <w:t>IDEA Consult and VDI Technolo</w:t>
      </w:r>
      <w:r w:rsidR="00B83766">
        <w:t>g</w:t>
      </w:r>
      <w:r w:rsidR="004407FE">
        <w:t xml:space="preserve">iezentrum on behalf of the European Commission (2018) R&amp;D and Innovation Activities in Companies </w:t>
      </w:r>
      <w:r w:rsidR="00566EA0">
        <w:t>A</w:t>
      </w:r>
      <w:r w:rsidR="004407FE">
        <w:t xml:space="preserve">cross </w:t>
      </w:r>
      <w:r w:rsidR="00566EA0">
        <w:t>Global Value Chains.</w:t>
      </w:r>
    </w:p>
  </w:footnote>
  <w:footnote w:id="12">
    <w:p w14:paraId="56240269" w14:textId="1D96F167" w:rsidR="00F152A6" w:rsidRPr="00F152A6" w:rsidRDefault="00F152A6" w:rsidP="002823BC">
      <w:pPr>
        <w:pStyle w:val="Tekstprzypisudolnego"/>
        <w:spacing w:before="0" w:after="0"/>
        <w:ind w:hanging="706"/>
        <w:rPr>
          <w:szCs w:val="16"/>
        </w:rPr>
      </w:pPr>
      <w:r w:rsidRPr="00F152A6">
        <w:rPr>
          <w:rStyle w:val="Odwoanieprzypisudolnego"/>
          <w:szCs w:val="16"/>
        </w:rPr>
        <w:footnoteRef/>
      </w:r>
      <w:r w:rsidRPr="00F152A6">
        <w:rPr>
          <w:szCs w:val="16"/>
        </w:rPr>
        <w:t xml:space="preserve"> </w:t>
      </w:r>
      <w:r w:rsidRPr="00F152A6">
        <w:rPr>
          <w:szCs w:val="16"/>
        </w:rPr>
        <w:tab/>
        <w:t>EFPIA has previously highlighted this</w:t>
      </w:r>
      <w:r w:rsidR="00B83766">
        <w:rPr>
          <w:szCs w:val="16"/>
        </w:rPr>
        <w:t xml:space="preserve"> in</w:t>
      </w:r>
      <w:r w:rsidRPr="00F152A6">
        <w:rPr>
          <w:szCs w:val="16"/>
        </w:rPr>
        <w:t xml:space="preserve"> “Would the last pharmaceutical investor in Europe please turn the lights out”</w:t>
      </w:r>
      <w:r w:rsidR="00B83766">
        <w:rPr>
          <w:szCs w:val="16"/>
        </w:rPr>
        <w:t>. 3 January 2020</w:t>
      </w:r>
    </w:p>
  </w:footnote>
  <w:footnote w:id="13">
    <w:p w14:paraId="3E7D5E38" w14:textId="42B7B19E" w:rsidR="00F152A6" w:rsidRPr="00F152A6" w:rsidRDefault="00F152A6" w:rsidP="00B83766">
      <w:pPr>
        <w:pStyle w:val="Tekstprzypisudolnego"/>
        <w:spacing w:before="0" w:after="0"/>
        <w:jc w:val="left"/>
        <w:rPr>
          <w:szCs w:val="16"/>
        </w:rPr>
      </w:pPr>
      <w:r w:rsidRPr="00F152A6">
        <w:rPr>
          <w:rStyle w:val="Odwoanieprzypisudolnego"/>
          <w:szCs w:val="16"/>
        </w:rPr>
        <w:footnoteRef/>
      </w:r>
      <w:r w:rsidRPr="00F152A6">
        <w:rPr>
          <w:szCs w:val="16"/>
        </w:rPr>
        <w:t xml:space="preserve"> </w:t>
      </w:r>
      <w:r w:rsidRPr="00F152A6">
        <w:rPr>
          <w:szCs w:val="16"/>
        </w:rPr>
        <w:tab/>
        <w:t xml:space="preserve">Kearney (2005) FDI Confidence Index. </w:t>
      </w:r>
      <w:r w:rsidR="00D34428">
        <w:rPr>
          <w:szCs w:val="16"/>
        </w:rPr>
        <w:t>Available at:</w:t>
      </w:r>
      <w:r w:rsidRPr="00F152A6">
        <w:rPr>
          <w:szCs w:val="16"/>
        </w:rPr>
        <w:t xml:space="preserve"> </w:t>
      </w:r>
      <w:hyperlink r:id="rId7" w:history="1">
        <w:r w:rsidRPr="00F152A6">
          <w:rPr>
            <w:rStyle w:val="Hipercze"/>
            <w:sz w:val="16"/>
            <w:szCs w:val="16"/>
          </w:rPr>
          <w:t>https://www.kearney.com/documents/291362523/291366906/FDICI-2005.pdf/</w:t>
        </w:r>
      </w:hyperlink>
      <w:r w:rsidRPr="00F152A6">
        <w:rPr>
          <w:szCs w:val="16"/>
        </w:rPr>
        <w:t xml:space="preserve"> [Accessed June 2022]</w:t>
      </w:r>
    </w:p>
  </w:footnote>
  <w:footnote w:id="14">
    <w:p w14:paraId="30F26646" w14:textId="26C8C7BD" w:rsidR="008B450D" w:rsidRDefault="008B450D" w:rsidP="00EC401D">
      <w:pPr>
        <w:pStyle w:val="Tekstprzypisudolnego"/>
      </w:pPr>
      <w:r w:rsidRPr="00FA491C">
        <w:rPr>
          <w:rStyle w:val="Odwoanieprzypisudolnego"/>
        </w:rPr>
        <w:footnoteRef/>
      </w:r>
      <w:r w:rsidRPr="00FA491C">
        <w:t xml:space="preserve"> </w:t>
      </w:r>
      <w:r w:rsidRPr="00FA491C">
        <w:tab/>
        <w:t xml:space="preserve">Kearney (2012) FDI Confidence Index ‘Cautious Investors Feed a Tentative Recovery’. </w:t>
      </w:r>
      <w:r w:rsidR="00D34428">
        <w:t>Available at:</w:t>
      </w:r>
      <w:r w:rsidRPr="008B450D">
        <w:t xml:space="preserve"> </w:t>
      </w:r>
      <w:hyperlink r:id="rId8" w:history="1">
        <w:r w:rsidRPr="00F22AA2">
          <w:rPr>
            <w:rStyle w:val="Hipercze"/>
            <w:sz w:val="16"/>
          </w:rPr>
          <w:t>https://www.kearney.com/documents/291362523/291366906/Cautious_Investors_Feed_a_Tentative_Recovery-FDICI+2012.pdf/</w:t>
        </w:r>
      </w:hyperlink>
      <w:r w:rsidR="00BD4C5B">
        <w:t xml:space="preserve"> </w:t>
      </w:r>
      <w:r w:rsidRPr="008B450D">
        <w:t>[Accessed June 2022]</w:t>
      </w:r>
    </w:p>
  </w:footnote>
  <w:footnote w:id="15">
    <w:p w14:paraId="1C209A3A" w14:textId="3A6EDABA" w:rsidR="008B450D" w:rsidRDefault="008B450D">
      <w:pPr>
        <w:pStyle w:val="Tekstprzypisudolnego"/>
      </w:pPr>
      <w:r>
        <w:rPr>
          <w:rStyle w:val="Odwoanieprzypisudolnego"/>
        </w:rPr>
        <w:footnoteRef/>
      </w:r>
      <w:r>
        <w:t xml:space="preserve"> </w:t>
      </w:r>
      <w:r w:rsidR="00EC401D">
        <w:tab/>
      </w:r>
      <w:r w:rsidR="00EC401D" w:rsidRPr="00F152A6">
        <w:rPr>
          <w:szCs w:val="16"/>
        </w:rPr>
        <w:t xml:space="preserve">Kearney (2022) FDI Confidence Index ‘Optimism Dashed’. </w:t>
      </w:r>
      <w:r w:rsidR="00D34428">
        <w:rPr>
          <w:szCs w:val="16"/>
        </w:rPr>
        <w:t>Available at:</w:t>
      </w:r>
      <w:r w:rsidR="00EC401D" w:rsidRPr="00F152A6">
        <w:rPr>
          <w:szCs w:val="16"/>
        </w:rPr>
        <w:t xml:space="preserve"> </w:t>
      </w:r>
      <w:hyperlink r:id="rId9" w:history="1">
        <w:r w:rsidR="00EC401D" w:rsidRPr="00F152A6">
          <w:rPr>
            <w:rStyle w:val="Hipercze"/>
            <w:sz w:val="16"/>
            <w:szCs w:val="16"/>
          </w:rPr>
          <w:t>https://www.kearney.com/foreign-direct-investment-confidence-index/2022-full-report</w:t>
        </w:r>
      </w:hyperlink>
      <w:r w:rsidR="00EC401D" w:rsidRPr="00F152A6">
        <w:rPr>
          <w:szCs w:val="16"/>
        </w:rPr>
        <w:t xml:space="preserve"> [Accessed June 2022]</w:t>
      </w:r>
    </w:p>
  </w:footnote>
  <w:footnote w:id="16">
    <w:p w14:paraId="2474320D" w14:textId="49C9F334" w:rsidR="00F152A6" w:rsidRDefault="00F152A6">
      <w:pPr>
        <w:pStyle w:val="Tekstprzypisudolnego"/>
        <w:spacing w:before="0" w:after="0"/>
      </w:pPr>
      <w:r>
        <w:rPr>
          <w:rStyle w:val="Odwoanieprzypisudolnego"/>
        </w:rPr>
        <w:footnoteRef/>
      </w:r>
      <w:r>
        <w:t xml:space="preserve"> </w:t>
      </w:r>
      <w:r>
        <w:tab/>
        <w:t xml:space="preserve">Kearney (2016) FDI Confidence Index ‘FDI on the Rebound?’. </w:t>
      </w:r>
      <w:r w:rsidR="00D34428">
        <w:t>Available at:</w:t>
      </w:r>
      <w:r>
        <w:t xml:space="preserve"> </w:t>
      </w:r>
      <w:hyperlink r:id="rId10" w:history="1">
        <w:r w:rsidRPr="00862F73">
          <w:rPr>
            <w:rStyle w:val="Hipercze"/>
            <w:sz w:val="16"/>
          </w:rPr>
          <w:t>https://www.kearney.com/foreign-direct-investment-confidence-index/2016-full-report</w:t>
        </w:r>
      </w:hyperlink>
      <w:r>
        <w:t xml:space="preserve"> [Accessed June 2022]</w:t>
      </w:r>
    </w:p>
  </w:footnote>
  <w:footnote w:id="17">
    <w:p w14:paraId="18B0D78B" w14:textId="551CEBF1" w:rsidR="00F152A6" w:rsidRDefault="00F152A6">
      <w:pPr>
        <w:pStyle w:val="Tekstprzypisudolnego"/>
        <w:spacing w:before="0" w:after="0"/>
        <w:jc w:val="left"/>
      </w:pPr>
      <w:r>
        <w:rPr>
          <w:rStyle w:val="Odwoanieprzypisudolnego"/>
        </w:rPr>
        <w:footnoteRef/>
      </w:r>
      <w:r>
        <w:t xml:space="preserve"> </w:t>
      </w:r>
      <w:r>
        <w:tab/>
      </w:r>
      <w:r w:rsidRPr="008B0BB7">
        <w:t>Attracting Life Science Investments in Europe</w:t>
      </w:r>
      <w:r>
        <w:t xml:space="preserve">. </w:t>
      </w:r>
      <w:r w:rsidRPr="008B0BB7">
        <w:t>A</w:t>
      </w:r>
      <w:r>
        <w:t>n</w:t>
      </w:r>
      <w:r w:rsidRPr="008B0BB7">
        <w:t xml:space="preserve"> </w:t>
      </w:r>
      <w:r>
        <w:t xml:space="preserve">Initiative of the </w:t>
      </w:r>
      <w:r w:rsidRPr="008B0BB7">
        <w:t>BIOMED A</w:t>
      </w:r>
      <w:r>
        <w:t>lliance</w:t>
      </w:r>
      <w:r w:rsidRPr="008B0BB7">
        <w:t>, EUROPABIO &amp; JOHNSON &amp; JOHNSON</w:t>
      </w:r>
      <w:r w:rsidR="009E2B28">
        <w:t>.</w:t>
      </w:r>
      <w:r w:rsidRPr="008B0BB7">
        <w:t xml:space="preserve"> 22 June 2021</w:t>
      </w:r>
      <w:r>
        <w:t xml:space="preserve"> </w:t>
      </w:r>
      <w:hyperlink r:id="rId11" w:history="1">
        <w:r w:rsidR="00FE4313" w:rsidRPr="00A8083E">
          <w:rPr>
            <w:rStyle w:val="Hipercze"/>
            <w:sz w:val="16"/>
          </w:rPr>
          <w:t>https://www.janssen.com/emea/sites/www_janssen_com_emea/files/life_science_attractiveness_july.pdf</w:t>
        </w:r>
      </w:hyperlink>
      <w:r w:rsidR="00FE4313">
        <w:t xml:space="preserve"> </w:t>
      </w:r>
    </w:p>
  </w:footnote>
  <w:footnote w:id="18">
    <w:p w14:paraId="52EBE72C" w14:textId="3B042406" w:rsidR="00794777" w:rsidRDefault="00794777" w:rsidP="00454F13">
      <w:pPr>
        <w:pStyle w:val="Tekstprzypisudolnego"/>
        <w:spacing w:before="0" w:after="0"/>
      </w:pPr>
      <w:r>
        <w:rPr>
          <w:rStyle w:val="Odwoanieprzypisudolnego"/>
        </w:rPr>
        <w:footnoteRef/>
      </w:r>
      <w:r>
        <w:t xml:space="preserve"> </w:t>
      </w:r>
      <w:r>
        <w:tab/>
      </w:r>
      <w:r w:rsidR="00575D9A" w:rsidRPr="00FA491C">
        <w:t>Europe</w:t>
      </w:r>
      <w:r w:rsidR="00575D9A" w:rsidRPr="00EC1954">
        <w:t>an Commission</w:t>
      </w:r>
      <w:r w:rsidR="009E2B28">
        <w:t>.</w:t>
      </w:r>
      <w:r w:rsidR="00575D9A" w:rsidRPr="00BC3AE6">
        <w:t xml:space="preserve"> </w:t>
      </w:r>
      <w:r w:rsidR="00FA491C" w:rsidRPr="00BC3AE6">
        <w:t>The 2021 EU Industrial R&amp;D Investment Scoreboard</w:t>
      </w:r>
      <w:r w:rsidR="009E2B28">
        <w:t>.</w:t>
      </w:r>
      <w:r w:rsidR="00FA491C" w:rsidRPr="00BC3AE6">
        <w:t xml:space="preserve"> </w:t>
      </w:r>
      <w:r w:rsidR="009E2B28">
        <w:t>A</w:t>
      </w:r>
      <w:r w:rsidR="00FA491C" w:rsidRPr="00BC3AE6">
        <w:t>vailable at</w:t>
      </w:r>
      <w:r w:rsidR="009E2B28">
        <w:t>:</w:t>
      </w:r>
      <w:r w:rsidR="00FA491C" w:rsidRPr="00BC3AE6">
        <w:t xml:space="preserve"> </w:t>
      </w:r>
      <w:hyperlink r:id="rId12" w:history="1">
        <w:r w:rsidR="00FA491C" w:rsidRPr="00D942C8">
          <w:rPr>
            <w:rStyle w:val="Hipercze"/>
            <w:sz w:val="16"/>
          </w:rPr>
          <w:t>https://iri.jrc.ec.europa.eu/scoreboard/2021-eu-industrial-rd-investment-scoreboard</w:t>
        </w:r>
      </w:hyperlink>
      <w:r w:rsidR="00BD4C5B">
        <w:t xml:space="preserve"> </w:t>
      </w:r>
      <w:r w:rsidR="00FA491C" w:rsidRPr="00EC1954">
        <w:t>[</w:t>
      </w:r>
      <w:r w:rsidR="00FA491C" w:rsidRPr="00BC3AE6">
        <w:t>Accessed June 2022]</w:t>
      </w:r>
    </w:p>
  </w:footnote>
  <w:footnote w:id="19">
    <w:p w14:paraId="23961CA9" w14:textId="46711D86" w:rsidR="00862CCF" w:rsidRDefault="00862CCF">
      <w:pPr>
        <w:pStyle w:val="Tekstprzypisudolnego"/>
      </w:pPr>
      <w:r>
        <w:rPr>
          <w:rStyle w:val="Odwoanieprzypisudolnego"/>
        </w:rPr>
        <w:footnoteRef/>
      </w:r>
      <w:r>
        <w:t xml:space="preserve"> </w:t>
      </w:r>
      <w:r>
        <w:tab/>
      </w:r>
      <w:r w:rsidRPr="00FA491C">
        <w:t>Europe</w:t>
      </w:r>
      <w:r w:rsidRPr="00EC1954">
        <w:t>an Commission</w:t>
      </w:r>
      <w:r w:rsidR="009E2B28">
        <w:t>.</w:t>
      </w:r>
      <w:r w:rsidRPr="00BC3AE6">
        <w:t xml:space="preserve"> The 2021 EU Industrial R&amp;D Investment Scoreboard</w:t>
      </w:r>
      <w:r w:rsidR="009E2B28">
        <w:t xml:space="preserve">. Available at: </w:t>
      </w:r>
      <w:hyperlink r:id="rId13" w:history="1">
        <w:r w:rsidRPr="00D942C8">
          <w:rPr>
            <w:rStyle w:val="Hipercze"/>
            <w:sz w:val="16"/>
          </w:rPr>
          <w:t>https://iri.jrc.ec.europa.eu/scoreboard/2021-eu-industrial-rd-investment-scoreboard</w:t>
        </w:r>
      </w:hyperlink>
      <w:r w:rsidR="00BD4C5B">
        <w:t xml:space="preserve"> </w:t>
      </w:r>
      <w:r w:rsidRPr="00EC1954">
        <w:t>[</w:t>
      </w:r>
      <w:r w:rsidRPr="00BC3AE6">
        <w:t>Accessed June 2022]</w:t>
      </w:r>
    </w:p>
  </w:footnote>
  <w:footnote w:id="20">
    <w:p w14:paraId="2CD40090" w14:textId="4C118D18" w:rsidR="002B6061" w:rsidRDefault="002B6061" w:rsidP="00454F13">
      <w:pPr>
        <w:pStyle w:val="Tekstprzypisudolnego"/>
        <w:spacing w:before="0" w:after="0"/>
      </w:pPr>
      <w:r>
        <w:rPr>
          <w:rStyle w:val="Odwoanieprzypisudolnego"/>
        </w:rPr>
        <w:footnoteRef/>
      </w:r>
      <w:r>
        <w:t xml:space="preserve"> </w:t>
      </w:r>
      <w:r>
        <w:tab/>
      </w:r>
      <w:r w:rsidR="00EC1954" w:rsidRPr="00A73960">
        <w:t>European Commission</w:t>
      </w:r>
      <w:r w:rsidR="009E2B28">
        <w:t>.</w:t>
      </w:r>
      <w:r w:rsidR="00EC1954" w:rsidRPr="00A73960">
        <w:t xml:space="preserve"> 2020</w:t>
      </w:r>
      <w:r w:rsidR="009E2B28">
        <w:t>.</w:t>
      </w:r>
      <w:r w:rsidR="00EC1954" w:rsidRPr="00BC3AE6">
        <w:t xml:space="preserve"> A pharmaceutical strategy for Europe</w:t>
      </w:r>
      <w:r w:rsidR="009E2B28">
        <w:t xml:space="preserve">. Available at: </w:t>
      </w:r>
      <w:hyperlink r:id="rId14" w:history="1">
        <w:r w:rsidR="00EC1954" w:rsidRPr="00A87768">
          <w:rPr>
            <w:rStyle w:val="Hipercze"/>
            <w:sz w:val="16"/>
          </w:rPr>
          <w:t>https://ec.europa.eu/health/medicinal-products/pharmaceutical-strategy-europe_en</w:t>
        </w:r>
      </w:hyperlink>
      <w:r w:rsidR="00FE4313" w:rsidRPr="00A73960">
        <w:t xml:space="preserve"> </w:t>
      </w:r>
      <w:r w:rsidR="00A73960" w:rsidRPr="00BC3AE6">
        <w:t>[Accessed June 2022]</w:t>
      </w:r>
    </w:p>
  </w:footnote>
  <w:footnote w:id="21">
    <w:p w14:paraId="52293701" w14:textId="4A79E8ED" w:rsidR="00774976" w:rsidRDefault="00774976">
      <w:pPr>
        <w:pStyle w:val="Tekstprzypisudolnego"/>
      </w:pPr>
      <w:r>
        <w:rPr>
          <w:rStyle w:val="Odwoanieprzypisudolnego"/>
        </w:rPr>
        <w:footnoteRef/>
      </w:r>
      <w:r>
        <w:t xml:space="preserve"> </w:t>
      </w:r>
      <w:r>
        <w:tab/>
      </w:r>
      <w:r w:rsidR="00624AE3">
        <w:t xml:space="preserve">EvaluatePharma (2021) </w:t>
      </w:r>
      <w:r w:rsidR="00624AE3" w:rsidRPr="00624AE3">
        <w:t>World Preview 2021, Outlook to 2026 report</w:t>
      </w:r>
      <w:r w:rsidR="00624AE3">
        <w:t xml:space="preserve">. Available at: </w:t>
      </w:r>
      <w:hyperlink r:id="rId15" w:history="1">
        <w:r w:rsidR="00624AE3" w:rsidRPr="00BE420C">
          <w:rPr>
            <w:rStyle w:val="Hipercze"/>
            <w:sz w:val="16"/>
          </w:rPr>
          <w:t>https://www.evaluate.com/thought-leadership/pharma/evaluate-pharma-world-preview-2021-outlook-2026</w:t>
        </w:r>
      </w:hyperlink>
      <w:r w:rsidR="00624AE3">
        <w:t xml:space="preserve"> [Accessed August 2022]</w:t>
      </w:r>
    </w:p>
  </w:footnote>
  <w:footnote w:id="22">
    <w:p w14:paraId="570D33AA" w14:textId="43165C8D" w:rsidR="00F30879" w:rsidRDefault="00F30879">
      <w:pPr>
        <w:pStyle w:val="Tekstprzypisudolnego"/>
      </w:pPr>
      <w:r>
        <w:rPr>
          <w:rStyle w:val="Odwoanieprzypisudolnego"/>
        </w:rPr>
        <w:footnoteRef/>
      </w:r>
      <w:r>
        <w:t xml:space="preserve"> </w:t>
      </w:r>
      <w:r>
        <w:tab/>
        <w:t>T</w:t>
      </w:r>
      <w:r w:rsidRPr="00F30879">
        <w:t>he 15 largest pharmaceutical companies invested a record $133 billion in 2021 in R&amp;D expenditure, an increase of 44% since 2016.</w:t>
      </w:r>
      <w:r w:rsidR="006B6C45">
        <w:t xml:space="preserve"> </w:t>
      </w:r>
      <w:r w:rsidR="000860D9">
        <w:t xml:space="preserve">Available at: </w:t>
      </w:r>
      <w:hyperlink r:id="rId16" w:history="1">
        <w:r w:rsidR="0015465E" w:rsidRPr="00BE420C">
          <w:rPr>
            <w:rStyle w:val="Hipercze"/>
            <w:sz w:val="16"/>
          </w:rPr>
          <w:t>https://www.iqvia.com/insights/the-iqvia-institute/reports/global-trends-in-r-and-d-2022</w:t>
        </w:r>
      </w:hyperlink>
      <w:r w:rsidR="0015465E">
        <w:t xml:space="preserve"> </w:t>
      </w:r>
    </w:p>
  </w:footnote>
  <w:footnote w:id="23">
    <w:p w14:paraId="17EB62A3" w14:textId="4BE97167" w:rsidR="00173A58" w:rsidRDefault="00173A58" w:rsidP="00173A58">
      <w:pPr>
        <w:pStyle w:val="Tekstprzypisudolnego"/>
        <w:spacing w:before="0" w:after="0"/>
        <w:jc w:val="left"/>
      </w:pPr>
      <w:r>
        <w:rPr>
          <w:rStyle w:val="Odwoanieprzypisudolnego"/>
        </w:rPr>
        <w:footnoteRef/>
      </w:r>
      <w:r>
        <w:t xml:space="preserve"> </w:t>
      </w:r>
      <w:r w:rsidR="00B372EB">
        <w:tab/>
      </w:r>
      <w:r>
        <w:t xml:space="preserve">European Parliamentary Research Service (2021) European pharmaceutical research and development: Could public infrastructure overcome market failures? </w:t>
      </w:r>
      <w:r w:rsidR="00D34428">
        <w:t>Available at:</w:t>
      </w:r>
      <w:r>
        <w:t xml:space="preserve"> </w:t>
      </w:r>
      <w:hyperlink r:id="rId17" w:history="1">
        <w:r w:rsidRPr="000C0A98">
          <w:rPr>
            <w:rStyle w:val="Hipercze"/>
            <w:sz w:val="16"/>
          </w:rPr>
          <w:t>https://www.europarl.europa.eu/thinktank/en/document/EPRS_STU(2021)697197</w:t>
        </w:r>
      </w:hyperlink>
      <w:r>
        <w:t xml:space="preserve"> [Accessed June 2022]</w:t>
      </w:r>
    </w:p>
  </w:footnote>
  <w:footnote w:id="24">
    <w:p w14:paraId="0FFF22B2" w14:textId="1D08DE55" w:rsidR="00D12DCB" w:rsidRDefault="00D12DCB">
      <w:pPr>
        <w:pStyle w:val="Tekstprzypisudolnego"/>
      </w:pPr>
      <w:r>
        <w:rPr>
          <w:rStyle w:val="Odwoanieprzypisudolnego"/>
        </w:rPr>
        <w:footnoteRef/>
      </w:r>
      <w:r>
        <w:t xml:space="preserve"> </w:t>
      </w:r>
      <w:r>
        <w:tab/>
      </w:r>
      <w:r w:rsidR="0063415B">
        <w:t xml:space="preserve">Trade associations represent different </w:t>
      </w:r>
      <w:r w:rsidR="00EE2E20">
        <w:t>number</w:t>
      </w:r>
      <w:r w:rsidR="009E2B28">
        <w:t>s</w:t>
      </w:r>
      <w:r w:rsidR="0063415B">
        <w:t xml:space="preserve"> of pharmaceutical companies</w:t>
      </w:r>
      <w:r w:rsidR="004F1C20">
        <w:t>:</w:t>
      </w:r>
      <w:r w:rsidR="0063415B">
        <w:t xml:space="preserve"> </w:t>
      </w:r>
      <w:r w:rsidR="00ED364F">
        <w:t>EFPIA</w:t>
      </w:r>
      <w:r w:rsidR="0063415B">
        <w:t xml:space="preserve"> 39</w:t>
      </w:r>
      <w:r w:rsidR="003F73CE">
        <w:t xml:space="preserve"> members,</w:t>
      </w:r>
      <w:r w:rsidR="00ED364F">
        <w:t xml:space="preserve"> </w:t>
      </w:r>
      <w:r w:rsidR="00094394">
        <w:t xml:space="preserve">PhRMA </w:t>
      </w:r>
      <w:r w:rsidR="00017016">
        <w:t>3</w:t>
      </w:r>
      <w:r w:rsidR="00ED364F">
        <w:t xml:space="preserve">3 </w:t>
      </w:r>
      <w:r w:rsidR="003F73CE">
        <w:t>members</w:t>
      </w:r>
      <w:r w:rsidR="00ED364F">
        <w:t xml:space="preserve">, </w:t>
      </w:r>
      <w:r w:rsidR="00ED1467">
        <w:t>JPMA 74 me</w:t>
      </w:r>
      <w:r w:rsidR="00EE2E20">
        <w:t>mbers</w:t>
      </w:r>
      <w:r w:rsidR="007B2977">
        <w:t>, RDPAC 44 members</w:t>
      </w:r>
      <w:r w:rsidR="001353D4">
        <w:t xml:space="preserve"> [as of June 2022]</w:t>
      </w:r>
      <w:r w:rsidR="009E2B28">
        <w:t>.</w:t>
      </w:r>
      <w:r w:rsidR="008117CB">
        <w:t xml:space="preserve"> Although other trade association</w:t>
      </w:r>
      <w:r w:rsidR="009E2B28">
        <w:t>s</w:t>
      </w:r>
      <w:r w:rsidR="008117CB">
        <w:t xml:space="preserve"> cover a wider set of companies, these do not report R&amp;D expenditure data.</w:t>
      </w:r>
    </w:p>
  </w:footnote>
  <w:footnote w:id="25">
    <w:p w14:paraId="28D86660" w14:textId="7F0CFBAE" w:rsidR="00397B61" w:rsidRDefault="00397B61">
      <w:pPr>
        <w:pStyle w:val="Tekstprzypisudolnego"/>
      </w:pPr>
      <w:r>
        <w:rPr>
          <w:rStyle w:val="Odwoanieprzypisudolnego"/>
        </w:rPr>
        <w:footnoteRef/>
      </w:r>
      <w:r>
        <w:t xml:space="preserve"> </w:t>
      </w:r>
      <w:r>
        <w:tab/>
        <w:t xml:space="preserve">It is important to note </w:t>
      </w:r>
      <w:r w:rsidR="000F41D7">
        <w:t xml:space="preserve">the </w:t>
      </w:r>
      <w:r>
        <w:t xml:space="preserve">difference in the </w:t>
      </w:r>
      <w:r w:rsidR="000F41D7">
        <w:t>methodology</w:t>
      </w:r>
      <w:r>
        <w:t xml:space="preserve"> to collect data on R&amp;D investments</w:t>
      </w:r>
      <w:r w:rsidR="009E2B28">
        <w:t>.</w:t>
      </w:r>
      <w:r>
        <w:t xml:space="preserve"> </w:t>
      </w:r>
      <w:r w:rsidR="009E2B28">
        <w:t>F</w:t>
      </w:r>
      <w:r>
        <w:t>or example</w:t>
      </w:r>
      <w:r w:rsidR="000F41D7">
        <w:t>,</w:t>
      </w:r>
      <w:r>
        <w:t xml:space="preserve"> PhRMA collects data </w:t>
      </w:r>
      <w:r w:rsidR="00AF0ED2">
        <w:t>from PhRMA member companies</w:t>
      </w:r>
      <w:r w:rsidR="009E2B28">
        <w:t>,</w:t>
      </w:r>
      <w:r w:rsidR="00AF0ED2">
        <w:t xml:space="preserve"> while EFPIA </w:t>
      </w:r>
      <w:r w:rsidR="00B447A3">
        <w:t xml:space="preserve">relates to the R&amp;D carried out in each country. In Europe, some countries reported </w:t>
      </w:r>
      <w:r w:rsidR="000F41D7">
        <w:t xml:space="preserve">the </w:t>
      </w:r>
      <w:r w:rsidR="00B447A3">
        <w:t>same level of R&amp;D investment</w:t>
      </w:r>
      <w:r w:rsidR="000F41D7">
        <w:t xml:space="preserve"> in </w:t>
      </w:r>
      <w:r w:rsidR="00DE0D51">
        <w:t xml:space="preserve">the </w:t>
      </w:r>
      <w:r w:rsidR="000F41D7">
        <w:t>last six years (</w:t>
      </w:r>
      <w:r w:rsidR="005B5355">
        <w:t>e.g.</w:t>
      </w:r>
      <w:r w:rsidR="00DE0D51">
        <w:t xml:space="preserve"> </w:t>
      </w:r>
      <w:r w:rsidR="000B2C4D">
        <w:t xml:space="preserve">France, </w:t>
      </w:r>
      <w:r w:rsidR="000F41D7">
        <w:t>Netherlands, Sweden)</w:t>
      </w:r>
      <w:r w:rsidR="00DE0D51">
        <w:t xml:space="preserve"> which potentially under</w:t>
      </w:r>
      <w:r w:rsidR="009E2B28">
        <w:t>- or</w:t>
      </w:r>
      <w:r w:rsidR="00DE0D51">
        <w:t xml:space="preserve"> </w:t>
      </w:r>
      <w:r w:rsidR="000B2C4D">
        <w:t>overestimate</w:t>
      </w:r>
      <w:r w:rsidR="00DE0D51">
        <w:t xml:space="preserve"> the actual level of investments in R&amp;D in Europe</w:t>
      </w:r>
      <w:r w:rsidR="009E2B28">
        <w:t>.</w:t>
      </w:r>
    </w:p>
  </w:footnote>
  <w:footnote w:id="26">
    <w:p w14:paraId="057F2FB9" w14:textId="30202FE8" w:rsidR="00625C84" w:rsidRDefault="00625C84" w:rsidP="00452401">
      <w:pPr>
        <w:pStyle w:val="Tekstprzypisudolnego"/>
        <w:spacing w:before="0" w:after="0"/>
      </w:pPr>
      <w:r>
        <w:rPr>
          <w:rStyle w:val="Odwoanieprzypisudolnego"/>
        </w:rPr>
        <w:footnoteRef/>
      </w:r>
      <w:r>
        <w:t xml:space="preserve"> </w:t>
      </w:r>
      <w:r w:rsidR="00B372EB">
        <w:tab/>
      </w:r>
      <w:r>
        <w:t xml:space="preserve">US source: </w:t>
      </w:r>
      <w:r w:rsidRPr="001E7BBB">
        <w:t>Pharmaceutical Research and Manufacturers of America, PhRMA Annual Survey</w:t>
      </w:r>
      <w:r>
        <w:t>; China source: Chinese Statistical Yearbook; Japan source:</w:t>
      </w:r>
      <w:r w:rsidR="00BD4C5B">
        <w:t xml:space="preserve"> </w:t>
      </w:r>
      <w:r>
        <w:t>Japan Pharmaceutical Manufacturers Association, R&amp;D Expenditures of the Pharmaceutical Industry; Europe source: European Federation of Pharmaceutical Industries and Associations, the Pharmaceutical Industry in Figures.</w:t>
      </w:r>
      <w:r w:rsidR="00955E72">
        <w:t xml:space="preserve"> </w:t>
      </w:r>
      <w:r w:rsidR="006E0E30">
        <w:t xml:space="preserve">All currencies converted to Euros with </w:t>
      </w:r>
      <w:r w:rsidR="006E0E30" w:rsidRPr="006E0E30">
        <w:t>ECB 2020 exchange rates</w:t>
      </w:r>
      <w:r w:rsidR="006E0E30">
        <w:t xml:space="preserve"> to control for fluctuations in relative currency value over time.</w:t>
      </w:r>
    </w:p>
  </w:footnote>
  <w:footnote w:id="27">
    <w:p w14:paraId="790E72FF" w14:textId="016DF597" w:rsidR="00755224" w:rsidRDefault="00755224">
      <w:pPr>
        <w:pStyle w:val="Tekstprzypisudolnego"/>
      </w:pPr>
      <w:r>
        <w:rPr>
          <w:rStyle w:val="Odwoanieprzypisudolnego"/>
        </w:rPr>
        <w:footnoteRef/>
      </w:r>
      <w:r>
        <w:t xml:space="preserve"> </w:t>
      </w:r>
      <w:r>
        <w:tab/>
      </w:r>
      <w:r w:rsidR="009E53C9" w:rsidRPr="009E53C9">
        <w:t>We have defined the pharmaceutical industry as using NACE code C21 (Manufacture of basic pharmaceutical products and pharmaceutical preparations). NACE codes are standard classification for businesses, which allow consistent analysis across EU countries</w:t>
      </w:r>
      <w:r w:rsidR="00F37984">
        <w:t xml:space="preserve">. </w:t>
      </w:r>
      <w:r w:rsidR="002A41AD" w:rsidRPr="002A41AD">
        <w:t>R&amp;D personnel include all persons employed directly within R&amp;D, as well as persons supplying direct services (such as managers, administrative staff and clerical staff)</w:t>
      </w:r>
      <w:r w:rsidR="00164A80">
        <w:t>. This is aligned with</w:t>
      </w:r>
      <w:r w:rsidR="001D743F">
        <w:t xml:space="preserve"> the</w:t>
      </w:r>
      <w:r w:rsidR="00164A80">
        <w:t xml:space="preserve"> </w:t>
      </w:r>
      <w:r w:rsidR="001D743F" w:rsidRPr="001D743F">
        <w:t>Frascati Manual 2015</w:t>
      </w:r>
      <w:r w:rsidR="001D743F">
        <w:t xml:space="preserve"> </w:t>
      </w:r>
      <w:r w:rsidR="009E2B28">
        <w:rPr>
          <w:rFonts w:cs="Arial"/>
        </w:rPr>
        <w:t>–</w:t>
      </w:r>
      <w:r w:rsidR="001D743F">
        <w:t xml:space="preserve"> t</w:t>
      </w:r>
      <w:r w:rsidR="001D743F" w:rsidRPr="001D743F">
        <w:t>he internationally recognised methodology for collecting and using R&amp;D statistics</w:t>
      </w:r>
      <w:r w:rsidR="00DA1734">
        <w:t>.</w:t>
      </w:r>
      <w:r w:rsidR="001D743F">
        <w:t xml:space="preserve"> </w:t>
      </w:r>
      <w:r w:rsidR="00DA1734">
        <w:t>A</w:t>
      </w:r>
      <w:r w:rsidR="001D743F">
        <w:t>vailable at</w:t>
      </w:r>
      <w:r w:rsidR="00DA1734">
        <w:t>:</w:t>
      </w:r>
      <w:r w:rsidR="001D743F">
        <w:t xml:space="preserve"> </w:t>
      </w:r>
      <w:hyperlink r:id="rId18" w:history="1">
        <w:r w:rsidR="007331A5" w:rsidRPr="00DA1734">
          <w:rPr>
            <w:rStyle w:val="Hipercze"/>
            <w:sz w:val="16"/>
          </w:rPr>
          <w:t>https://www.oecd.org/sti/frascati-manual-2015-9789264239012-en.htm</w:t>
        </w:r>
      </w:hyperlink>
    </w:p>
  </w:footnote>
  <w:footnote w:id="28">
    <w:p w14:paraId="607FDF4F" w14:textId="72736118" w:rsidR="00631268" w:rsidRDefault="00631268">
      <w:pPr>
        <w:pStyle w:val="Tekstprzypisudolnego"/>
      </w:pPr>
      <w:r>
        <w:rPr>
          <w:rStyle w:val="Odwoanieprzypisudolnego"/>
        </w:rPr>
        <w:footnoteRef/>
      </w:r>
      <w:r>
        <w:t xml:space="preserve"> </w:t>
      </w:r>
      <w:r>
        <w:tab/>
      </w:r>
      <w:r w:rsidR="00147AFA">
        <w:t>Chi</w:t>
      </w:r>
      <w:r w:rsidR="00147AFA" w:rsidRPr="00147AFA">
        <w:t>na Statistical Yearbook</w:t>
      </w:r>
      <w:r w:rsidR="00147AFA">
        <w:t xml:space="preserve"> is provided </w:t>
      </w:r>
      <w:r w:rsidR="00147AFA" w:rsidRPr="00147AFA">
        <w:t>by the National Bureau of Statistics of China</w:t>
      </w:r>
      <w:r w:rsidR="00147AFA">
        <w:t>.</w:t>
      </w:r>
      <w:r w:rsidR="00147AFA" w:rsidRPr="00147AFA">
        <w:t xml:space="preserve"> </w:t>
      </w:r>
      <w:r w:rsidRPr="00631268">
        <w:t>The statistical data cover</w:t>
      </w:r>
      <w:r w:rsidR="00147AFA">
        <w:t>s</w:t>
      </w:r>
      <w:r w:rsidRPr="00631268">
        <w:t xml:space="preserve"> all state-owned and non-state-owned enterprises with annual sales revenue above 5 million CNY. As these enterprises represented the main industrial components, it is credible </w:t>
      </w:r>
      <w:r w:rsidR="00DA1734">
        <w:t xml:space="preserve">that they </w:t>
      </w:r>
      <w:r w:rsidRPr="00631268">
        <w:t>reflect the main condition and progress of R&amp;D investment in China’s pharmaceutical industry</w:t>
      </w:r>
      <w:r w:rsidR="00DA1734">
        <w:t>.</w:t>
      </w:r>
    </w:p>
  </w:footnote>
  <w:footnote w:id="29">
    <w:p w14:paraId="4C7DBB94" w14:textId="6D54ABC9" w:rsidR="008C36F7" w:rsidRDefault="008C36F7" w:rsidP="00D46174">
      <w:pPr>
        <w:pStyle w:val="Tekstprzypisudolnego"/>
        <w:spacing w:before="0" w:after="0"/>
      </w:pPr>
      <w:r>
        <w:rPr>
          <w:rStyle w:val="Odwoanieprzypisudolnego"/>
        </w:rPr>
        <w:footnoteRef/>
      </w:r>
      <w:r>
        <w:t xml:space="preserve"> </w:t>
      </w:r>
      <w:r w:rsidR="00B372EB">
        <w:tab/>
      </w:r>
      <w:r>
        <w:t>US source:</w:t>
      </w:r>
      <w:r w:rsidR="00E76DBF">
        <w:t xml:space="preserve"> N</w:t>
      </w:r>
      <w:r w:rsidR="00CD5A0A">
        <w:t xml:space="preserve">ational </w:t>
      </w:r>
      <w:r w:rsidR="00E76DBF">
        <w:t>S</w:t>
      </w:r>
      <w:r w:rsidR="00CD5A0A">
        <w:t xml:space="preserve">cience </w:t>
      </w:r>
      <w:r w:rsidR="00E76DBF">
        <w:t>F</w:t>
      </w:r>
      <w:r w:rsidR="00CD5A0A">
        <w:t>oundation</w:t>
      </w:r>
      <w:r w:rsidR="00E76DBF">
        <w:t>; China source: National Statistics Office</w:t>
      </w:r>
      <w:r w:rsidR="00C60BAB">
        <w:t>, China Statistical Yearbook</w:t>
      </w:r>
      <w:r w:rsidR="00E76DBF">
        <w:t>; Japan source:</w:t>
      </w:r>
      <w:r w:rsidR="00452401" w:rsidRPr="00452401">
        <w:t xml:space="preserve"> </w:t>
      </w:r>
      <w:r w:rsidR="00452401">
        <w:t>Japan Pharmaceutical Manufacturers Association; Europe source:</w:t>
      </w:r>
      <w:r w:rsidR="00452401" w:rsidRPr="00452401">
        <w:t xml:space="preserve"> </w:t>
      </w:r>
      <w:r w:rsidR="00452401">
        <w:t>European Federation of Pharmaceutical Industries and Associations, the Pharmaceutical Industry in Figures</w:t>
      </w:r>
      <w:r w:rsidR="00161DE8">
        <w:t>.</w:t>
      </w:r>
      <w:r w:rsidR="00527E95">
        <w:t xml:space="preserve"> FTE = full-time equivalent.</w:t>
      </w:r>
    </w:p>
  </w:footnote>
  <w:footnote w:id="30">
    <w:p w14:paraId="7F3557C0" w14:textId="1A385E15" w:rsidR="00741BAF" w:rsidRDefault="00741BAF">
      <w:pPr>
        <w:pStyle w:val="Tekstprzypisudolnego"/>
      </w:pPr>
      <w:r>
        <w:rPr>
          <w:rStyle w:val="Odwoanieprzypisudolnego"/>
        </w:rPr>
        <w:footnoteRef/>
      </w:r>
      <w:r>
        <w:t xml:space="preserve"> </w:t>
      </w:r>
      <w:r>
        <w:tab/>
        <w:t>McKin</w:t>
      </w:r>
      <w:r w:rsidR="00C25403">
        <w:t>sey &amp; Company 2021</w:t>
      </w:r>
      <w:r w:rsidR="00DA1734">
        <w:t>.</w:t>
      </w:r>
      <w:r w:rsidR="00C25403">
        <w:t xml:space="preserve"> </w:t>
      </w:r>
      <w:r w:rsidR="00C25403" w:rsidRPr="00C25403">
        <w:t>Can European biotechs achieve greater scale in a fragmented landscape?</w:t>
      </w:r>
      <w:r w:rsidR="00DA1734">
        <w:t xml:space="preserve"> Available at: </w:t>
      </w:r>
      <w:hyperlink r:id="rId19" w:history="1">
        <w:r w:rsidR="00C25403" w:rsidRPr="003452D6">
          <w:rPr>
            <w:rStyle w:val="Hipercze"/>
            <w:sz w:val="16"/>
          </w:rPr>
          <w:t>https://www.mckinsey.com/industries/life-sciences/our-insights/can-european-biotechs-achieve-greater-scale-in-a-fragmented-landscape</w:t>
        </w:r>
      </w:hyperlink>
      <w:r w:rsidR="00C25403">
        <w:t xml:space="preserve"> </w:t>
      </w:r>
      <w:r w:rsidR="00AF56EC">
        <w:t>[Accessed</w:t>
      </w:r>
      <w:r w:rsidR="00C25403">
        <w:t xml:space="preserve"> June 2022]</w:t>
      </w:r>
    </w:p>
  </w:footnote>
  <w:footnote w:id="31">
    <w:p w14:paraId="1F9B5F81" w14:textId="1EB0ABFE" w:rsidR="00741BAF" w:rsidRDefault="00741BAF">
      <w:pPr>
        <w:pStyle w:val="Tekstprzypisudolnego"/>
      </w:pPr>
      <w:r>
        <w:rPr>
          <w:rStyle w:val="Odwoanieprzypisudolnego"/>
        </w:rPr>
        <w:footnoteRef/>
      </w:r>
      <w:r w:rsidR="0018650B">
        <w:t xml:space="preserve"> </w:t>
      </w:r>
      <w:r w:rsidR="0018650B">
        <w:tab/>
      </w:r>
      <w:r w:rsidR="0018650B" w:rsidRPr="0018650B">
        <w:t>McKinsey &amp; Company 2021</w:t>
      </w:r>
      <w:r w:rsidR="00DA1734">
        <w:t>.</w:t>
      </w:r>
      <w:r w:rsidR="001931C8">
        <w:t xml:space="preserve"> </w:t>
      </w:r>
      <w:r w:rsidR="00450B5A" w:rsidRPr="00450B5A">
        <w:t>Infographic: Capital landscape for European biotechs is maturing, but it continues to trail the United States</w:t>
      </w:r>
      <w:r w:rsidR="00DA1734">
        <w:t xml:space="preserve">. Available at: </w:t>
      </w:r>
      <w:hyperlink r:id="rId20" w:history="1">
        <w:r w:rsidR="00107F7A" w:rsidRPr="000B1BF1">
          <w:rPr>
            <w:rStyle w:val="Hipercze"/>
            <w:sz w:val="16"/>
          </w:rPr>
          <w:t>https://www.mckinsey.com/industries/life-sciences/our-insights/infographic-capital-landscape-for-european-biotechs-is-maturing-but-it-continues-to-trail-the-united-states</w:t>
        </w:r>
      </w:hyperlink>
      <w:r w:rsidR="00107F7A">
        <w:t xml:space="preserve"> </w:t>
      </w:r>
    </w:p>
  </w:footnote>
  <w:footnote w:id="32">
    <w:p w14:paraId="0B0FB0B2" w14:textId="0110FACC" w:rsidR="005943FD" w:rsidRDefault="005943FD">
      <w:pPr>
        <w:pStyle w:val="Tekstprzypisudolnego"/>
      </w:pPr>
      <w:r>
        <w:rPr>
          <w:rStyle w:val="Odwoanieprzypisudolnego"/>
        </w:rPr>
        <w:footnoteRef/>
      </w:r>
      <w:r>
        <w:t xml:space="preserve"> </w:t>
      </w:r>
      <w:r>
        <w:tab/>
        <w:t>IQVIA</w:t>
      </w:r>
      <w:r w:rsidR="00987037">
        <w:t xml:space="preserve"> Institute for Human Data Science 2022</w:t>
      </w:r>
      <w:r w:rsidR="00DA1734">
        <w:t xml:space="preserve">. Available at: </w:t>
      </w:r>
      <w:hyperlink r:id="rId21" w:history="1">
        <w:r w:rsidR="00286C27" w:rsidRPr="0009423D">
          <w:rPr>
            <w:rStyle w:val="Hipercze"/>
            <w:sz w:val="16"/>
          </w:rPr>
          <w:t>https://www.iqvia.com/insights/the-iqvia-institute/reports/emerging-biopharma-contribution-to-innovation</w:t>
        </w:r>
      </w:hyperlink>
      <w:r w:rsidR="00286C27">
        <w:t xml:space="preserve"> </w:t>
      </w:r>
      <w:r w:rsidR="00AF56EC">
        <w:t>[Accessed</w:t>
      </w:r>
      <w:r w:rsidR="00286C27">
        <w:t xml:space="preserve"> July 2022]</w:t>
      </w:r>
    </w:p>
  </w:footnote>
  <w:footnote w:id="33">
    <w:p w14:paraId="5FAA77C0" w14:textId="656BE6BB" w:rsidR="00454427" w:rsidRDefault="00454427">
      <w:pPr>
        <w:pStyle w:val="Tekstprzypisudolnego"/>
      </w:pPr>
      <w:r>
        <w:rPr>
          <w:rStyle w:val="Odwoanieprzypisudolnego"/>
        </w:rPr>
        <w:footnoteRef/>
      </w:r>
      <w:r>
        <w:t xml:space="preserve"> </w:t>
      </w:r>
      <w:r>
        <w:tab/>
        <w:t>McKinsey &amp; Company 2021</w:t>
      </w:r>
      <w:r w:rsidR="00DA1734">
        <w:t>.</w:t>
      </w:r>
      <w:r w:rsidR="00045E1E" w:rsidRPr="00045E1E">
        <w:t xml:space="preserve"> </w:t>
      </w:r>
      <w:r w:rsidR="00045E1E">
        <w:t>The dawn of China biopharma innovation</w:t>
      </w:r>
      <w:r w:rsidR="00DA1734">
        <w:t xml:space="preserve">. Available at: </w:t>
      </w:r>
      <w:hyperlink r:id="rId22" w:history="1">
        <w:r w:rsidR="00045E1E" w:rsidRPr="003452D6">
          <w:rPr>
            <w:rStyle w:val="Hipercze"/>
            <w:sz w:val="16"/>
          </w:rPr>
          <w:t>https://www.mckinsey.com/industries/life-sciences/our-insights/the-dawn-of-china-biopharma-innovation</w:t>
        </w:r>
      </w:hyperlink>
      <w:r w:rsidR="00045E1E">
        <w:t xml:space="preserve"> </w:t>
      </w:r>
      <w:r w:rsidR="00AF56EC">
        <w:t>[Accessed</w:t>
      </w:r>
      <w:r w:rsidR="00045E1E">
        <w:t xml:space="preserve"> June 2022] </w:t>
      </w:r>
    </w:p>
  </w:footnote>
  <w:footnote w:id="34">
    <w:p w14:paraId="6FCECC9A" w14:textId="4BF14465" w:rsidR="00920DBF" w:rsidRDefault="00920DBF">
      <w:pPr>
        <w:pStyle w:val="Tekstprzypisudolnego"/>
      </w:pPr>
      <w:r>
        <w:rPr>
          <w:rStyle w:val="Odwoanieprzypisudolnego"/>
        </w:rPr>
        <w:footnoteRef/>
      </w:r>
      <w:r>
        <w:t xml:space="preserve"> </w:t>
      </w:r>
      <w:r>
        <w:tab/>
      </w:r>
      <w:r w:rsidR="002D262B">
        <w:t xml:space="preserve">Nature Index institution rankings 2022. Available at: </w:t>
      </w:r>
      <w:hyperlink r:id="rId23" w:history="1">
        <w:r w:rsidR="002D262B" w:rsidRPr="00B55B3D">
          <w:rPr>
            <w:rStyle w:val="Hipercze"/>
            <w:sz w:val="16"/>
          </w:rPr>
          <w:t>https://www.nature.com/nature-index/annual-tables/2022/institution/all/all/global</w:t>
        </w:r>
      </w:hyperlink>
      <w:r w:rsidR="002D262B">
        <w:t xml:space="preserve"> [Accessed September 2022]</w:t>
      </w:r>
      <w:r>
        <w:t xml:space="preserve"> </w:t>
      </w:r>
    </w:p>
  </w:footnote>
  <w:footnote w:id="35">
    <w:p w14:paraId="5F51CF43" w14:textId="0234BE91" w:rsidR="0078741F" w:rsidRDefault="0078741F">
      <w:pPr>
        <w:pStyle w:val="Tekstprzypisudolnego"/>
      </w:pPr>
      <w:r>
        <w:rPr>
          <w:rStyle w:val="Odwoanieprzypisudolnego"/>
        </w:rPr>
        <w:footnoteRef/>
      </w:r>
      <w:r>
        <w:t xml:space="preserve"> </w:t>
      </w:r>
      <w:r>
        <w:tab/>
      </w:r>
      <w:hyperlink r:id="rId24" w:history="1">
        <w:r w:rsidRPr="00AF2643">
          <w:rPr>
            <w:rStyle w:val="Hipercze"/>
            <w:sz w:val="16"/>
          </w:rPr>
          <w:t>https://www.pharmaceutical-technology.com/analysis/pharma-ai-investment/</w:t>
        </w:r>
      </w:hyperlink>
      <w:r>
        <w:t xml:space="preserve">. There are estimates of public investment in this area. For example, it is reported that </w:t>
      </w:r>
      <w:r w:rsidRPr="0078741F">
        <w:t>annual investment of the EU in AI is €1bn, compared to €5.1bn invested annually by the US and €6.8bn by China.</w:t>
      </w:r>
      <w:r>
        <w:t xml:space="preserve"> </w:t>
      </w:r>
      <w:hyperlink r:id="rId25" w:history="1">
        <w:r w:rsidR="002E0C7A" w:rsidRPr="00BE420C">
          <w:rPr>
            <w:rStyle w:val="Hipercze"/>
            <w:sz w:val="16"/>
          </w:rPr>
          <w:t>https://euobserver.com/digital/154861</w:t>
        </w:r>
      </w:hyperlink>
      <w:r w:rsidR="002E0C7A">
        <w:t xml:space="preserve"> </w:t>
      </w:r>
    </w:p>
  </w:footnote>
  <w:footnote w:id="36">
    <w:p w14:paraId="287DAF28" w14:textId="360916F1" w:rsidR="007F0291" w:rsidRDefault="007F0291">
      <w:pPr>
        <w:pStyle w:val="Tekstprzypisudolnego"/>
      </w:pPr>
      <w:r>
        <w:rPr>
          <w:rStyle w:val="Odwoanieprzypisudolnego"/>
        </w:rPr>
        <w:footnoteRef/>
      </w:r>
      <w:r>
        <w:t xml:space="preserve"> </w:t>
      </w:r>
      <w:r>
        <w:tab/>
      </w:r>
      <w:r w:rsidR="00C727C8" w:rsidRPr="00C727C8">
        <w:t xml:space="preserve">ClinicalTrials.gov is a </w:t>
      </w:r>
      <w:r w:rsidR="00DA1734">
        <w:t>w</w:t>
      </w:r>
      <w:r w:rsidR="00C727C8" w:rsidRPr="00C727C8">
        <w:t xml:space="preserve">eb-based resource that provides patients, their family members, healthcare professionals, researchers and the public with easy access to information on publicly and privately supported clinical studies on a wide range of diseases and conditions. The </w:t>
      </w:r>
      <w:r w:rsidR="00DA1734">
        <w:t>w</w:t>
      </w:r>
      <w:r w:rsidR="00C727C8" w:rsidRPr="00C727C8">
        <w:t>ebsite is maintained by the National Library of Medicine (NLM) at the National Institutes of Health (NIH).</w:t>
      </w:r>
    </w:p>
  </w:footnote>
  <w:footnote w:id="37">
    <w:p w14:paraId="45645605" w14:textId="4AA3306C" w:rsidR="00163E30" w:rsidRDefault="00163E30" w:rsidP="00163E30">
      <w:pPr>
        <w:pStyle w:val="Tekstprzypisudolnego"/>
      </w:pPr>
      <w:r>
        <w:rPr>
          <w:rStyle w:val="Odwoanieprzypisudolnego"/>
        </w:rPr>
        <w:footnoteRef/>
      </w:r>
      <w:r>
        <w:t xml:space="preserve"> </w:t>
      </w:r>
      <w:r>
        <w:tab/>
        <w:t>NIH US National Library of Medicines, Clinica</w:t>
      </w:r>
      <w:r w:rsidR="00DA1734">
        <w:t>l</w:t>
      </w:r>
      <w:r>
        <w:t>Tria</w:t>
      </w:r>
      <w:r w:rsidR="00DA1734">
        <w:t>l</w:t>
      </w:r>
      <w:r>
        <w:t xml:space="preserve">s.gov </w:t>
      </w:r>
      <w:r w:rsidRPr="00835AB4">
        <w:t>FDAAA 801 and the Final Rule</w:t>
      </w:r>
      <w:r w:rsidR="004F6218">
        <w:t>. Available</w:t>
      </w:r>
      <w:r w:rsidR="00D34428">
        <w:t xml:space="preserve"> at: </w:t>
      </w:r>
      <w:hyperlink r:id="rId26" w:anchor=":~:text=To%20Top-,Which%20Trials%20Must%20Be%20Registered%20on%20ClinicalTrials.gov%3F,as%20of%20December%2026%2C%202007" w:history="1">
        <w:r w:rsidRPr="000110DF">
          <w:rPr>
            <w:rStyle w:val="Hipercze"/>
            <w:sz w:val="16"/>
          </w:rPr>
          <w:t>https://www.clinicaltrials.gov/ct2/manage-recs/fdaaa#:~:text=To%20Top-,Which%20Trials%20Must%20Be%20Registered%20on%20ClinicalTrials.gov%3F,as%20of%20December%2026%2C%202007</w:t>
        </w:r>
      </w:hyperlink>
      <w:r>
        <w:t xml:space="preserve"> [Accessed June 2022]</w:t>
      </w:r>
    </w:p>
  </w:footnote>
  <w:footnote w:id="38">
    <w:p w14:paraId="46606F72" w14:textId="7EDD4A15" w:rsidR="00F30879" w:rsidRDefault="00F30879">
      <w:pPr>
        <w:pStyle w:val="Tekstprzypisudolnego"/>
      </w:pPr>
      <w:r>
        <w:rPr>
          <w:rStyle w:val="Odwoanieprzypisudolnego"/>
        </w:rPr>
        <w:footnoteRef/>
      </w:r>
      <w:r>
        <w:t xml:space="preserve"> </w:t>
      </w:r>
      <w:r>
        <w:tab/>
      </w:r>
      <w:hyperlink r:id="rId27" w:history="1">
        <w:r w:rsidR="00D47388" w:rsidRPr="00BE420C">
          <w:rPr>
            <w:rStyle w:val="Hipercze"/>
            <w:sz w:val="16"/>
          </w:rPr>
          <w:t>https://www.iqvia.com/insights/the-iqvia-institute/reports/global-trends-in-r-and-d-2022</w:t>
        </w:r>
      </w:hyperlink>
      <w:r w:rsidR="00D47388">
        <w:t xml:space="preserve"> [Accessed July 2022]</w:t>
      </w:r>
    </w:p>
  </w:footnote>
  <w:footnote w:id="39">
    <w:p w14:paraId="76F403A8" w14:textId="59530022" w:rsidR="00446D70" w:rsidRDefault="00446D70" w:rsidP="003B5817">
      <w:pPr>
        <w:pStyle w:val="Tekstprzypisudolnego"/>
        <w:spacing w:before="0" w:after="0"/>
      </w:pPr>
      <w:r>
        <w:rPr>
          <w:rStyle w:val="Odwoanieprzypisudolnego"/>
        </w:rPr>
        <w:footnoteRef/>
      </w:r>
      <w:r>
        <w:t xml:space="preserve"> </w:t>
      </w:r>
      <w:r w:rsidR="00AD2349">
        <w:tab/>
      </w:r>
      <w:r>
        <w:t xml:space="preserve">CRA analysis </w:t>
      </w:r>
      <w:r w:rsidR="00437021">
        <w:t xml:space="preserve">on data extracted from clinicaltrials.gov. </w:t>
      </w:r>
      <w:r w:rsidR="00815C57">
        <w:t>CRA</w:t>
      </w:r>
      <w:r w:rsidR="00C60184">
        <w:t xml:space="preserve"> included </w:t>
      </w:r>
      <w:r w:rsidR="006A1880">
        <w:t>interventional</w:t>
      </w:r>
      <w:r w:rsidR="0074682D">
        <w:t>, industry</w:t>
      </w:r>
      <w:r w:rsidR="002F707E">
        <w:t>-</w:t>
      </w:r>
      <w:r w:rsidR="0074682D">
        <w:t>funded studies</w:t>
      </w:r>
      <w:r w:rsidR="00F07B0F">
        <w:t xml:space="preserve"> (recruiting</w:t>
      </w:r>
      <w:r w:rsidR="00BE39F7">
        <w:t>, active not recruiting</w:t>
      </w:r>
      <w:r w:rsidR="00F07B0F">
        <w:t xml:space="preserve"> and completed)</w:t>
      </w:r>
      <w:r w:rsidR="006C581E">
        <w:t xml:space="preserve"> </w:t>
      </w:r>
      <w:r w:rsidR="000C210F">
        <w:t xml:space="preserve">from </w:t>
      </w:r>
      <w:r w:rsidR="00734AF7">
        <w:t xml:space="preserve">01/01/2010 to </w:t>
      </w:r>
      <w:r w:rsidR="00090899">
        <w:t>31/12/2021</w:t>
      </w:r>
      <w:r w:rsidR="00713BA7">
        <w:t xml:space="preserve">. </w:t>
      </w:r>
      <w:r w:rsidR="00C073B9" w:rsidRPr="00C073B9">
        <w:t xml:space="preserve">Observational studies and studies with expanded access were excluded from the analysis. </w:t>
      </w:r>
      <w:r w:rsidR="00713BA7">
        <w:t xml:space="preserve">Countries included are the US, China, Japan, </w:t>
      </w:r>
      <w:r w:rsidR="000020F1">
        <w:t xml:space="preserve">all EU countries including the UK, CH, Norway, </w:t>
      </w:r>
      <w:r w:rsidR="002F707E">
        <w:t xml:space="preserve">and </w:t>
      </w:r>
      <w:r w:rsidR="000020F1">
        <w:t>Iceland</w:t>
      </w:r>
      <w:r w:rsidR="004F6218">
        <w:t>.</w:t>
      </w:r>
    </w:p>
  </w:footnote>
  <w:footnote w:id="40">
    <w:p w14:paraId="2942874C" w14:textId="3C765893" w:rsidR="00CF14DD" w:rsidRDefault="00CF14DD">
      <w:pPr>
        <w:pStyle w:val="Tekstprzypisudolnego"/>
      </w:pPr>
      <w:r>
        <w:rPr>
          <w:rStyle w:val="Odwoanieprzypisudolnego"/>
        </w:rPr>
        <w:footnoteRef/>
      </w:r>
      <w:r>
        <w:t xml:space="preserve"> </w:t>
      </w:r>
      <w:r>
        <w:tab/>
      </w:r>
      <w:r w:rsidRPr="00CF14DD">
        <w:t>George, M., Selvarajan, S., Dkhar, S. &amp; Chandrasekaran, A. (2013) Globalization of clinical trials</w:t>
      </w:r>
      <w:r w:rsidR="00970FF9">
        <w:t xml:space="preserve"> </w:t>
      </w:r>
      <w:r w:rsidRPr="00CF14DD">
        <w:t>–</w:t>
      </w:r>
      <w:r w:rsidR="00970FF9">
        <w:t xml:space="preserve"> </w:t>
      </w:r>
      <w:r w:rsidRPr="00CF14DD">
        <w:t xml:space="preserve">where are we heading? </w:t>
      </w:r>
      <w:r w:rsidRPr="00FD2218">
        <w:rPr>
          <w:i/>
          <w:iCs/>
        </w:rPr>
        <w:t xml:space="preserve">Current </w:t>
      </w:r>
      <w:r w:rsidR="007217C4" w:rsidRPr="00FD2218">
        <w:rPr>
          <w:i/>
          <w:iCs/>
        </w:rPr>
        <w:t>C</w:t>
      </w:r>
      <w:r w:rsidRPr="00FD2218">
        <w:rPr>
          <w:i/>
          <w:iCs/>
        </w:rPr>
        <w:t xml:space="preserve">linical </w:t>
      </w:r>
      <w:r w:rsidR="007217C4" w:rsidRPr="00FD2218">
        <w:rPr>
          <w:i/>
          <w:iCs/>
        </w:rPr>
        <w:t>P</w:t>
      </w:r>
      <w:r w:rsidRPr="00FD2218">
        <w:rPr>
          <w:i/>
          <w:iCs/>
        </w:rPr>
        <w:t>harmacology</w:t>
      </w:r>
      <w:r w:rsidR="004F6218">
        <w:t>.</w:t>
      </w:r>
      <w:r w:rsidRPr="00CF14DD">
        <w:t xml:space="preserve"> 8(2)</w:t>
      </w:r>
      <w:r w:rsidR="004F6218">
        <w:t>:</w:t>
      </w:r>
      <w:r w:rsidRPr="00CF14DD">
        <w:t xml:space="preserve"> 115</w:t>
      </w:r>
      <w:r w:rsidR="004F6218">
        <w:rPr>
          <w:rFonts w:cs="Arial"/>
        </w:rPr>
        <w:t>–</w:t>
      </w:r>
      <w:r w:rsidRPr="00CF14DD">
        <w:t>123.</w:t>
      </w:r>
    </w:p>
  </w:footnote>
  <w:footnote w:id="41">
    <w:p w14:paraId="0275F913" w14:textId="24FC6655" w:rsidR="00E213AB" w:rsidRDefault="00E213AB">
      <w:pPr>
        <w:pStyle w:val="Tekstprzypisudolnego"/>
      </w:pPr>
      <w:r>
        <w:rPr>
          <w:rStyle w:val="Odwoanieprzypisudolnego"/>
        </w:rPr>
        <w:footnoteRef/>
      </w:r>
      <w:r>
        <w:t xml:space="preserve"> </w:t>
      </w:r>
      <w:r>
        <w:tab/>
      </w:r>
      <w:r w:rsidR="0057032E">
        <w:t xml:space="preserve">WHO </w:t>
      </w:r>
      <w:r w:rsidR="0057032E" w:rsidRPr="0057032E">
        <w:t>Number of clinical trial registrations by location, disease, phase of development, age and sex of trial participants (1999</w:t>
      </w:r>
      <w:r w:rsidR="008437EE">
        <w:rPr>
          <w:rFonts w:cs="Arial"/>
        </w:rPr>
        <w:t>–</w:t>
      </w:r>
      <w:r w:rsidR="0057032E" w:rsidRPr="0057032E">
        <w:t>2021)</w:t>
      </w:r>
      <w:r w:rsidR="008437EE">
        <w:t xml:space="preserve"> Available at: </w:t>
      </w:r>
      <w:hyperlink r:id="rId28" w:history="1">
        <w:r w:rsidR="00E04069" w:rsidRPr="00A160AA">
          <w:rPr>
            <w:rStyle w:val="Hipercze"/>
            <w:sz w:val="16"/>
          </w:rPr>
          <w:t>https://www.who.int/observatories/global-observatory-on-health-research-and-development/monitoring/number-of-trial-registrations-by-year-location-disease-and-phase-of-development</w:t>
        </w:r>
      </w:hyperlink>
      <w:r w:rsidR="000B2E19">
        <w:t xml:space="preserve">, [Accessed June 2022] </w:t>
      </w:r>
    </w:p>
  </w:footnote>
  <w:footnote w:id="42">
    <w:p w14:paraId="3D22F19A" w14:textId="1888131A" w:rsidR="00B53FB2" w:rsidRDefault="00B53FB2">
      <w:pPr>
        <w:pStyle w:val="Tekstprzypisudolnego"/>
      </w:pPr>
      <w:r>
        <w:rPr>
          <w:rStyle w:val="Odwoanieprzypisudolnego"/>
        </w:rPr>
        <w:footnoteRef/>
      </w:r>
      <w:r>
        <w:t xml:space="preserve"> </w:t>
      </w:r>
      <w:r>
        <w:tab/>
        <w:t xml:space="preserve">ASGCT (2021) </w:t>
      </w:r>
      <w:r w:rsidRPr="00B53FB2">
        <w:t>Gene, Cell, &amp; RNA Therapy Landscape</w:t>
      </w:r>
      <w:r>
        <w:t xml:space="preserve">. Available at: </w:t>
      </w:r>
      <w:hyperlink r:id="rId29" w:history="1">
        <w:r w:rsidR="006B6DE1" w:rsidRPr="00BE420C">
          <w:rPr>
            <w:rStyle w:val="Hipercze"/>
            <w:sz w:val="16"/>
          </w:rPr>
          <w:t>https://asgct.org/global/documents/asgct-pharma-intelligence-quarterly-report-july-20.aspx</w:t>
        </w:r>
      </w:hyperlink>
      <w:r w:rsidR="006B6DE1">
        <w:t xml:space="preserve"> [Accessed July 2022]</w:t>
      </w:r>
      <w:r>
        <w:t xml:space="preserve"> </w:t>
      </w:r>
    </w:p>
  </w:footnote>
  <w:footnote w:id="43">
    <w:p w14:paraId="2C2A4820" w14:textId="0BD706C0" w:rsidR="00386BDE" w:rsidRDefault="00386BDE">
      <w:pPr>
        <w:pStyle w:val="Tekstprzypisudolnego"/>
      </w:pPr>
      <w:r>
        <w:rPr>
          <w:rStyle w:val="Odwoanieprzypisudolnego"/>
        </w:rPr>
        <w:footnoteRef/>
      </w:r>
      <w:r>
        <w:t xml:space="preserve"> </w:t>
      </w:r>
      <w:r>
        <w:tab/>
        <w:t xml:space="preserve">Alliance for Regenerative Medicine (2019) </w:t>
      </w:r>
      <w:r w:rsidRPr="00386BDE">
        <w:t>Clinical Trials in Europe</w:t>
      </w:r>
      <w:r>
        <w:t>: Recent Trends in ATMP Development</w:t>
      </w:r>
      <w:r w:rsidR="00FF07DC">
        <w:t xml:space="preserve">. Available at: </w:t>
      </w:r>
      <w:hyperlink r:id="rId30" w:history="1">
        <w:r w:rsidR="00FF07DC" w:rsidRPr="00BE420C">
          <w:rPr>
            <w:rStyle w:val="Hipercze"/>
            <w:sz w:val="16"/>
          </w:rPr>
          <w:t>https://alliancerm.org/indication-data/clinical-trials-in-europe/</w:t>
        </w:r>
      </w:hyperlink>
      <w:r w:rsidR="00FF07DC">
        <w:t xml:space="preserve"> [Accessed July 2022]</w:t>
      </w:r>
    </w:p>
  </w:footnote>
  <w:footnote w:id="44">
    <w:p w14:paraId="428A0AFE" w14:textId="3AFE3AD8" w:rsidR="00284FD1" w:rsidRDefault="00284FD1" w:rsidP="00284FD1">
      <w:pPr>
        <w:pStyle w:val="Tekstprzypisudolnego"/>
        <w:spacing w:before="0" w:after="0"/>
      </w:pPr>
      <w:r>
        <w:rPr>
          <w:rStyle w:val="Odwoanieprzypisudolnego"/>
        </w:rPr>
        <w:footnoteRef/>
      </w:r>
      <w:r>
        <w:t xml:space="preserve"> </w:t>
      </w:r>
      <w:r>
        <w:tab/>
        <w:t xml:space="preserve">Loche, A. </w:t>
      </w:r>
      <w:r w:rsidR="000860D9">
        <w:t xml:space="preserve">et al. </w:t>
      </w:r>
      <w:r>
        <w:t xml:space="preserve">(2021) </w:t>
      </w:r>
      <w:r w:rsidRPr="00C4321D">
        <w:t>A call to action: Opportunities and challenges for CGTs in Europe</w:t>
      </w:r>
      <w:r>
        <w:t xml:space="preserve">. </w:t>
      </w:r>
      <w:r w:rsidR="00D34428">
        <w:t>Available at:</w:t>
      </w:r>
      <w:r>
        <w:t xml:space="preserve"> </w:t>
      </w:r>
      <w:hyperlink r:id="rId31" w:history="1">
        <w:r w:rsidRPr="000C0A98">
          <w:rPr>
            <w:rStyle w:val="Hipercze"/>
            <w:sz w:val="16"/>
          </w:rPr>
          <w:t>https://www.mckinsey.com/industries/life-sciences/our-insights/a-call-to-action-opportunities-and-challenges-for-cgts-in-Europe</w:t>
        </w:r>
      </w:hyperlink>
      <w:r>
        <w:t xml:space="preserve"> [Accessed June 2022]</w:t>
      </w:r>
    </w:p>
  </w:footnote>
  <w:footnote w:id="45">
    <w:p w14:paraId="771DB857" w14:textId="46244750" w:rsidR="0021704A" w:rsidRDefault="0021704A">
      <w:pPr>
        <w:pStyle w:val="Tekstprzypisudolnego"/>
      </w:pPr>
      <w:r>
        <w:rPr>
          <w:rStyle w:val="Odwoanieprzypisudolnego"/>
        </w:rPr>
        <w:footnoteRef/>
      </w:r>
      <w:r>
        <w:t xml:space="preserve"> </w:t>
      </w:r>
      <w:r>
        <w:tab/>
        <w:t>CRA analysis on data extracted from GlobalData.com</w:t>
      </w:r>
      <w:r w:rsidR="001D030A">
        <w:t>. CRA analysed cell and gene therapy clinical trials in North America, Asia-Pacific and Europe between 2014</w:t>
      </w:r>
      <w:r w:rsidR="00383D41">
        <w:t xml:space="preserve"> and </w:t>
      </w:r>
      <w:r w:rsidR="001D030A">
        <w:t>2021</w:t>
      </w:r>
      <w:r w:rsidR="000B7028">
        <w:t xml:space="preserve">. </w:t>
      </w:r>
      <w:r w:rsidR="00FF459D">
        <w:t>The analysis</w:t>
      </w:r>
      <w:r w:rsidR="000B7028">
        <w:t xml:space="preserve"> included </w:t>
      </w:r>
      <w:r w:rsidR="008B1AFE">
        <w:t>completed, ongoing not recruiting, on</w:t>
      </w:r>
      <w:r w:rsidR="00A04640">
        <w:t>going recruiting</w:t>
      </w:r>
      <w:r w:rsidR="00FF459D">
        <w:t xml:space="preserve">, ongoing recruiting by invitation, </w:t>
      </w:r>
      <w:r w:rsidR="00FA328D">
        <w:t xml:space="preserve">and </w:t>
      </w:r>
      <w:r w:rsidR="00FF459D">
        <w:t>planned clinical trials</w:t>
      </w:r>
      <w:r w:rsidR="001E4946">
        <w:t xml:space="preserve">. </w:t>
      </w:r>
      <w:r w:rsidR="00FA328D">
        <w:t xml:space="preserve">Suspended, terminated and withdrawn clinical trials were excluded. </w:t>
      </w:r>
      <w:r w:rsidR="00FA63E8">
        <w:t>The analysis</w:t>
      </w:r>
      <w:r w:rsidR="00D31CCF">
        <w:t xml:space="preserve"> included </w:t>
      </w:r>
      <w:r w:rsidR="00FA63E8">
        <w:t>all sponsor types (company, government, individual, institution).</w:t>
      </w:r>
    </w:p>
  </w:footnote>
  <w:footnote w:id="46">
    <w:p w14:paraId="04AF9788" w14:textId="77922492" w:rsidR="00CD2CA2" w:rsidRDefault="00CD2CA2">
      <w:pPr>
        <w:pStyle w:val="Tekstprzypisudolnego"/>
      </w:pPr>
      <w:r>
        <w:rPr>
          <w:rStyle w:val="Odwoanieprzypisudolnego"/>
        </w:rPr>
        <w:footnoteRef/>
      </w:r>
      <w:r>
        <w:t xml:space="preserve"> </w:t>
      </w:r>
      <w:r w:rsidR="00653320">
        <w:tab/>
        <w:t xml:space="preserve">EMA defines </w:t>
      </w:r>
      <w:r w:rsidR="00383D41">
        <w:t>i</w:t>
      </w:r>
      <w:r w:rsidR="00653320">
        <w:t xml:space="preserve">nnovative medicine as a medicine that contains an active substance or combination of active substances that has not been authorised before. </w:t>
      </w:r>
      <w:r w:rsidR="000860D9">
        <w:t xml:space="preserve">Available at: </w:t>
      </w:r>
      <w:hyperlink r:id="rId32" w:anchor=":~:text=A%20medicine%20that%20contains%20an,About%20us" w:history="1">
        <w:r w:rsidR="00BF13D1" w:rsidRPr="00BE420C">
          <w:rPr>
            <w:rStyle w:val="Hipercze"/>
            <w:sz w:val="16"/>
          </w:rPr>
          <w:t>https://www.ema.europa.eu/en/glossary/innovative-medicine</w:t>
        </w:r>
      </w:hyperlink>
      <w:r w:rsidR="00BF13D1">
        <w:t xml:space="preserve"> [Accessed July 2022]</w:t>
      </w:r>
    </w:p>
  </w:footnote>
  <w:footnote w:id="47">
    <w:p w14:paraId="4E0E44DD" w14:textId="2723760A" w:rsidR="0090379B" w:rsidRDefault="0090379B">
      <w:pPr>
        <w:pStyle w:val="Tekstprzypisudolnego"/>
      </w:pPr>
      <w:r>
        <w:rPr>
          <w:rStyle w:val="Odwoanieprzypisudolnego"/>
        </w:rPr>
        <w:footnoteRef/>
      </w:r>
      <w:r>
        <w:t xml:space="preserve"> </w:t>
      </w:r>
      <w:r>
        <w:tab/>
      </w:r>
      <w:r w:rsidR="00E84FBF">
        <w:t xml:space="preserve">EMA </w:t>
      </w:r>
      <w:r w:rsidR="00E84FBF" w:rsidRPr="00E84FBF">
        <w:t>Investigational medicinal product</w:t>
      </w:r>
      <w:r w:rsidR="00BF13D1">
        <w:t xml:space="preserve">. </w:t>
      </w:r>
      <w:r w:rsidR="000860D9">
        <w:t xml:space="preserve">Available at: </w:t>
      </w:r>
      <w:hyperlink r:id="rId33" w:history="1">
        <w:r w:rsidR="00906EFD" w:rsidRPr="00CC3862">
          <w:rPr>
            <w:rStyle w:val="Hipercze"/>
            <w:sz w:val="16"/>
          </w:rPr>
          <w:t>https://www.ema.europa.eu/en/glossary/investigational-medicinal-product</w:t>
        </w:r>
      </w:hyperlink>
      <w:r w:rsidR="00906EFD">
        <w:t xml:space="preserve"> </w:t>
      </w:r>
      <w:r w:rsidR="00BF13D1">
        <w:t>[Accessed July 2022]</w:t>
      </w:r>
    </w:p>
  </w:footnote>
  <w:footnote w:id="48">
    <w:p w14:paraId="1FDC508D" w14:textId="7F146194" w:rsidR="00B80CE4" w:rsidRDefault="00B80CE4" w:rsidP="00A948F4">
      <w:pPr>
        <w:pStyle w:val="Tekstprzypisudolnego"/>
      </w:pPr>
      <w:r>
        <w:rPr>
          <w:rStyle w:val="Odwoanieprzypisudolnego"/>
        </w:rPr>
        <w:footnoteRef/>
      </w:r>
      <w:r>
        <w:t xml:space="preserve"> </w:t>
      </w:r>
      <w:r>
        <w:tab/>
      </w:r>
      <w:r w:rsidR="00342A93" w:rsidRPr="00342A93">
        <w:t>The EudraGMDP Glossary</w:t>
      </w:r>
      <w:r w:rsidR="00BF13D1">
        <w:t xml:space="preserve">. </w:t>
      </w:r>
      <w:r w:rsidR="000860D9">
        <w:t xml:space="preserve">Available at: </w:t>
      </w:r>
      <w:hyperlink r:id="rId34" w:history="1">
        <w:r w:rsidR="00BF13D1" w:rsidRPr="00BE420C">
          <w:rPr>
            <w:rStyle w:val="Hipercze"/>
            <w:sz w:val="16"/>
          </w:rPr>
          <w:t>http://eudragmdp.ema.europa.eu/help_public/content/v3_0_user_manual/glossary.htm</w:t>
        </w:r>
      </w:hyperlink>
      <w:r w:rsidR="00BF13D1">
        <w:t xml:space="preserve"> [Accessed July 2022]</w:t>
      </w:r>
    </w:p>
  </w:footnote>
  <w:footnote w:id="49">
    <w:p w14:paraId="0DC49DF2" w14:textId="63106926" w:rsidR="00E772A5" w:rsidRDefault="00E772A5">
      <w:pPr>
        <w:pStyle w:val="Tekstprzypisudolnego"/>
      </w:pPr>
      <w:r>
        <w:rPr>
          <w:rStyle w:val="Odwoanieprzypisudolnego"/>
        </w:rPr>
        <w:footnoteRef/>
      </w:r>
      <w:r>
        <w:t xml:space="preserve"> </w:t>
      </w:r>
      <w:r>
        <w:tab/>
        <w:t xml:space="preserve">Eurostat </w:t>
      </w:r>
      <w:r w:rsidR="00B838F4" w:rsidRPr="00B838F4">
        <w:t>Glossary:</w:t>
      </w:r>
      <w:r w:rsidR="00B54BF4">
        <w:t xml:space="preserve"> </w:t>
      </w:r>
      <w:r w:rsidR="00B838F4" w:rsidRPr="00B838F4">
        <w:t xml:space="preserve">Gross investment in tangible goods </w:t>
      </w:r>
      <w:r w:rsidR="00B838F4">
        <w:t>–</w:t>
      </w:r>
      <w:r w:rsidR="00B838F4" w:rsidRPr="00B838F4">
        <w:t xml:space="preserve"> SBS</w:t>
      </w:r>
      <w:r w:rsidR="00EC3BBA">
        <w:t xml:space="preserve">. </w:t>
      </w:r>
      <w:r w:rsidR="000860D9">
        <w:t xml:space="preserve">Available at: </w:t>
      </w:r>
      <w:hyperlink r:id="rId35" w:history="1">
        <w:r w:rsidR="00EC3BBA" w:rsidRPr="00BE420C">
          <w:rPr>
            <w:rStyle w:val="Hipercze"/>
            <w:sz w:val="16"/>
          </w:rPr>
          <w:t>https://ec.europa.eu/eurostat/statistics-explained/index.php?title=Glossary:Gross_investment_in_tangible_goods_-_SBS</w:t>
        </w:r>
      </w:hyperlink>
      <w:r w:rsidR="00EC3BBA">
        <w:t xml:space="preserve"> [Accessed July 2022]</w:t>
      </w:r>
    </w:p>
  </w:footnote>
  <w:footnote w:id="50">
    <w:p w14:paraId="58ACD382" w14:textId="6DD19CC6" w:rsidR="00260810" w:rsidRDefault="00260810">
      <w:pPr>
        <w:pStyle w:val="Tekstprzypisudolnego"/>
      </w:pPr>
      <w:r>
        <w:rPr>
          <w:rStyle w:val="Odwoanieprzypisudolnego"/>
        </w:rPr>
        <w:footnoteRef/>
      </w:r>
      <w:r>
        <w:t xml:space="preserve"> </w:t>
      </w:r>
      <w:r>
        <w:tab/>
        <w:t>The Bureau of Economic Analysis (BEA)</w:t>
      </w:r>
      <w:r w:rsidR="00EC3BBA">
        <w:t xml:space="preserve">. </w:t>
      </w:r>
      <w:r w:rsidR="000860D9">
        <w:t xml:space="preserve">Available at: </w:t>
      </w:r>
      <w:hyperlink r:id="rId36" w:history="1">
        <w:r w:rsidR="00EC403E" w:rsidRPr="00BE420C">
          <w:rPr>
            <w:rStyle w:val="Hipercze"/>
            <w:sz w:val="16"/>
          </w:rPr>
          <w:t>https://apps.bea.gov/iTable/index_FA.cfm</w:t>
        </w:r>
      </w:hyperlink>
      <w:r w:rsidR="00EC403E">
        <w:t xml:space="preserve"> </w:t>
      </w:r>
      <w:r w:rsidR="00EC3BBA">
        <w:t>[Accessed July 2022]</w:t>
      </w:r>
    </w:p>
  </w:footnote>
  <w:footnote w:id="51">
    <w:p w14:paraId="5F550190" w14:textId="1D785669" w:rsidR="00981916" w:rsidRDefault="00981916" w:rsidP="0078741F">
      <w:pPr>
        <w:pStyle w:val="Tekstprzypisudolnego"/>
        <w:spacing w:before="0" w:after="0"/>
      </w:pPr>
      <w:r>
        <w:rPr>
          <w:rStyle w:val="Odwoanieprzypisudolnego"/>
        </w:rPr>
        <w:footnoteRef/>
      </w:r>
      <w:r>
        <w:t xml:space="preserve"> </w:t>
      </w:r>
      <w:r>
        <w:tab/>
        <w:t xml:space="preserve">CRA used </w:t>
      </w:r>
      <w:r w:rsidRPr="0078741F">
        <w:t xml:space="preserve">Eurostat data on </w:t>
      </w:r>
      <w:r>
        <w:t>g</w:t>
      </w:r>
      <w:r w:rsidRPr="00D76538">
        <w:t>ross investment in tangible goods</w:t>
      </w:r>
      <w:r w:rsidRPr="0078741F">
        <w:t xml:space="preserve"> for Europe</w:t>
      </w:r>
      <w:r w:rsidR="007B5839">
        <w:t xml:space="preserve">; </w:t>
      </w:r>
      <w:r w:rsidR="007B5839" w:rsidRPr="007B5839">
        <w:t>t</w:t>
      </w:r>
      <w:r w:rsidR="00A01FB4">
        <w:t>he</w:t>
      </w:r>
      <w:r w:rsidR="003E4C71" w:rsidRPr="003E4C71">
        <w:t xml:space="preserve"> US Bureau of Economic Analysis. Used Non-residential Detailed Estimates – Investments, Chemicals sector, capital expenditure dat</w:t>
      </w:r>
      <w:r w:rsidR="003F27D2">
        <w:t xml:space="preserve">a; </w:t>
      </w:r>
      <w:r w:rsidR="003F27D2" w:rsidRPr="003F27D2">
        <w:t>China Statistical Yearbooks 2003</w:t>
      </w:r>
      <w:r w:rsidR="00383D41">
        <w:rPr>
          <w:rFonts w:cs="Arial"/>
        </w:rPr>
        <w:t>–</w:t>
      </w:r>
      <w:r w:rsidR="003F27D2" w:rsidRPr="003F27D2">
        <w:t>2019.</w:t>
      </w:r>
      <w:r w:rsidR="00F03CED">
        <w:t xml:space="preserve"> Investments in Fixed</w:t>
      </w:r>
      <w:r w:rsidR="00D10368">
        <w:t xml:space="preserve"> for </w:t>
      </w:r>
      <w:r w:rsidR="001C0522">
        <w:t>manufacturing medicines</w:t>
      </w:r>
      <w:r w:rsidR="00A725CA">
        <w:t xml:space="preserve"> for China</w:t>
      </w:r>
      <w:r w:rsidR="00383D41">
        <w:t>.</w:t>
      </w:r>
    </w:p>
  </w:footnote>
  <w:footnote w:id="52">
    <w:p w14:paraId="7E434B34" w14:textId="2C97C500" w:rsidR="00667CB0" w:rsidRDefault="00667CB0" w:rsidP="000A2E03">
      <w:pPr>
        <w:pStyle w:val="Tekstprzypisudolnego"/>
        <w:jc w:val="left"/>
      </w:pPr>
      <w:r>
        <w:rPr>
          <w:rStyle w:val="Odwoanieprzypisudolnego"/>
        </w:rPr>
        <w:footnoteRef/>
      </w:r>
      <w:r>
        <w:t xml:space="preserve"> </w:t>
      </w:r>
      <w:r w:rsidR="00B372EB">
        <w:tab/>
      </w:r>
      <w:r w:rsidR="00A575BB">
        <w:t xml:space="preserve">CRA analysis of US Bureau of Economic Analysis. </w:t>
      </w:r>
      <w:r w:rsidR="004120C5">
        <w:t>Used Non</w:t>
      </w:r>
      <w:r w:rsidR="00C13A05">
        <w:t>-</w:t>
      </w:r>
      <w:r w:rsidR="004120C5">
        <w:t>residential Detailed Estimates – Investments, Chemicals sector</w:t>
      </w:r>
      <w:r w:rsidR="00C13A05">
        <w:t>,</w:t>
      </w:r>
      <w:r w:rsidR="00DD2884">
        <w:t xml:space="preserve"> </w:t>
      </w:r>
      <w:r w:rsidR="009B12CC" w:rsidRPr="009B12CC">
        <w:t>Investment in Private Nonresidential Fixed Assets</w:t>
      </w:r>
      <w:r w:rsidR="009B12CC">
        <w:t xml:space="preserve"> </w:t>
      </w:r>
      <w:r w:rsidR="007D01F4">
        <w:t>(Updated 19 August 2021)</w:t>
      </w:r>
      <w:r w:rsidR="008437EE">
        <w:t xml:space="preserve">. Available at: </w:t>
      </w:r>
      <w:hyperlink r:id="rId37" w:history="1">
        <w:r w:rsidR="00B5043D" w:rsidRPr="003452D6">
          <w:rPr>
            <w:rStyle w:val="Hipercze"/>
            <w:sz w:val="16"/>
          </w:rPr>
          <w:t>https://apps.bea.gov/national/FA2004/Details/Index.htm</w:t>
        </w:r>
      </w:hyperlink>
      <w:r w:rsidR="00B5043D">
        <w:t xml:space="preserve"> [</w:t>
      </w:r>
      <w:r w:rsidR="00033695">
        <w:t>A</w:t>
      </w:r>
      <w:r w:rsidR="00B5043D">
        <w:t xml:space="preserve">ccessed </w:t>
      </w:r>
      <w:r w:rsidR="00033695">
        <w:t>June 2022</w:t>
      </w:r>
      <w:r w:rsidR="00B5043D">
        <w:t>]</w:t>
      </w:r>
      <w:r w:rsidR="00033695">
        <w:t xml:space="preserve"> </w:t>
      </w:r>
    </w:p>
  </w:footnote>
  <w:footnote w:id="53">
    <w:p w14:paraId="0FF4C3D1" w14:textId="556D5615" w:rsidR="007B042F" w:rsidRDefault="007B042F" w:rsidP="000A2E03">
      <w:pPr>
        <w:pStyle w:val="Tekstprzypisudolnego"/>
        <w:jc w:val="left"/>
      </w:pPr>
      <w:r>
        <w:rPr>
          <w:rStyle w:val="Odwoanieprzypisudolnego"/>
        </w:rPr>
        <w:footnoteRef/>
      </w:r>
      <w:r>
        <w:t xml:space="preserve"> </w:t>
      </w:r>
      <w:r w:rsidR="00B372EB">
        <w:tab/>
      </w:r>
      <w:r w:rsidR="004120C5">
        <w:t xml:space="preserve">CRA analysis of </w:t>
      </w:r>
      <w:r>
        <w:t>China Statistical Yearbook</w:t>
      </w:r>
      <w:r w:rsidR="002723B9">
        <w:t>s 2003</w:t>
      </w:r>
      <w:r w:rsidR="00383D41">
        <w:rPr>
          <w:rFonts w:cs="Arial"/>
        </w:rPr>
        <w:t>–</w:t>
      </w:r>
      <w:r w:rsidR="002723B9">
        <w:t>2019.</w:t>
      </w:r>
    </w:p>
  </w:footnote>
  <w:footnote w:id="54">
    <w:p w14:paraId="3067386D" w14:textId="5E8C4F99" w:rsidR="00D5183C" w:rsidRDefault="00D5183C" w:rsidP="000A2E03">
      <w:pPr>
        <w:pStyle w:val="Tekstprzypisudolnego"/>
        <w:jc w:val="left"/>
      </w:pPr>
      <w:r>
        <w:rPr>
          <w:rStyle w:val="Odwoanieprzypisudolnego"/>
        </w:rPr>
        <w:footnoteRef/>
      </w:r>
      <w:r>
        <w:t xml:space="preserve"> </w:t>
      </w:r>
      <w:r w:rsidR="00B372EB">
        <w:tab/>
      </w:r>
      <w:r w:rsidR="00C13A05">
        <w:t>Woodcock, J.</w:t>
      </w:r>
      <w:r>
        <w:t xml:space="preserve"> (2019) </w:t>
      </w:r>
      <w:r w:rsidR="00C13A05" w:rsidRPr="00C13A05">
        <w:t>Safeguarding Pharmaceutical Supply Chains in a Global Economy</w:t>
      </w:r>
      <w:r w:rsidR="00C13A05">
        <w:t xml:space="preserve">. </w:t>
      </w:r>
      <w:r w:rsidR="00D34428">
        <w:t>Available at:</w:t>
      </w:r>
      <w:r>
        <w:t xml:space="preserve"> </w:t>
      </w:r>
      <w:hyperlink r:id="rId38" w:history="1">
        <w:r w:rsidRPr="000C0A98">
          <w:rPr>
            <w:rStyle w:val="Hipercze"/>
            <w:sz w:val="16"/>
          </w:rPr>
          <w:t>https://www.fda.gov/news-events/congressional-testimony/safeguarding-pharmaceutical-supply-chains-global-economy-10302019</w:t>
        </w:r>
      </w:hyperlink>
      <w:r>
        <w:t xml:space="preserve"> [Accessed June 2022]</w:t>
      </w:r>
    </w:p>
  </w:footnote>
  <w:footnote w:id="55">
    <w:p w14:paraId="27CDCC49" w14:textId="0E6A81A3" w:rsidR="00450476" w:rsidRDefault="00450476" w:rsidP="00626448">
      <w:pPr>
        <w:pStyle w:val="Tekstprzypisudolnego"/>
      </w:pPr>
      <w:r>
        <w:rPr>
          <w:rStyle w:val="Odwoanieprzypisudolnego"/>
        </w:rPr>
        <w:footnoteRef/>
      </w:r>
      <w:r>
        <w:t xml:space="preserve"> </w:t>
      </w:r>
      <w:r>
        <w:tab/>
      </w:r>
      <w:r w:rsidRPr="00450476">
        <w:t xml:space="preserve">European Parliamentary Research Service (2021) European pharmaceutical research and development: Could public infrastructure overcome market failures? </w:t>
      </w:r>
      <w:r w:rsidR="00D34428">
        <w:t>Available at:</w:t>
      </w:r>
      <w:r w:rsidRPr="00450476">
        <w:t xml:space="preserve"> </w:t>
      </w:r>
      <w:hyperlink r:id="rId39" w:history="1">
        <w:r w:rsidR="001B0627" w:rsidRPr="00BE420C">
          <w:rPr>
            <w:rStyle w:val="Hipercze"/>
            <w:sz w:val="16"/>
          </w:rPr>
          <w:t>https://www.europarl.europa.eu/thinktank/en/document/EPRS_STU(2021)697197</w:t>
        </w:r>
      </w:hyperlink>
      <w:r w:rsidR="001B0627">
        <w:t xml:space="preserve"> </w:t>
      </w:r>
      <w:r w:rsidRPr="00450476">
        <w:t>[Accessed June 2022]</w:t>
      </w:r>
    </w:p>
  </w:footnote>
  <w:footnote w:id="56">
    <w:p w14:paraId="7727D4EE" w14:textId="26FC0004" w:rsidR="00AE346C" w:rsidRDefault="00AE346C" w:rsidP="000A2E03">
      <w:pPr>
        <w:pStyle w:val="Tekstprzypisudolnego"/>
      </w:pPr>
      <w:r>
        <w:rPr>
          <w:rStyle w:val="Odwoanieprzypisudolnego"/>
        </w:rPr>
        <w:footnoteRef/>
      </w:r>
      <w:r>
        <w:t xml:space="preserve"> </w:t>
      </w:r>
      <w:r>
        <w:tab/>
      </w:r>
      <w:r w:rsidR="0078741F">
        <w:t xml:space="preserve">To account for the different </w:t>
      </w:r>
      <w:r w:rsidR="001B0627">
        <w:t>definitions</w:t>
      </w:r>
      <w:r w:rsidR="0078741F">
        <w:t xml:space="preserve"> and that the data </w:t>
      </w:r>
      <w:r w:rsidR="00B3691D">
        <w:t>are</w:t>
      </w:r>
      <w:r w:rsidR="0078741F">
        <w:t xml:space="preserve"> not directly comparable, we have indexed each series at 2005. </w:t>
      </w:r>
    </w:p>
  </w:footnote>
  <w:footnote w:id="57">
    <w:p w14:paraId="28A8AE55" w14:textId="2C995CF7" w:rsidR="00A94CFD" w:rsidRDefault="00A94CFD" w:rsidP="00626448">
      <w:pPr>
        <w:pStyle w:val="Tekstprzypisudolnego"/>
      </w:pPr>
      <w:r>
        <w:rPr>
          <w:rStyle w:val="Odwoanieprzypisudolnego"/>
        </w:rPr>
        <w:footnoteRef/>
      </w:r>
      <w:r>
        <w:t xml:space="preserve"> </w:t>
      </w:r>
      <w:r>
        <w:tab/>
      </w:r>
      <w:r w:rsidRPr="00A94CFD">
        <w:t>CRA used Eurostat data on gross investment in tangible goods for Europe; the US Bureau of Economic Analysis. Used Non-residential Detailed Estimates – Investments, Chemicals sector, capital expenditure data; China Statistical Yearbooks 2003</w:t>
      </w:r>
      <w:r w:rsidR="00383D41">
        <w:rPr>
          <w:rFonts w:cs="Arial"/>
        </w:rPr>
        <w:t>–</w:t>
      </w:r>
      <w:r w:rsidRPr="00A94CFD">
        <w:t>2019. Investments in Fixed for manufacturing medicines for China</w:t>
      </w:r>
      <w:r w:rsidR="00383D41">
        <w:t>.</w:t>
      </w:r>
    </w:p>
  </w:footnote>
  <w:footnote w:id="58">
    <w:p w14:paraId="10204071" w14:textId="12903C76" w:rsidR="00ED3D0C" w:rsidRDefault="00ED3D0C" w:rsidP="00ED3D0C">
      <w:pPr>
        <w:pStyle w:val="Tekstprzypisudolnego"/>
        <w:spacing w:before="0" w:after="0"/>
        <w:jc w:val="left"/>
      </w:pPr>
      <w:r>
        <w:rPr>
          <w:rStyle w:val="Odwoanieprzypisudolnego"/>
        </w:rPr>
        <w:footnoteRef/>
      </w:r>
      <w:r>
        <w:t xml:space="preserve"> </w:t>
      </w:r>
      <w:r>
        <w:tab/>
        <w:t xml:space="preserve">World Economic Forum (2019) The Global Competitiveness Report 2019. </w:t>
      </w:r>
      <w:r w:rsidR="00D34428">
        <w:t>Available at:</w:t>
      </w:r>
      <w:r>
        <w:t xml:space="preserve"> </w:t>
      </w:r>
      <w:hyperlink r:id="rId40" w:history="1">
        <w:r w:rsidRPr="00862F73">
          <w:rPr>
            <w:rStyle w:val="Hipercze"/>
            <w:sz w:val="16"/>
          </w:rPr>
          <w:t>https://www3.weforum.org/docs/WEF_TheGlobalCompetitivenessReport2019.pdf</w:t>
        </w:r>
      </w:hyperlink>
      <w:r>
        <w:t xml:space="preserve"> [Accessed June 2022]</w:t>
      </w:r>
    </w:p>
  </w:footnote>
  <w:footnote w:id="59">
    <w:p w14:paraId="4054ED77" w14:textId="4B3AB7A4" w:rsidR="00ED3D0C" w:rsidRDefault="00ED3D0C" w:rsidP="00ED3D0C">
      <w:pPr>
        <w:pStyle w:val="Tekstprzypisudolnego"/>
        <w:spacing w:before="0" w:after="0"/>
        <w:jc w:val="left"/>
      </w:pPr>
      <w:r>
        <w:rPr>
          <w:rStyle w:val="Odwoanieprzypisudolnego"/>
        </w:rPr>
        <w:footnoteRef/>
      </w:r>
      <w:r>
        <w:t xml:space="preserve"> </w:t>
      </w:r>
      <w:r>
        <w:tab/>
        <w:t xml:space="preserve">Karadima, S. (2022) FDI in pharmaceuticals: The state of play. </w:t>
      </w:r>
      <w:r w:rsidR="00D34428">
        <w:t>Available at:</w:t>
      </w:r>
      <w:r>
        <w:t xml:space="preserve"> </w:t>
      </w:r>
      <w:hyperlink r:id="rId41" w:history="1">
        <w:r w:rsidRPr="000C0A98">
          <w:rPr>
            <w:rStyle w:val="Hipercze"/>
            <w:sz w:val="16"/>
          </w:rPr>
          <w:t>https://www.pharmaceutical-technology.com/analysis/fdi-pharmaceuticals-state-of-play-investment/</w:t>
        </w:r>
      </w:hyperlink>
      <w:r>
        <w:t xml:space="preserve"> [Accessed June 2022]</w:t>
      </w:r>
    </w:p>
  </w:footnote>
  <w:footnote w:id="60">
    <w:p w14:paraId="21C8BD29" w14:textId="26A3E7F8" w:rsidR="00AB0CC2" w:rsidRDefault="00AB0CC2">
      <w:pPr>
        <w:pStyle w:val="Tekstprzypisudolnego"/>
      </w:pPr>
      <w:r>
        <w:rPr>
          <w:rStyle w:val="Odwoanieprzypisudolnego"/>
        </w:rPr>
        <w:footnoteRef/>
      </w:r>
      <w:r>
        <w:t xml:space="preserve"> </w:t>
      </w:r>
      <w:r>
        <w:tab/>
        <w:t xml:space="preserve">Karadima, S. (2022) FDI in pharmaceuticals: The state of play. </w:t>
      </w:r>
      <w:r w:rsidR="00D34428">
        <w:t>Available at:</w:t>
      </w:r>
      <w:r>
        <w:t xml:space="preserve"> </w:t>
      </w:r>
      <w:hyperlink r:id="rId42" w:history="1">
        <w:r w:rsidRPr="000C0A98">
          <w:rPr>
            <w:rStyle w:val="Hipercze"/>
            <w:sz w:val="16"/>
          </w:rPr>
          <w:t>https://www.pharmaceutical-technology.com/analysis/fdi-pharmaceuticals-state-of-play-investment/</w:t>
        </w:r>
      </w:hyperlink>
      <w:r>
        <w:t xml:space="preserve"> [Accessed June 2022]</w:t>
      </w:r>
    </w:p>
  </w:footnote>
  <w:footnote w:id="61">
    <w:p w14:paraId="4CECC341" w14:textId="7906E351" w:rsidR="009E6410" w:rsidRDefault="009E6410" w:rsidP="009E6410">
      <w:pPr>
        <w:pStyle w:val="Tekstprzypisudolnego"/>
      </w:pPr>
      <w:r>
        <w:rPr>
          <w:rStyle w:val="Odwoanieprzypisudolnego"/>
        </w:rPr>
        <w:footnoteRef/>
      </w:r>
      <w:r>
        <w:t xml:space="preserve"> </w:t>
      </w:r>
      <w:r>
        <w:tab/>
        <w:t>UNCTAD data were used (Exports: medicinal and Pharmaceutical Product)</w:t>
      </w:r>
      <w:r w:rsidR="00383D41">
        <w:t>.</w:t>
      </w:r>
      <w:r>
        <w:t xml:space="preserve"> </w:t>
      </w:r>
      <w:r w:rsidRPr="00D078B4">
        <w:t>All currencies converted to Euros with ECB 2020 exchange rates to control for fluctuations in relative currency value over time</w:t>
      </w:r>
      <w:r w:rsidR="00383D41">
        <w:t>.</w:t>
      </w:r>
    </w:p>
  </w:footnote>
  <w:footnote w:id="62">
    <w:p w14:paraId="6BB4FB12" w14:textId="77777777" w:rsidR="00C61AC0" w:rsidRDefault="00C61AC0" w:rsidP="00C6207A">
      <w:pPr>
        <w:pStyle w:val="Tekstprzypisudolnego"/>
        <w:spacing w:before="0" w:after="0"/>
        <w:jc w:val="left"/>
      </w:pPr>
    </w:p>
    <w:p w14:paraId="19E7E0DB" w14:textId="77777777" w:rsidR="009E4AF0" w:rsidRDefault="009E4AF0" w:rsidP="000A2E03">
      <w:pPr>
        <w:pStyle w:val="Tekstprzypisudolnego"/>
        <w:jc w:val="left"/>
      </w:pPr>
      <w:r>
        <w:rPr>
          <w:rStyle w:val="Odwoanieprzypisudolnego"/>
        </w:rPr>
        <w:footnoteRef/>
      </w:r>
      <w:r w:rsidRPr="0090529C">
        <w:rPr>
          <w:lang w:val="nl-NL"/>
        </w:rPr>
        <w:t xml:space="preserve"> </w:t>
      </w:r>
      <w:r w:rsidR="00797D95" w:rsidRPr="0090529C">
        <w:rPr>
          <w:lang w:val="nl-NL"/>
        </w:rPr>
        <w:tab/>
      </w:r>
      <w:r w:rsidR="004743B5" w:rsidRPr="0090529C">
        <w:rPr>
          <w:lang w:val="nl-NL"/>
        </w:rPr>
        <w:t>Bramley-Harker</w:t>
      </w:r>
      <w:r w:rsidR="008A5216" w:rsidRPr="0090529C">
        <w:rPr>
          <w:lang w:val="nl-NL"/>
        </w:rPr>
        <w:t>,</w:t>
      </w:r>
      <w:r w:rsidR="004743B5" w:rsidRPr="0090529C">
        <w:rPr>
          <w:lang w:val="nl-NL"/>
        </w:rPr>
        <w:t xml:space="preserve"> E.</w:t>
      </w:r>
      <w:r w:rsidR="008A5216" w:rsidRPr="0090529C">
        <w:rPr>
          <w:lang w:val="nl-NL"/>
        </w:rPr>
        <w:t xml:space="preserve"> </w:t>
      </w:r>
      <w:r w:rsidR="008A5216" w:rsidRPr="002823BC">
        <w:rPr>
          <w:iCs/>
          <w:lang w:val="nl-NL"/>
        </w:rPr>
        <w:t>et al</w:t>
      </w:r>
      <w:r w:rsidR="008A5216" w:rsidRPr="004B2AE2">
        <w:rPr>
          <w:iCs/>
          <w:lang w:val="nl-NL"/>
        </w:rPr>
        <w:t>.</w:t>
      </w:r>
      <w:r w:rsidR="004743B5" w:rsidRPr="0090529C">
        <w:rPr>
          <w:lang w:val="nl-NL"/>
        </w:rPr>
        <w:t xml:space="preserve"> </w:t>
      </w:r>
      <w:r w:rsidR="004743B5">
        <w:t>(</w:t>
      </w:r>
      <w:r w:rsidR="004743B5" w:rsidRPr="004743B5">
        <w:t>2007</w:t>
      </w:r>
      <w:r w:rsidR="004743B5">
        <w:t>)</w:t>
      </w:r>
      <w:r w:rsidR="004743B5" w:rsidRPr="004743B5">
        <w:t xml:space="preserve"> Key Factors in Attracting Internationally Mobile Investments by the Research-Based Pharmaceutical Industry. London, UK: NERA Economic Consulting.</w:t>
      </w:r>
    </w:p>
  </w:footnote>
  <w:footnote w:id="63">
    <w:p w14:paraId="1813196D" w14:textId="255B7C8D" w:rsidR="000A2779" w:rsidRDefault="000A2779" w:rsidP="000A2E03">
      <w:pPr>
        <w:pStyle w:val="Tekstprzypisudolnego"/>
        <w:jc w:val="left"/>
      </w:pPr>
      <w:r>
        <w:rPr>
          <w:rStyle w:val="Odwoanieprzypisudolnego"/>
        </w:rPr>
        <w:footnoteRef/>
      </w:r>
      <w:r>
        <w:t xml:space="preserve"> </w:t>
      </w:r>
      <w:r w:rsidR="00797D95">
        <w:tab/>
      </w:r>
      <w:r>
        <w:t>Rozek, R.P. (20</w:t>
      </w:r>
      <w:r w:rsidR="008B2D4A">
        <w:t xml:space="preserve">11) </w:t>
      </w:r>
      <w:r w:rsidR="00E67BF8" w:rsidRPr="00E67BF8">
        <w:t>Risk and Regulatory Factors Affecting Location Decisions by Research-Based Pharmaceutical Companies</w:t>
      </w:r>
      <w:r w:rsidR="00E67BF8">
        <w:t xml:space="preserve">. </w:t>
      </w:r>
      <w:r w:rsidR="00E67BF8" w:rsidRPr="00857558">
        <w:rPr>
          <w:i/>
          <w:iCs/>
        </w:rPr>
        <w:t>European Journal of Risk Regulation</w:t>
      </w:r>
      <w:r w:rsidR="00857558">
        <w:t>. 2(1)</w:t>
      </w:r>
      <w:r w:rsidR="004B2AE2">
        <w:t>:</w:t>
      </w:r>
      <w:r w:rsidR="00857558">
        <w:t xml:space="preserve"> 92</w:t>
      </w:r>
      <w:r w:rsidR="004B2AE2">
        <w:rPr>
          <w:rFonts w:cs="Arial"/>
        </w:rPr>
        <w:t>–</w:t>
      </w:r>
      <w:r w:rsidR="00857558">
        <w:t>103.</w:t>
      </w:r>
    </w:p>
  </w:footnote>
  <w:footnote w:id="64">
    <w:p w14:paraId="2EFAAED0" w14:textId="61638C83" w:rsidR="0038427A" w:rsidRDefault="0038427A" w:rsidP="000A2E03">
      <w:pPr>
        <w:pStyle w:val="Tekstprzypisudolnego"/>
        <w:jc w:val="left"/>
      </w:pPr>
      <w:r>
        <w:rPr>
          <w:rStyle w:val="Odwoanieprzypisudolnego"/>
        </w:rPr>
        <w:footnoteRef/>
      </w:r>
      <w:r>
        <w:t xml:space="preserve"> </w:t>
      </w:r>
      <w:r w:rsidR="00797D95">
        <w:tab/>
      </w:r>
      <w:r w:rsidR="00732C01">
        <w:t xml:space="preserve">Rangan, S. (2000) </w:t>
      </w:r>
      <w:r w:rsidR="00732C01" w:rsidRPr="00732C01">
        <w:t>Search and Deliberation in International Exchange: Microfoundations to Some Macro Patterns</w:t>
      </w:r>
      <w:r w:rsidR="00732C01">
        <w:t xml:space="preserve">. </w:t>
      </w:r>
      <w:r w:rsidR="00732C01" w:rsidRPr="00732C01">
        <w:rPr>
          <w:i/>
          <w:iCs/>
        </w:rPr>
        <w:t>Journal of International Business Studies</w:t>
      </w:r>
      <w:r w:rsidR="00732C01">
        <w:t xml:space="preserve">. </w:t>
      </w:r>
      <w:r w:rsidR="00732C01" w:rsidRPr="00732C01">
        <w:t>31</w:t>
      </w:r>
      <w:r w:rsidR="00122D32">
        <w:t>(2)</w:t>
      </w:r>
      <w:r w:rsidR="004B2AE2">
        <w:t>:</w:t>
      </w:r>
      <w:r w:rsidR="00732C01" w:rsidRPr="00732C01">
        <w:t xml:space="preserve"> </w:t>
      </w:r>
      <w:r w:rsidR="00732C01">
        <w:t>205</w:t>
      </w:r>
      <w:r w:rsidR="004B2AE2">
        <w:rPr>
          <w:rFonts w:cs="Arial"/>
        </w:rPr>
        <w:t>–</w:t>
      </w:r>
      <w:r w:rsidR="00732C01" w:rsidRPr="00732C01">
        <w:t>222</w:t>
      </w:r>
      <w:r w:rsidR="00732C01">
        <w:t>.</w:t>
      </w:r>
    </w:p>
  </w:footnote>
  <w:footnote w:id="65">
    <w:p w14:paraId="48610A5F" w14:textId="431279F9" w:rsidR="004145CD" w:rsidRDefault="004145CD" w:rsidP="000A2E03">
      <w:pPr>
        <w:pStyle w:val="Tekstprzypisudolnego"/>
        <w:jc w:val="left"/>
      </w:pPr>
      <w:r>
        <w:rPr>
          <w:rStyle w:val="Odwoanieprzypisudolnego"/>
        </w:rPr>
        <w:footnoteRef/>
      </w:r>
      <w:r>
        <w:t xml:space="preserve"> </w:t>
      </w:r>
      <w:r w:rsidR="00797D95">
        <w:tab/>
      </w:r>
      <w:r w:rsidR="000D185C">
        <w:t xml:space="preserve">Ruane, F.P. and Zhang, X. </w:t>
      </w:r>
      <w:r w:rsidR="00A9121C">
        <w:t xml:space="preserve">The Determinants of Location Choices by Pharmaceutical MNEs in Europe. </w:t>
      </w:r>
      <w:r w:rsidR="00D34428">
        <w:t>Available at:</w:t>
      </w:r>
      <w:r w:rsidR="0073780D">
        <w:t xml:space="preserve"> </w:t>
      </w:r>
      <w:hyperlink r:id="rId43" w:history="1">
        <w:r w:rsidR="0073780D" w:rsidRPr="00D24745">
          <w:rPr>
            <w:rStyle w:val="Hipercze"/>
            <w:sz w:val="16"/>
          </w:rPr>
          <w:t>https://www.etsg.org/ETSG2008/Papers/Ruane.pdf</w:t>
        </w:r>
      </w:hyperlink>
      <w:r w:rsidR="0073780D">
        <w:t xml:space="preserve"> [Accessed June 2022]</w:t>
      </w:r>
    </w:p>
  </w:footnote>
  <w:footnote w:id="66">
    <w:p w14:paraId="6A34EC6D" w14:textId="4805E123" w:rsidR="009B67B8" w:rsidRDefault="009B67B8" w:rsidP="009B67B8">
      <w:pPr>
        <w:pStyle w:val="Tekstprzypisudolnego"/>
      </w:pPr>
      <w:r>
        <w:rPr>
          <w:rStyle w:val="Odwoanieprzypisudolnego"/>
        </w:rPr>
        <w:footnoteRef/>
      </w:r>
      <w:r>
        <w:t xml:space="preserve"> </w:t>
      </w:r>
      <w:r>
        <w:tab/>
      </w:r>
      <w:r w:rsidRPr="0090529C">
        <w:rPr>
          <w:lang w:val="nl-NL"/>
        </w:rPr>
        <w:t xml:space="preserve">Bramley-Harker, E. </w:t>
      </w:r>
      <w:r w:rsidRPr="002823BC">
        <w:rPr>
          <w:iCs/>
          <w:lang w:val="nl-NL"/>
        </w:rPr>
        <w:t>et al</w:t>
      </w:r>
      <w:r w:rsidRPr="004B2AE2">
        <w:rPr>
          <w:iCs/>
          <w:lang w:val="nl-NL"/>
        </w:rPr>
        <w:t>.</w:t>
      </w:r>
      <w:r w:rsidRPr="0090529C">
        <w:rPr>
          <w:lang w:val="nl-NL"/>
        </w:rPr>
        <w:t xml:space="preserve"> </w:t>
      </w:r>
      <w:r>
        <w:t>(</w:t>
      </w:r>
      <w:r w:rsidRPr="004743B5">
        <w:t>2007</w:t>
      </w:r>
      <w:r>
        <w:t>)</w:t>
      </w:r>
      <w:r w:rsidRPr="004743B5">
        <w:t xml:space="preserve"> Key Factors in Attracting Internationally Mobile Investments by the Research-Based Pharmaceutical Industry. London, UK: NERA Economic Consulting.</w:t>
      </w:r>
    </w:p>
  </w:footnote>
  <w:footnote w:id="67">
    <w:p w14:paraId="5FD8EEDB" w14:textId="7FA617D5" w:rsidR="00C734B7" w:rsidRDefault="00C734B7" w:rsidP="000A2E03">
      <w:pPr>
        <w:pStyle w:val="Tekstprzypisudolnego"/>
        <w:jc w:val="left"/>
      </w:pPr>
      <w:r>
        <w:rPr>
          <w:rStyle w:val="Odwoanieprzypisudolnego"/>
        </w:rPr>
        <w:footnoteRef/>
      </w:r>
      <w:r>
        <w:t xml:space="preserve"> </w:t>
      </w:r>
      <w:r w:rsidR="00797D95">
        <w:tab/>
      </w:r>
      <w:r>
        <w:t xml:space="preserve">Guimón, J. (2008) </w:t>
      </w:r>
      <w:r w:rsidRPr="00C734B7">
        <w:t>Government strategies to attract R&amp;D-intensive FDI</w:t>
      </w:r>
      <w:r>
        <w:t xml:space="preserve">. </w:t>
      </w:r>
      <w:r w:rsidRPr="00C734B7">
        <w:rPr>
          <w:i/>
          <w:iCs/>
        </w:rPr>
        <w:t>The Journal of Technology Transfer</w:t>
      </w:r>
      <w:r>
        <w:rPr>
          <w:i/>
          <w:iCs/>
        </w:rPr>
        <w:t>.</w:t>
      </w:r>
      <w:r w:rsidRPr="00C734B7">
        <w:t xml:space="preserve"> 34</w:t>
      </w:r>
      <w:r w:rsidR="0031438F">
        <w:t>(4)</w:t>
      </w:r>
      <w:r w:rsidR="004B2AE2">
        <w:t>:</w:t>
      </w:r>
      <w:r w:rsidRPr="00C734B7">
        <w:t xml:space="preserve"> </w:t>
      </w:r>
      <w:r>
        <w:t>364</w:t>
      </w:r>
      <w:r w:rsidR="004B2AE2">
        <w:rPr>
          <w:rFonts w:cs="Arial"/>
        </w:rPr>
        <w:t>–</w:t>
      </w:r>
      <w:r w:rsidRPr="00C734B7">
        <w:t>379</w:t>
      </w:r>
      <w:r>
        <w:t>.</w:t>
      </w:r>
    </w:p>
  </w:footnote>
  <w:footnote w:id="68">
    <w:p w14:paraId="7E674BD1" w14:textId="77777777" w:rsidR="0063729E" w:rsidRDefault="0063729E" w:rsidP="000A2E03">
      <w:pPr>
        <w:pStyle w:val="Tekstprzypisudolnego"/>
        <w:jc w:val="left"/>
      </w:pPr>
      <w:r>
        <w:rPr>
          <w:rStyle w:val="Odwoanieprzypisudolnego"/>
        </w:rPr>
        <w:footnoteRef/>
      </w:r>
      <w:r>
        <w:t xml:space="preserve"> </w:t>
      </w:r>
      <w:r>
        <w:tab/>
        <w:t xml:space="preserve">Michaelis, C., King, K. and Radevsky, A. (2010) Qualitative research into businesses’ Research and Development (R&amp;D) decision-making processes, UK: </w:t>
      </w:r>
      <w:r w:rsidRPr="001667CB">
        <w:t>Databuild Research and Solutions Ltd</w:t>
      </w:r>
      <w:r>
        <w:t xml:space="preserve"> for HM Revenue and Customs.</w:t>
      </w:r>
    </w:p>
  </w:footnote>
  <w:footnote w:id="69">
    <w:p w14:paraId="5BD48CDB" w14:textId="27DEC6B0" w:rsidR="0063729E" w:rsidRDefault="0063729E" w:rsidP="000A2E03">
      <w:pPr>
        <w:pStyle w:val="Tekstprzypisudolnego"/>
        <w:jc w:val="left"/>
      </w:pPr>
      <w:r>
        <w:rPr>
          <w:rStyle w:val="Odwoanieprzypisudolnego"/>
        </w:rPr>
        <w:footnoteRef/>
      </w:r>
      <w:r>
        <w:t xml:space="preserve"> </w:t>
      </w:r>
      <w:r>
        <w:tab/>
        <w:t xml:space="preserve">Rodgers, P. </w:t>
      </w:r>
      <w:r w:rsidRPr="002823BC">
        <w:t>et al</w:t>
      </w:r>
      <w:r w:rsidRPr="004B2AE2">
        <w:t>.</w:t>
      </w:r>
      <w:r>
        <w:t xml:space="preserve"> (2019) </w:t>
      </w:r>
      <w:r w:rsidRPr="008D5343">
        <w:t>Exploring the determinants of location choice decisions of offshored R&amp;D projects</w:t>
      </w:r>
      <w:r>
        <w:t xml:space="preserve">. </w:t>
      </w:r>
      <w:r w:rsidRPr="0085003F">
        <w:rPr>
          <w:i/>
          <w:iCs/>
        </w:rPr>
        <w:t>Journal of Business Research</w:t>
      </w:r>
      <w:r>
        <w:t>. 103</w:t>
      </w:r>
      <w:r w:rsidR="004B2AE2">
        <w:t>:</w:t>
      </w:r>
      <w:r>
        <w:t xml:space="preserve"> 472</w:t>
      </w:r>
      <w:r w:rsidR="004B2AE2">
        <w:rPr>
          <w:rFonts w:cs="Arial"/>
        </w:rPr>
        <w:t>–</w:t>
      </w:r>
      <w:r>
        <w:t>483.</w:t>
      </w:r>
    </w:p>
  </w:footnote>
  <w:footnote w:id="70">
    <w:p w14:paraId="2434142C" w14:textId="46716315" w:rsidR="00FB5026" w:rsidRDefault="00FB5026" w:rsidP="000A2E03">
      <w:pPr>
        <w:pStyle w:val="Tekstprzypisudolnego"/>
      </w:pPr>
      <w:r>
        <w:rPr>
          <w:rStyle w:val="Odwoanieprzypisudolnego"/>
        </w:rPr>
        <w:footnoteRef/>
      </w:r>
      <w:r>
        <w:t xml:space="preserve"> </w:t>
      </w:r>
      <w:r>
        <w:tab/>
      </w:r>
      <w:r w:rsidR="006F6FD3">
        <w:t xml:space="preserve">MSD </w:t>
      </w:r>
      <w:r w:rsidR="006F6FD3" w:rsidRPr="006F6FD3">
        <w:t>Our new London Discovery Research Centre site</w:t>
      </w:r>
      <w:r w:rsidR="006F6FD3">
        <w:t xml:space="preserve">. </w:t>
      </w:r>
      <w:r w:rsidR="000860D9">
        <w:t xml:space="preserve">Available at: </w:t>
      </w:r>
      <w:hyperlink r:id="rId44" w:history="1">
        <w:r w:rsidRPr="001177C8">
          <w:rPr>
            <w:rStyle w:val="Hipercze"/>
            <w:sz w:val="16"/>
          </w:rPr>
          <w:t>https://www.msd.com/stories/our-new-london-discovery-research-center-site/</w:t>
        </w:r>
      </w:hyperlink>
      <w:r>
        <w:t xml:space="preserve"> </w:t>
      </w:r>
      <w:r w:rsidR="0032244D">
        <w:t>[Accessed June 2022]</w:t>
      </w:r>
    </w:p>
  </w:footnote>
  <w:footnote w:id="71">
    <w:p w14:paraId="71829BB4" w14:textId="7C687E58" w:rsidR="00A24A91" w:rsidRDefault="00A24A91" w:rsidP="000A2E03">
      <w:pPr>
        <w:pStyle w:val="Tekstprzypisudolnego"/>
      </w:pPr>
      <w:r>
        <w:rPr>
          <w:rStyle w:val="Odwoanieprzypisudolnego"/>
        </w:rPr>
        <w:footnoteRef/>
      </w:r>
      <w:r>
        <w:t xml:space="preserve"> </w:t>
      </w:r>
      <w:r>
        <w:tab/>
        <w:t>Information from interview programme with MSD representative, June 2022.</w:t>
      </w:r>
    </w:p>
  </w:footnote>
  <w:footnote w:id="72">
    <w:p w14:paraId="5D266005" w14:textId="338138C6" w:rsidR="00A24A91" w:rsidRDefault="00A24A91" w:rsidP="000A2E03">
      <w:pPr>
        <w:pStyle w:val="Tekstprzypisudolnego"/>
      </w:pPr>
      <w:r>
        <w:rPr>
          <w:rStyle w:val="Odwoanieprzypisudolnego"/>
        </w:rPr>
        <w:footnoteRef/>
      </w:r>
      <w:r>
        <w:t xml:space="preserve"> </w:t>
      </w:r>
      <w:r>
        <w:tab/>
      </w:r>
      <w:r w:rsidR="00F654A9">
        <w:t xml:space="preserve">HM Government </w:t>
      </w:r>
      <w:r w:rsidR="00FE0D1C">
        <w:t>Life Sciences Vision</w:t>
      </w:r>
      <w:r w:rsidR="004C2CBE">
        <w:t xml:space="preserve"> 2021</w:t>
      </w:r>
      <w:r w:rsidR="00563505">
        <w:t xml:space="preserve">. </w:t>
      </w:r>
      <w:r w:rsidR="000860D9">
        <w:t xml:space="preserve">Available at: </w:t>
      </w:r>
      <w:hyperlink r:id="rId45" w:history="1">
        <w:r w:rsidRPr="001177C8">
          <w:rPr>
            <w:rStyle w:val="Hipercze"/>
            <w:sz w:val="16"/>
          </w:rPr>
          <w:t>https://assets.publishing.service.gov.uk/government/uploads/system/uploads/attachment_data/file/1013597/life-sciences-vision-2021.pdf</w:t>
        </w:r>
      </w:hyperlink>
      <w:r>
        <w:t xml:space="preserve"> </w:t>
      </w:r>
      <w:r w:rsidR="0032244D">
        <w:t>[Accessed June 2022]</w:t>
      </w:r>
    </w:p>
  </w:footnote>
  <w:footnote w:id="73">
    <w:p w14:paraId="2637D1CD" w14:textId="660298F0" w:rsidR="000541C2" w:rsidRDefault="000541C2" w:rsidP="00D76538">
      <w:pPr>
        <w:pStyle w:val="Tekstprzypisudolnego"/>
        <w:spacing w:before="0" w:after="0"/>
        <w:jc w:val="left"/>
      </w:pPr>
      <w:r>
        <w:rPr>
          <w:rStyle w:val="Odwoanieprzypisudolnego"/>
        </w:rPr>
        <w:footnoteRef/>
      </w:r>
      <w:r>
        <w:t xml:space="preserve"> </w:t>
      </w:r>
      <w:r w:rsidR="00797D95">
        <w:tab/>
      </w:r>
      <w:r>
        <w:t>Erken, H. and Klei</w:t>
      </w:r>
      <w:r w:rsidR="00B35721">
        <w:t xml:space="preserve">jn, M. (2008) </w:t>
      </w:r>
      <w:r w:rsidR="00B35721" w:rsidRPr="00B35721">
        <w:t>Location factors of international R&amp;D activities: an econometric approach</w:t>
      </w:r>
      <w:r w:rsidR="00B35721">
        <w:t xml:space="preserve">. </w:t>
      </w:r>
      <w:r w:rsidR="00B35721" w:rsidRPr="00C6207A">
        <w:rPr>
          <w:i/>
          <w:iCs/>
        </w:rPr>
        <w:t>Economics of Innovation and New Technology</w:t>
      </w:r>
      <w:r w:rsidR="00B35721">
        <w:t>. 19(3</w:t>
      </w:r>
      <w:r w:rsidR="004B2AE2">
        <w:t>):</w:t>
      </w:r>
      <w:r w:rsidR="00B35721">
        <w:t xml:space="preserve"> </w:t>
      </w:r>
      <w:r w:rsidR="00C6207A">
        <w:t>203</w:t>
      </w:r>
      <w:r w:rsidR="004B2AE2">
        <w:rPr>
          <w:rFonts w:cs="Arial"/>
        </w:rPr>
        <w:t>–</w:t>
      </w:r>
      <w:r w:rsidR="00C6207A">
        <w:t>232.</w:t>
      </w:r>
    </w:p>
  </w:footnote>
  <w:footnote w:id="74">
    <w:p w14:paraId="14B9965A" w14:textId="0CB21C83" w:rsidR="007320EA" w:rsidRDefault="007320EA">
      <w:pPr>
        <w:pStyle w:val="Tekstprzypisudolnego"/>
      </w:pPr>
      <w:r>
        <w:rPr>
          <w:rStyle w:val="Odwoanieprzypisudolnego"/>
        </w:rPr>
        <w:footnoteRef/>
      </w:r>
      <w:r>
        <w:t xml:space="preserve"> </w:t>
      </w:r>
      <w:r>
        <w:tab/>
        <w:t>Information from interview programme with pharmaceutical company representatives, June</w:t>
      </w:r>
      <w:r w:rsidR="004B2AE2">
        <w:t>–</w:t>
      </w:r>
      <w:r>
        <w:t>July 2022.</w:t>
      </w:r>
    </w:p>
  </w:footnote>
  <w:footnote w:id="75">
    <w:p w14:paraId="09C5A976" w14:textId="5641C216" w:rsidR="006731D0" w:rsidRDefault="006731D0" w:rsidP="00F30879">
      <w:pPr>
        <w:pStyle w:val="Tekstprzypisudolnego"/>
        <w:spacing w:before="0" w:after="0"/>
      </w:pPr>
      <w:r>
        <w:rPr>
          <w:rStyle w:val="Odwoanieprzypisudolnego"/>
        </w:rPr>
        <w:footnoteRef/>
      </w:r>
      <w:r>
        <w:t xml:space="preserve"> </w:t>
      </w:r>
      <w:r>
        <w:tab/>
      </w:r>
      <w:hyperlink r:id="rId46" w:history="1">
        <w:r w:rsidR="00371E47" w:rsidRPr="00456D3B">
          <w:rPr>
            <w:rStyle w:val="Hipercze"/>
            <w:sz w:val="16"/>
          </w:rPr>
          <w:t>https://www.roche.com/innovation/structure/rnd</w:t>
        </w:r>
        <w:r w:rsidR="004B2AE2">
          <w:rPr>
            <w:rStyle w:val="Hipercze"/>
            <w:sz w:val="16"/>
          </w:rPr>
          <w:t>–</w:t>
        </w:r>
        <w:r w:rsidR="00371E47" w:rsidRPr="00456D3B">
          <w:rPr>
            <w:rStyle w:val="Hipercze"/>
            <w:sz w:val="16"/>
          </w:rPr>
          <w:t>locations/pharma-shanghai</w:t>
        </w:r>
      </w:hyperlink>
      <w:r w:rsidR="00371E47">
        <w:t xml:space="preserve">; </w:t>
      </w:r>
      <w:hyperlink r:id="rId47" w:history="1">
        <w:r w:rsidR="00727ABA" w:rsidRPr="00A970C6">
          <w:rPr>
            <w:rStyle w:val="Hipercze"/>
            <w:sz w:val="16"/>
          </w:rPr>
          <w:t>http://www.china.org.cn/english/scitech/147304.htm</w:t>
        </w:r>
      </w:hyperlink>
      <w:r w:rsidR="00D73B5D">
        <w:t xml:space="preserve">; </w:t>
      </w:r>
      <w:hyperlink r:id="rId48" w:history="1">
        <w:r w:rsidR="004A711F" w:rsidRPr="00456D3B">
          <w:rPr>
            <w:rStyle w:val="Hipercze"/>
            <w:sz w:val="16"/>
          </w:rPr>
          <w:t>https://www.thepharmaletter.com/article/novartis-to-open-new-r-d-faciltiy-in-china-with-100-million-investment</w:t>
        </w:r>
      </w:hyperlink>
      <w:r w:rsidR="004A711F">
        <w:t xml:space="preserve">; </w:t>
      </w:r>
      <w:hyperlink r:id="rId49" w:history="1">
        <w:r w:rsidR="00952048" w:rsidRPr="00456D3B">
          <w:rPr>
            <w:rStyle w:val="Hipercze"/>
            <w:sz w:val="16"/>
          </w:rPr>
          <w:t>https://www.jnj.com/media-center/press-releases/johnson-johnson-innovation-launches-asia-pacific-innovation-center-and-announces-new-alliances</w:t>
        </w:r>
      </w:hyperlink>
      <w:r w:rsidR="00952048">
        <w:t xml:space="preserve">; </w:t>
      </w:r>
      <w:hyperlink r:id="rId50" w:history="1">
        <w:r w:rsidR="00002BE4" w:rsidRPr="00456D3B">
          <w:rPr>
            <w:rStyle w:val="Hipercze"/>
            <w:sz w:val="16"/>
          </w:rPr>
          <w:t>https://www.merck.com/news/merck-establishes-new-msd-rd-asia-headquarters/</w:t>
        </w:r>
      </w:hyperlink>
      <w:r w:rsidR="00002BE4">
        <w:t xml:space="preserve">; </w:t>
      </w:r>
      <w:hyperlink r:id="rId51" w:history="1">
        <w:r w:rsidR="003674A5" w:rsidRPr="00456D3B">
          <w:rPr>
            <w:rStyle w:val="Hipercze"/>
            <w:sz w:val="16"/>
          </w:rPr>
          <w:t>https://www.yicaiglobal.com/news/sanofi-unveils-first-global-research-institute-in-china-to-develop-innovative-drugs</w:t>
        </w:r>
      </w:hyperlink>
      <w:r w:rsidR="003674A5">
        <w:t xml:space="preserve">; </w:t>
      </w:r>
      <w:hyperlink r:id="rId52" w:history="1">
        <w:r w:rsidR="004C1F47" w:rsidRPr="00456D3B">
          <w:rPr>
            <w:rStyle w:val="Hipercze"/>
            <w:sz w:val="16"/>
          </w:rPr>
          <w:t>http://www.chinadaily.com.cn/bizchina/2007-07/03/content_908686.htm</w:t>
        </w:r>
      </w:hyperlink>
      <w:r w:rsidR="004C1F47">
        <w:t xml:space="preserve">; </w:t>
      </w:r>
      <w:hyperlink r:id="rId53" w:anchor=".Yqr_anbMKUk" w:history="1">
        <w:r w:rsidR="004D1B56" w:rsidRPr="00456D3B">
          <w:rPr>
            <w:rStyle w:val="Hipercze"/>
            <w:sz w:val="16"/>
          </w:rPr>
          <w:t>https://focus.cbbc.org/astrazeneca-makes-shanghai-a-global-rd-centre/#.Yqr_anbMKUk</w:t>
        </w:r>
      </w:hyperlink>
      <w:r w:rsidR="004D1B56">
        <w:t xml:space="preserve">; </w:t>
      </w:r>
      <w:hyperlink r:id="rId54" w:history="1">
        <w:r w:rsidR="00B42BD9" w:rsidRPr="00456D3B">
          <w:rPr>
            <w:rStyle w:val="Hipercze"/>
            <w:sz w:val="16"/>
          </w:rPr>
          <w:t>https://www.amgen.com.cn/en/media/amgen_asia_reserach_development_center.html</w:t>
        </w:r>
      </w:hyperlink>
      <w:r w:rsidR="00B42BD9">
        <w:t xml:space="preserve">; </w:t>
      </w:r>
      <w:hyperlink r:id="rId55" w:history="1">
        <w:r w:rsidR="00B42BD9" w:rsidRPr="00456D3B">
          <w:rPr>
            <w:rStyle w:val="Hipercze"/>
            <w:sz w:val="16"/>
          </w:rPr>
          <w:t>https://www.fiercebiotech.com/biotech/lilly-to-shutter-u-s-china-r-d-centers</w:t>
        </w:r>
      </w:hyperlink>
      <w:r w:rsidR="002E7A0E">
        <w:t xml:space="preserve">; </w:t>
      </w:r>
      <w:hyperlink r:id="rId56" w:history="1">
        <w:r w:rsidR="002E7A0E" w:rsidRPr="00456D3B">
          <w:rPr>
            <w:rStyle w:val="Hipercze"/>
            <w:sz w:val="16"/>
          </w:rPr>
          <w:t>https://www.novonordisk.com/science-and-technology/research-and-technology-centres.html</w:t>
        </w:r>
      </w:hyperlink>
      <w:r w:rsidR="002E7A0E">
        <w:t xml:space="preserve"> [Accessed June 2022]</w:t>
      </w:r>
    </w:p>
  </w:footnote>
  <w:footnote w:id="76">
    <w:p w14:paraId="36E3EF8D" w14:textId="393190B4" w:rsidR="00E752A9" w:rsidRDefault="00E752A9" w:rsidP="00CC23BC">
      <w:pPr>
        <w:pStyle w:val="Tekstprzypisudolnego"/>
        <w:spacing w:before="0" w:after="0"/>
      </w:pPr>
      <w:r>
        <w:rPr>
          <w:rStyle w:val="Odwoanieprzypisudolnego"/>
        </w:rPr>
        <w:footnoteRef/>
      </w:r>
      <w:r>
        <w:t xml:space="preserve"> </w:t>
      </w:r>
      <w:r>
        <w:tab/>
      </w:r>
      <w:r w:rsidR="003750D0">
        <w:t xml:space="preserve">CSET </w:t>
      </w:r>
      <w:r w:rsidR="00500E9D">
        <w:t>Data Brie</w:t>
      </w:r>
      <w:r w:rsidR="004D1293">
        <w:t>f</w:t>
      </w:r>
      <w:r w:rsidR="00500E9D">
        <w:t xml:space="preserve"> </w:t>
      </w:r>
      <w:r w:rsidR="00F31B8D" w:rsidRPr="00F31B8D">
        <w:t>China is Fast Outpacing U.S. STEM PhD Growth</w:t>
      </w:r>
      <w:r w:rsidR="00F31B8D">
        <w:t xml:space="preserve"> 2021</w:t>
      </w:r>
      <w:r w:rsidR="00052360">
        <w:t xml:space="preserve">. </w:t>
      </w:r>
      <w:r w:rsidR="000860D9">
        <w:t xml:space="preserve">Available at: </w:t>
      </w:r>
      <w:hyperlink r:id="rId57" w:history="1">
        <w:r w:rsidR="00046D38" w:rsidRPr="00456D3B">
          <w:rPr>
            <w:rStyle w:val="Hipercze"/>
            <w:sz w:val="16"/>
          </w:rPr>
          <w:t>https://cset.georgetown.edu/publication/china-is-fast-outpacing-u-s-stem-phd-growth/</w:t>
        </w:r>
      </w:hyperlink>
      <w:r w:rsidR="00046D38">
        <w:t xml:space="preserve"> </w:t>
      </w:r>
      <w:r w:rsidR="00DD4D3A">
        <w:t>[Accessed June 2022]</w:t>
      </w:r>
    </w:p>
  </w:footnote>
  <w:footnote w:id="77">
    <w:p w14:paraId="3E8278D4" w14:textId="4D36CCDA" w:rsidR="00A97CD5" w:rsidRDefault="00A97CD5">
      <w:pPr>
        <w:pStyle w:val="Tekstprzypisudolnego"/>
      </w:pPr>
      <w:r>
        <w:rPr>
          <w:rStyle w:val="Odwoanieprzypisudolnego"/>
        </w:rPr>
        <w:footnoteRef/>
      </w:r>
      <w:r>
        <w:t xml:space="preserve"> </w:t>
      </w:r>
      <w:r>
        <w:tab/>
        <w:t xml:space="preserve">Nature Index </w:t>
      </w:r>
      <w:r w:rsidR="00E02821">
        <w:t>2022 tables: Institutions</w:t>
      </w:r>
      <w:r w:rsidR="00F24936">
        <w:t>.</w:t>
      </w:r>
      <w:r w:rsidR="00E02821">
        <w:t xml:space="preserve"> </w:t>
      </w:r>
      <w:r w:rsidR="000860D9">
        <w:t xml:space="preserve">Available at: </w:t>
      </w:r>
      <w:hyperlink r:id="rId58" w:history="1">
        <w:r w:rsidR="000E589E" w:rsidRPr="00EA0246">
          <w:rPr>
            <w:rStyle w:val="Hipercze"/>
            <w:sz w:val="16"/>
          </w:rPr>
          <w:t>https://www.nature.com/nature-index/annual-tables/2022/institution/all/all/global</w:t>
        </w:r>
      </w:hyperlink>
      <w:r w:rsidR="000E589E">
        <w:t xml:space="preserve"> [Accessed September 2022]</w:t>
      </w:r>
    </w:p>
  </w:footnote>
  <w:footnote w:id="78">
    <w:p w14:paraId="23D9FAB9" w14:textId="21F3B932" w:rsidR="00F925B4" w:rsidRDefault="00F925B4">
      <w:pPr>
        <w:pStyle w:val="Tekstprzypisudolnego"/>
      </w:pPr>
      <w:r>
        <w:rPr>
          <w:rStyle w:val="Odwoanieprzypisudolnego"/>
        </w:rPr>
        <w:footnoteRef/>
      </w:r>
      <w:r>
        <w:t xml:space="preserve"> </w:t>
      </w:r>
      <w:r>
        <w:tab/>
        <w:t xml:space="preserve">FierceBiotech </w:t>
      </w:r>
      <w:r w:rsidR="009021CD" w:rsidRPr="009021CD">
        <w:t>The top 10 global R&amp;D institutes of 2021</w:t>
      </w:r>
      <w:r w:rsidR="00F24936">
        <w:t xml:space="preserve">. </w:t>
      </w:r>
      <w:r w:rsidR="000860D9">
        <w:t xml:space="preserve">Available at: </w:t>
      </w:r>
      <w:hyperlink r:id="rId59" w:history="1">
        <w:r w:rsidR="000344FD" w:rsidRPr="00A970C6">
          <w:rPr>
            <w:rStyle w:val="Hipercze"/>
            <w:sz w:val="16"/>
          </w:rPr>
          <w:t>https://www.fiercebiotech.com/biotech/top-10-global-rd-institutes-2021</w:t>
        </w:r>
      </w:hyperlink>
      <w:r w:rsidR="000C63AB">
        <w:t xml:space="preserve"> [Accessed September 202</w:t>
      </w:r>
      <w:r w:rsidR="00500FE6">
        <w:t>2</w:t>
      </w:r>
      <w:r w:rsidR="000C63AB">
        <w:t>]</w:t>
      </w:r>
    </w:p>
  </w:footnote>
  <w:footnote w:id="79">
    <w:p w14:paraId="228C9651" w14:textId="4DF81E7B" w:rsidR="0095636F" w:rsidRDefault="0095636F">
      <w:pPr>
        <w:pStyle w:val="Tekstprzypisudolnego"/>
      </w:pPr>
      <w:r>
        <w:rPr>
          <w:rStyle w:val="Odwoanieprzypisudolnego"/>
        </w:rPr>
        <w:footnoteRef/>
      </w:r>
      <w:r>
        <w:t xml:space="preserve"> </w:t>
      </w:r>
      <w:r w:rsidR="003B15AB">
        <w:tab/>
      </w:r>
      <w:r w:rsidR="003B15AB" w:rsidRPr="003B15AB">
        <w:t>China: Patent Law Amendment brings sea change to pharmaceutical patent regime</w:t>
      </w:r>
      <w:r w:rsidR="007F0852">
        <w:t xml:space="preserve">; </w:t>
      </w:r>
      <w:r w:rsidR="000860D9">
        <w:t xml:space="preserve">Available at: </w:t>
      </w:r>
      <w:hyperlink r:id="rId60" w:history="1">
        <w:r w:rsidR="0084098C" w:rsidRPr="00BE420C">
          <w:rPr>
            <w:rStyle w:val="Hipercze"/>
            <w:sz w:val="16"/>
          </w:rPr>
          <w:t>https://www.allenovery.com/en-gb/global/news-and-insights/publications/china-patent-law-amendment-brings-sea-change-to-pharmaceutical-patent-regime</w:t>
        </w:r>
      </w:hyperlink>
      <w:r w:rsidR="0084098C">
        <w:t xml:space="preserve"> [Accessed June 2022]</w:t>
      </w:r>
      <w:r w:rsidR="00BD4C5B">
        <w:t xml:space="preserve"> </w:t>
      </w:r>
    </w:p>
  </w:footnote>
  <w:footnote w:id="80">
    <w:p w14:paraId="092ACBE2" w14:textId="42B633FE" w:rsidR="00776680" w:rsidRDefault="00776680" w:rsidP="007D4C10">
      <w:pPr>
        <w:pStyle w:val="Tekstprzypisudolnego"/>
        <w:spacing w:before="0" w:after="0"/>
      </w:pPr>
      <w:r>
        <w:rPr>
          <w:rStyle w:val="Odwoanieprzypisudolnego"/>
        </w:rPr>
        <w:footnoteRef/>
      </w:r>
      <w:r>
        <w:t xml:space="preserve"> </w:t>
      </w:r>
      <w:r>
        <w:tab/>
        <w:t>Information from interview programme with pharmaceutical company representatives, June</w:t>
      </w:r>
      <w:r w:rsidR="004B2AE2">
        <w:t>–</w:t>
      </w:r>
      <w:r w:rsidR="00AF2191">
        <w:t>July</w:t>
      </w:r>
      <w:r>
        <w:t xml:space="preserve"> 2022.</w:t>
      </w:r>
    </w:p>
  </w:footnote>
  <w:footnote w:id="81">
    <w:p w14:paraId="3B751D2D" w14:textId="62F572E9" w:rsidR="00AF2191" w:rsidRDefault="00AF2191">
      <w:pPr>
        <w:pStyle w:val="Tekstprzypisudolnego"/>
      </w:pPr>
      <w:r>
        <w:rPr>
          <w:rStyle w:val="Odwoanieprzypisudolnego"/>
        </w:rPr>
        <w:footnoteRef/>
      </w:r>
      <w:r>
        <w:t xml:space="preserve"> </w:t>
      </w:r>
      <w:r>
        <w:tab/>
        <w:t>Information from interview programme with pharmaceutical company representatives, June</w:t>
      </w:r>
      <w:r w:rsidR="004B2AE2">
        <w:t>–</w:t>
      </w:r>
      <w:r>
        <w:t>July 2022.</w:t>
      </w:r>
    </w:p>
  </w:footnote>
  <w:footnote w:id="82">
    <w:p w14:paraId="462A63D5" w14:textId="621A9B83" w:rsidR="00EE159E" w:rsidRDefault="00EE159E">
      <w:pPr>
        <w:pStyle w:val="Tekstprzypisudolnego"/>
      </w:pPr>
      <w:r>
        <w:rPr>
          <w:rStyle w:val="Odwoanieprzypisudolnego"/>
        </w:rPr>
        <w:footnoteRef/>
      </w:r>
      <w:r>
        <w:t xml:space="preserve"> </w:t>
      </w:r>
      <w:r>
        <w:tab/>
      </w:r>
      <w:r w:rsidR="00D05D7D">
        <w:t xml:space="preserve">Boodhoo, A. (2021) </w:t>
      </w:r>
      <w:r w:rsidR="00E52B78" w:rsidRPr="00E52B78">
        <w:t>How China is making progress in cell and gene therapy</w:t>
      </w:r>
      <w:r w:rsidR="00E52B78">
        <w:t xml:space="preserve">. Available at: </w:t>
      </w:r>
      <w:hyperlink r:id="rId61" w:history="1">
        <w:r w:rsidR="00E52B78" w:rsidRPr="00BE420C">
          <w:rPr>
            <w:rStyle w:val="Hipercze"/>
            <w:sz w:val="16"/>
          </w:rPr>
          <w:t>https://www.ey.com/en_gl/life-sciences/how-china-is-making-progress-in-cell-and-gene-therapy</w:t>
        </w:r>
      </w:hyperlink>
      <w:r w:rsidR="00E52B78">
        <w:t xml:space="preserve"> [Accessed July 2022]</w:t>
      </w:r>
    </w:p>
  </w:footnote>
  <w:footnote w:id="83">
    <w:p w14:paraId="024228B9" w14:textId="0949B306" w:rsidR="00EE159E" w:rsidRDefault="00EE159E">
      <w:pPr>
        <w:pStyle w:val="Tekstprzypisudolnego"/>
      </w:pPr>
      <w:r>
        <w:rPr>
          <w:rStyle w:val="Odwoanieprzypisudolnego"/>
        </w:rPr>
        <w:footnoteRef/>
      </w:r>
      <w:r>
        <w:t xml:space="preserve"> </w:t>
      </w:r>
      <w:r>
        <w:tab/>
      </w:r>
      <w:r w:rsidR="00815EA2">
        <w:t xml:space="preserve">Wang, Y. et al. (2022) </w:t>
      </w:r>
      <w:r w:rsidR="00D622B4" w:rsidRPr="00D622B4">
        <w:t>An Overview of Cell and Gene Therapy Development in China.</w:t>
      </w:r>
      <w:r w:rsidR="00D622B4">
        <w:t xml:space="preserve"> </w:t>
      </w:r>
      <w:r w:rsidR="00D622B4" w:rsidRPr="00DC16A4">
        <w:rPr>
          <w:i/>
          <w:iCs/>
        </w:rPr>
        <w:t>Human Gene Therapy</w:t>
      </w:r>
      <w:r w:rsidR="00D622B4">
        <w:t>.</w:t>
      </w:r>
      <w:r w:rsidR="00F14A0B">
        <w:t xml:space="preserve"> 33(1</w:t>
      </w:r>
      <w:r w:rsidR="004B2AE2">
        <w:t>–</w:t>
      </w:r>
      <w:r w:rsidR="00F14A0B">
        <w:t>2): 14</w:t>
      </w:r>
      <w:r w:rsidR="004B2AE2">
        <w:t>–</w:t>
      </w:r>
      <w:r w:rsidR="00F14A0B">
        <w:t>24.</w:t>
      </w:r>
    </w:p>
  </w:footnote>
  <w:footnote w:id="84">
    <w:p w14:paraId="7C0E0100" w14:textId="6B659E1B" w:rsidR="005464A9" w:rsidRDefault="005464A9" w:rsidP="00EF4020">
      <w:pPr>
        <w:pStyle w:val="Tekstprzypisudolnego"/>
        <w:spacing w:before="0" w:after="0"/>
      </w:pPr>
      <w:r>
        <w:rPr>
          <w:rStyle w:val="Odwoanieprzypisudolnego"/>
        </w:rPr>
        <w:footnoteRef/>
      </w:r>
      <w:r>
        <w:t xml:space="preserve"> </w:t>
      </w:r>
      <w:r w:rsidR="0024553E">
        <w:tab/>
      </w:r>
      <w:r>
        <w:t>Gehring, M. et al. (</w:t>
      </w:r>
      <w:r w:rsidR="00D8377A">
        <w:t xml:space="preserve">2013) </w:t>
      </w:r>
      <w:r w:rsidR="00D8377A" w:rsidRPr="00D8377A">
        <w:t>Factors influencing clinical trial site selection in Europe: the Survey of Attitudes towards Trial sites in Europe (the SAT-EU Study)</w:t>
      </w:r>
      <w:r w:rsidR="00D8377A">
        <w:t xml:space="preserve">. </w:t>
      </w:r>
      <w:r w:rsidR="00D8377A" w:rsidRPr="00D8377A">
        <w:rPr>
          <w:i/>
          <w:iCs/>
        </w:rPr>
        <w:t>BMJ Open</w:t>
      </w:r>
      <w:r w:rsidR="00D8377A">
        <w:t>. 3(11</w:t>
      </w:r>
      <w:r w:rsidR="004B2AE2">
        <w:t>):</w:t>
      </w:r>
      <w:r w:rsidR="00D8377A">
        <w:t xml:space="preserve"> e002957.</w:t>
      </w:r>
    </w:p>
  </w:footnote>
  <w:footnote w:id="85">
    <w:p w14:paraId="29726B3D" w14:textId="3039A880" w:rsidR="00A55E0C" w:rsidRPr="00937674" w:rsidRDefault="00A55E0C" w:rsidP="007D4C10">
      <w:pPr>
        <w:pStyle w:val="Tekstprzypisudolnego"/>
        <w:spacing w:before="0" w:after="0"/>
      </w:pPr>
      <w:r>
        <w:rPr>
          <w:rStyle w:val="Odwoanieprzypisudolnego"/>
        </w:rPr>
        <w:footnoteRef/>
      </w:r>
      <w:r w:rsidRPr="00937674">
        <w:t xml:space="preserve"> </w:t>
      </w:r>
      <w:r w:rsidRPr="00937674">
        <w:tab/>
      </w:r>
      <w:r w:rsidR="005462DD">
        <w:t xml:space="preserve">APM HealthEurope </w:t>
      </w:r>
      <w:r w:rsidR="001E51D9" w:rsidRPr="001E51D9">
        <w:t>EMA acceptance of largely Taiwanese data for PTC's Upstaza partly down to ethnicity-neutral nature of gene therapy</w:t>
      </w:r>
      <w:r w:rsidR="001E51D9">
        <w:t xml:space="preserve"> 2022.</w:t>
      </w:r>
      <w:r w:rsidR="00BD4C5B">
        <w:t xml:space="preserve"> </w:t>
      </w:r>
      <w:r w:rsidR="000860D9">
        <w:t xml:space="preserve">Available at: </w:t>
      </w:r>
      <w:hyperlink r:id="rId62" w:history="1">
        <w:r w:rsidRPr="00937674">
          <w:rPr>
            <w:rStyle w:val="Hipercze"/>
            <w:sz w:val="16"/>
          </w:rPr>
          <w:t>https://www.apmhealtheurope.com/story.php?objet=79823</w:t>
        </w:r>
      </w:hyperlink>
      <w:r w:rsidRPr="00937674">
        <w:t xml:space="preserve"> [Accesse</w:t>
      </w:r>
      <w:r w:rsidR="00855B66" w:rsidRPr="007D4C10">
        <w:t>d</w:t>
      </w:r>
      <w:r w:rsidRPr="00937674">
        <w:t xml:space="preserve"> June 2022]</w:t>
      </w:r>
    </w:p>
  </w:footnote>
  <w:footnote w:id="86">
    <w:p w14:paraId="76D6E47A" w14:textId="7993754E" w:rsidR="00C5077F" w:rsidRDefault="00C5077F">
      <w:pPr>
        <w:pStyle w:val="Tekstprzypisudolnego"/>
      </w:pPr>
      <w:r>
        <w:rPr>
          <w:rStyle w:val="Odwoanieprzypisudolnego"/>
        </w:rPr>
        <w:footnoteRef/>
      </w:r>
      <w:r>
        <w:t xml:space="preserve"> </w:t>
      </w:r>
      <w:r>
        <w:tab/>
      </w:r>
      <w:r w:rsidR="006B3E25">
        <w:t>Cancer Network</w:t>
      </w:r>
      <w:r w:rsidR="00B16813">
        <w:t xml:space="preserve"> </w:t>
      </w:r>
      <w:r w:rsidR="00472B91" w:rsidRPr="00472B91">
        <w:t>FDA’s ODAC Cites Need for Additional Research for Sintilimab Combo for Frontline NSCLC</w:t>
      </w:r>
      <w:r w:rsidR="00472B91">
        <w:t xml:space="preserve"> 2022. </w:t>
      </w:r>
      <w:r w:rsidR="000860D9">
        <w:t xml:space="preserve">Available at: </w:t>
      </w:r>
      <w:hyperlink r:id="rId63" w:history="1">
        <w:r w:rsidRPr="00866325">
          <w:rPr>
            <w:rStyle w:val="Hipercze"/>
            <w:sz w:val="16"/>
          </w:rPr>
          <w:t>https://www.cancernetwork.com/view/fda-s-odac-cites-need-for-additional-research-for-sintilimab-combo-for-frontline-nsclc</w:t>
        </w:r>
      </w:hyperlink>
      <w:r>
        <w:t xml:space="preserve"> [Accessed July 2022]</w:t>
      </w:r>
    </w:p>
  </w:footnote>
  <w:footnote w:id="87">
    <w:p w14:paraId="0E3A6EEE" w14:textId="29082DB8" w:rsidR="000839AB" w:rsidRDefault="000839AB" w:rsidP="007D4C10">
      <w:pPr>
        <w:pStyle w:val="Tekstprzypisudolnego"/>
        <w:spacing w:before="0" w:after="0"/>
      </w:pPr>
      <w:r>
        <w:rPr>
          <w:rStyle w:val="Odwoanieprzypisudolnego"/>
        </w:rPr>
        <w:footnoteRef/>
      </w:r>
      <w:r>
        <w:t xml:space="preserve"> </w:t>
      </w:r>
      <w:r>
        <w:tab/>
      </w:r>
      <w:r w:rsidR="00B86174">
        <w:t xml:space="preserve">EMA </w:t>
      </w:r>
      <w:r w:rsidR="000860D9">
        <w:t xml:space="preserve">Available at: </w:t>
      </w:r>
      <w:hyperlink r:id="rId64" w:history="1">
        <w:r w:rsidRPr="00456D3B">
          <w:rPr>
            <w:rStyle w:val="Hipercze"/>
            <w:sz w:val="16"/>
          </w:rPr>
          <w:t>https://www.ema.europa.eu/en/documents/scientific-guideline/ich-e-5-r1-ethnic-factors-acceptability-foreign-clinical-data-step-5_en.pdf</w:t>
        </w:r>
      </w:hyperlink>
      <w:r>
        <w:t xml:space="preserve"> [Accessed June 2022]</w:t>
      </w:r>
    </w:p>
  </w:footnote>
  <w:footnote w:id="88">
    <w:p w14:paraId="3AA7C915" w14:textId="39CEB367" w:rsidR="000839AB" w:rsidRDefault="000839AB" w:rsidP="000A2E03">
      <w:pPr>
        <w:pStyle w:val="Tekstprzypisudolnego"/>
      </w:pPr>
      <w:r>
        <w:rPr>
          <w:rStyle w:val="Odwoanieprzypisudolnego"/>
        </w:rPr>
        <w:footnoteRef/>
      </w:r>
      <w:r>
        <w:t xml:space="preserve"> </w:t>
      </w:r>
      <w:r>
        <w:tab/>
      </w:r>
      <w:r w:rsidR="00B86174">
        <w:t xml:space="preserve">FDA </w:t>
      </w:r>
      <w:r w:rsidR="000860D9">
        <w:t xml:space="preserve">Available at: </w:t>
      </w:r>
      <w:hyperlink r:id="rId65" w:history="1">
        <w:r w:rsidRPr="00456D3B">
          <w:rPr>
            <w:rStyle w:val="Hipercze"/>
            <w:sz w:val="16"/>
          </w:rPr>
          <w:t>https://www.fda.gov/files/about%20fda/published/FDA-Acceptance-of-Foreign-Clinical-Studies-Not-Conducted-Under-an-IND--Frequently-Asked-Questions.pdf</w:t>
        </w:r>
      </w:hyperlink>
      <w:r>
        <w:t xml:space="preserve"> [Accessed June 2022]</w:t>
      </w:r>
    </w:p>
  </w:footnote>
  <w:footnote w:id="89">
    <w:p w14:paraId="254E1BE3" w14:textId="056FB6DA" w:rsidR="000839AB" w:rsidRDefault="000839AB" w:rsidP="000A2E03">
      <w:pPr>
        <w:pStyle w:val="Tekstprzypisudolnego"/>
      </w:pPr>
      <w:r>
        <w:rPr>
          <w:rStyle w:val="Odwoanieprzypisudolnego"/>
        </w:rPr>
        <w:footnoteRef/>
      </w:r>
      <w:r>
        <w:t xml:space="preserve"> </w:t>
      </w:r>
      <w:r>
        <w:tab/>
      </w:r>
      <w:r w:rsidR="00903173">
        <w:t>IQVIA</w:t>
      </w:r>
      <w:r w:rsidR="00486E23">
        <w:t xml:space="preserve"> </w:t>
      </w:r>
      <w:r w:rsidR="00486E23" w:rsidRPr="00486E23">
        <w:t>Global approaches to drug development: when ex-U</w:t>
      </w:r>
      <w:r w:rsidR="00522F82">
        <w:t>S</w:t>
      </w:r>
      <w:r w:rsidR="00486E23" w:rsidRPr="00486E23">
        <w:t xml:space="preserve"> clinical data can support </w:t>
      </w:r>
      <w:r w:rsidR="00522F82">
        <w:t>US</w:t>
      </w:r>
      <w:r w:rsidR="00486E23" w:rsidRPr="00486E23">
        <w:t xml:space="preserve"> drug approvals</w:t>
      </w:r>
      <w:r w:rsidR="00522F82">
        <w:t>.</w:t>
      </w:r>
      <w:r w:rsidR="00486E23">
        <w:t xml:space="preserve"> </w:t>
      </w:r>
      <w:r w:rsidR="000860D9">
        <w:t xml:space="preserve">Available at: </w:t>
      </w:r>
      <w:hyperlink r:id="rId66" w:history="1">
        <w:r w:rsidRPr="00456D3B">
          <w:rPr>
            <w:rStyle w:val="Hipercze"/>
            <w:sz w:val="16"/>
          </w:rPr>
          <w:t>https://www.iqvia.com/-/media/iqvia/pdfs/library/white-papers/global-approaches-to-drug-development.pdf</w:t>
        </w:r>
      </w:hyperlink>
      <w:r>
        <w:t xml:space="preserve"> [Accessed June 2022]</w:t>
      </w:r>
    </w:p>
  </w:footnote>
  <w:footnote w:id="90">
    <w:p w14:paraId="7FDB6742" w14:textId="2244FF76" w:rsidR="000839AB" w:rsidRDefault="000839AB" w:rsidP="000A2E03">
      <w:pPr>
        <w:pStyle w:val="Tekstprzypisudolnego"/>
      </w:pPr>
      <w:r>
        <w:rPr>
          <w:rStyle w:val="Odwoanieprzypisudolnego"/>
        </w:rPr>
        <w:footnoteRef/>
      </w:r>
      <w:r>
        <w:t xml:space="preserve"> </w:t>
      </w:r>
      <w:r>
        <w:tab/>
      </w:r>
      <w:hyperlink r:id="rId67" w:history="1">
        <w:r w:rsidRPr="00456D3B">
          <w:rPr>
            <w:rStyle w:val="Hipercze"/>
            <w:sz w:val="16"/>
          </w:rPr>
          <w:t>https://www.clinicalleader.com/doc/meeting-clinical-trial-data-requirements-in-asian-markets-0001</w:t>
        </w:r>
      </w:hyperlink>
      <w:r>
        <w:t xml:space="preserve"> [Accessed June 2022]</w:t>
      </w:r>
    </w:p>
  </w:footnote>
  <w:footnote w:id="91">
    <w:p w14:paraId="65F283E1" w14:textId="26FC23D2" w:rsidR="000839AB" w:rsidRDefault="000839AB" w:rsidP="000A2E03">
      <w:pPr>
        <w:pStyle w:val="Tekstprzypisudolnego"/>
      </w:pPr>
      <w:r>
        <w:rPr>
          <w:rStyle w:val="Odwoanieprzypisudolnego"/>
        </w:rPr>
        <w:footnoteRef/>
      </w:r>
      <w:r>
        <w:t xml:space="preserve"> </w:t>
      </w:r>
      <w:r>
        <w:tab/>
      </w:r>
      <w:r w:rsidR="00486E23">
        <w:t xml:space="preserve">Morgan Lewis </w:t>
      </w:r>
      <w:r w:rsidR="00DB4112">
        <w:t>(2018) C</w:t>
      </w:r>
      <w:r w:rsidR="00DB4112" w:rsidRPr="00DB4112">
        <w:t>hina national drug administration sets guidelines for overseas drug trial data</w:t>
      </w:r>
      <w:r w:rsidR="00DB4112">
        <w:t xml:space="preserve">. </w:t>
      </w:r>
      <w:r w:rsidR="000860D9">
        <w:t xml:space="preserve">Available at: </w:t>
      </w:r>
      <w:hyperlink r:id="rId68" w:history="1">
        <w:r w:rsidRPr="00456D3B">
          <w:rPr>
            <w:rStyle w:val="Hipercze"/>
            <w:sz w:val="16"/>
          </w:rPr>
          <w:t>https://www.morganlewis.com/pubs/2018/08/china-national-drug-administration-sets-guidelines-for-overseas-drug-trial-data</w:t>
        </w:r>
      </w:hyperlink>
      <w:r>
        <w:t xml:space="preserve"> [Accessed June 2022]</w:t>
      </w:r>
    </w:p>
  </w:footnote>
  <w:footnote w:id="92">
    <w:p w14:paraId="01C98D2C" w14:textId="6E687AD8" w:rsidR="00F1785D" w:rsidRPr="00D53D69" w:rsidRDefault="00F1785D" w:rsidP="000D4277">
      <w:pPr>
        <w:pStyle w:val="Tekstprzypisudolnego"/>
        <w:rPr>
          <w:i/>
          <w:iCs/>
        </w:rPr>
      </w:pPr>
      <w:r>
        <w:rPr>
          <w:rStyle w:val="Odwoanieprzypisudolnego"/>
        </w:rPr>
        <w:footnoteRef/>
      </w:r>
      <w:r w:rsidRPr="000A2E03">
        <w:rPr>
          <w:lang w:val="nl-BE"/>
        </w:rPr>
        <w:t xml:space="preserve"> </w:t>
      </w:r>
      <w:r w:rsidRPr="000A2E03">
        <w:rPr>
          <w:lang w:val="nl-BE"/>
        </w:rPr>
        <w:tab/>
      </w:r>
      <w:r w:rsidR="008068A8" w:rsidRPr="000A2E03">
        <w:rPr>
          <w:lang w:val="nl-BE"/>
        </w:rPr>
        <w:t xml:space="preserve">Bramley-Harker E., </w:t>
      </w:r>
      <w:r w:rsidR="007058EA" w:rsidRPr="000A2E03">
        <w:rPr>
          <w:lang w:val="nl-BE"/>
        </w:rPr>
        <w:t>et al</w:t>
      </w:r>
      <w:r w:rsidR="008068A8" w:rsidRPr="000A2E03">
        <w:rPr>
          <w:lang w:val="nl-BE"/>
        </w:rPr>
        <w:t xml:space="preserve">. </w:t>
      </w:r>
      <w:r w:rsidR="00063D20">
        <w:t xml:space="preserve">(2007) Key Factors in Attracting Internationally Mobile Investments by the Research- Based Pharmaceutical Industry. </w:t>
      </w:r>
      <w:r w:rsidR="00986DF3" w:rsidRPr="002823BC">
        <w:t>London</w:t>
      </w:r>
      <w:r w:rsidR="00986DF3" w:rsidRPr="00D53D69">
        <w:rPr>
          <w:i/>
          <w:iCs/>
        </w:rPr>
        <w:t xml:space="preserve">: </w:t>
      </w:r>
      <w:r w:rsidR="00986DF3" w:rsidRPr="002823BC">
        <w:t>NERA Economic Consulting</w:t>
      </w:r>
      <w:r w:rsidR="00986DF3" w:rsidRPr="00D53D69">
        <w:rPr>
          <w:i/>
          <w:iCs/>
        </w:rPr>
        <w:t>.</w:t>
      </w:r>
      <w:r w:rsidR="00063D20" w:rsidRPr="00D53D69">
        <w:rPr>
          <w:i/>
          <w:iCs/>
        </w:rPr>
        <w:t xml:space="preserve"> </w:t>
      </w:r>
    </w:p>
  </w:footnote>
  <w:footnote w:id="93">
    <w:p w14:paraId="4A362E20" w14:textId="558A25FA" w:rsidR="000F4090" w:rsidRDefault="000F4090" w:rsidP="000D4277">
      <w:pPr>
        <w:pStyle w:val="Tekstprzypisudolnego"/>
      </w:pPr>
      <w:r>
        <w:rPr>
          <w:rStyle w:val="Odwoanieprzypisudolnego"/>
        </w:rPr>
        <w:footnoteRef/>
      </w:r>
      <w:r>
        <w:t xml:space="preserve"> </w:t>
      </w:r>
      <w:r>
        <w:tab/>
        <w:t xml:space="preserve">Iunes, R. et al. (2019) </w:t>
      </w:r>
      <w:r w:rsidR="003860C4" w:rsidRPr="003860C4">
        <w:t>Who should pay for the continuity of post</w:t>
      </w:r>
      <w:r w:rsidR="00522F82">
        <w:t>-</w:t>
      </w:r>
      <w:r w:rsidR="003860C4" w:rsidRPr="003860C4">
        <w:t>trial health care treatments?</w:t>
      </w:r>
      <w:r w:rsidR="003860C4">
        <w:t xml:space="preserve"> </w:t>
      </w:r>
      <w:r w:rsidR="003860C4" w:rsidRPr="00D53D69">
        <w:rPr>
          <w:i/>
          <w:iCs/>
        </w:rPr>
        <w:t>International Journal for Equity in Health.</w:t>
      </w:r>
      <w:r w:rsidR="003860C4">
        <w:t xml:space="preserve"> 18:26.</w:t>
      </w:r>
    </w:p>
  </w:footnote>
  <w:footnote w:id="94">
    <w:p w14:paraId="5A6382E7" w14:textId="31F7060F" w:rsidR="00843223" w:rsidRDefault="00843223" w:rsidP="0038617D">
      <w:pPr>
        <w:pStyle w:val="Tekstprzypisudolnego"/>
      </w:pPr>
      <w:r>
        <w:rPr>
          <w:rStyle w:val="Odwoanieprzypisudolnego"/>
        </w:rPr>
        <w:footnoteRef/>
      </w:r>
      <w:r>
        <w:t xml:space="preserve"> </w:t>
      </w:r>
      <w:r>
        <w:tab/>
        <w:t>Information from interview programme with pharmaceutical company representatives, June</w:t>
      </w:r>
      <w:r w:rsidR="004B2AE2">
        <w:t>–</w:t>
      </w:r>
      <w:r>
        <w:t>July 2022.</w:t>
      </w:r>
    </w:p>
  </w:footnote>
  <w:footnote w:id="95">
    <w:p w14:paraId="58DBD3B5" w14:textId="6CB02DF6" w:rsidR="00AB7B18" w:rsidRDefault="00AB7B18" w:rsidP="0038617D">
      <w:pPr>
        <w:pStyle w:val="Tekstprzypisudolnego"/>
      </w:pPr>
      <w:r>
        <w:rPr>
          <w:rStyle w:val="Odwoanieprzypisudolnego"/>
        </w:rPr>
        <w:footnoteRef/>
      </w:r>
      <w:r>
        <w:t xml:space="preserve"> </w:t>
      </w:r>
      <w:r>
        <w:tab/>
        <w:t xml:space="preserve">Golec, J. and Vernon, J.A. (2010) </w:t>
      </w:r>
      <w:r w:rsidR="00C32AC7" w:rsidRPr="00C32AC7">
        <w:t>Financial effects of pharmaceutical price regulation on R&amp;D spending by EU versus US firms</w:t>
      </w:r>
      <w:r w:rsidR="00C32AC7">
        <w:t xml:space="preserve">. </w:t>
      </w:r>
      <w:r w:rsidR="00C32AC7" w:rsidRPr="00D53D69">
        <w:rPr>
          <w:i/>
          <w:iCs/>
        </w:rPr>
        <w:t>Pharmacoeconomics</w:t>
      </w:r>
      <w:r w:rsidR="00C32AC7">
        <w:t>. 28(2): 615</w:t>
      </w:r>
      <w:r w:rsidR="004B2AE2">
        <w:t>–</w:t>
      </w:r>
      <w:r w:rsidR="00C32AC7">
        <w:t>628.</w:t>
      </w:r>
    </w:p>
  </w:footnote>
  <w:footnote w:id="96">
    <w:p w14:paraId="4FF83502" w14:textId="48E2E32C" w:rsidR="004D28E9" w:rsidRDefault="004D28E9" w:rsidP="0038617D">
      <w:pPr>
        <w:pStyle w:val="Tekstprzypisudolnego"/>
      </w:pPr>
      <w:r>
        <w:rPr>
          <w:rStyle w:val="Odwoanieprzypisudolnego"/>
        </w:rPr>
        <w:footnoteRef/>
      </w:r>
      <w:r>
        <w:t xml:space="preserve"> </w:t>
      </w:r>
      <w:r>
        <w:tab/>
        <w:t xml:space="preserve">Eger, S. and Mahlich, J. C. (2014) </w:t>
      </w:r>
      <w:r w:rsidRPr="004D28E9">
        <w:t>Pharmaceutical regulation in Europe and its impact on corporate R&amp;D</w:t>
      </w:r>
      <w:r>
        <w:t xml:space="preserve">. </w:t>
      </w:r>
      <w:r w:rsidRPr="00D53D69">
        <w:rPr>
          <w:i/>
          <w:iCs/>
        </w:rPr>
        <w:t>Health Econ Rev</w:t>
      </w:r>
      <w:r>
        <w:t>. 4:23.</w:t>
      </w:r>
    </w:p>
  </w:footnote>
  <w:footnote w:id="97">
    <w:p w14:paraId="2EBD3CE0" w14:textId="77777777" w:rsidR="00B44F22" w:rsidRDefault="00B44F22" w:rsidP="0038617D">
      <w:pPr>
        <w:pStyle w:val="Tekstprzypisudolnego"/>
      </w:pPr>
      <w:r>
        <w:rPr>
          <w:rStyle w:val="Odwoanieprzypisudolnego"/>
        </w:rPr>
        <w:footnoteRef/>
      </w:r>
      <w:r w:rsidRPr="000A2E03">
        <w:rPr>
          <w:lang w:val="nl-BE"/>
        </w:rPr>
        <w:t xml:space="preserve"> </w:t>
      </w:r>
      <w:r w:rsidRPr="000A2E03">
        <w:rPr>
          <w:lang w:val="nl-BE"/>
        </w:rPr>
        <w:tab/>
      </w:r>
      <w:r w:rsidRPr="0090529C">
        <w:rPr>
          <w:lang w:val="nl-NL"/>
        </w:rPr>
        <w:t xml:space="preserve">Bramley-Harker, E. </w:t>
      </w:r>
      <w:r w:rsidRPr="002823BC">
        <w:rPr>
          <w:iCs/>
          <w:lang w:val="nl-NL"/>
        </w:rPr>
        <w:t>et al</w:t>
      </w:r>
      <w:r w:rsidRPr="00522F82">
        <w:rPr>
          <w:iCs/>
          <w:lang w:val="nl-NL"/>
        </w:rPr>
        <w:t>.</w:t>
      </w:r>
      <w:r w:rsidRPr="0090529C">
        <w:rPr>
          <w:lang w:val="nl-NL"/>
        </w:rPr>
        <w:t xml:space="preserve"> </w:t>
      </w:r>
      <w:r>
        <w:t>(</w:t>
      </w:r>
      <w:r w:rsidRPr="004743B5">
        <w:t>2007</w:t>
      </w:r>
      <w:r>
        <w:t>)</w:t>
      </w:r>
      <w:r w:rsidRPr="004743B5">
        <w:t xml:space="preserve"> Key Factors in Attracting Internationally Mobile Investments by the Research-Based Pharmaceutical Industry. London, UK: NERA Economic Consulting.</w:t>
      </w:r>
    </w:p>
  </w:footnote>
  <w:footnote w:id="98">
    <w:p w14:paraId="3F4B0C59" w14:textId="3DE01F44" w:rsidR="007C4873" w:rsidRDefault="00B44F22" w:rsidP="000A2E03">
      <w:pPr>
        <w:pStyle w:val="Tekstprzypisudolnego"/>
        <w:ind w:hanging="709"/>
      </w:pPr>
      <w:r>
        <w:rPr>
          <w:rStyle w:val="Odwoanieprzypisudolnego"/>
        </w:rPr>
        <w:footnoteRef/>
      </w:r>
      <w:r w:rsidR="00142D0B">
        <w:tab/>
      </w:r>
      <w:r w:rsidR="00142D0B" w:rsidRPr="00142D0B">
        <w:t xml:space="preserve">Information from interview programme with pharmaceutical company representatives, </w:t>
      </w:r>
      <w:r w:rsidR="001A0813">
        <w:t>June–</w:t>
      </w:r>
      <w:r w:rsidR="00142D0B" w:rsidRPr="00142D0B">
        <w:t>July 2022.</w:t>
      </w:r>
    </w:p>
    <w:p w14:paraId="6426518C" w14:textId="12BB07AA" w:rsidR="00B44F22" w:rsidRDefault="00B44F22" w:rsidP="00880351">
      <w:pPr>
        <w:pStyle w:val="Tekstprzypisudolnego"/>
        <w:ind w:firstLine="0"/>
      </w:pPr>
    </w:p>
  </w:footnote>
  <w:footnote w:id="99">
    <w:p w14:paraId="556997D9" w14:textId="06D0ED65" w:rsidR="00D446EA" w:rsidRDefault="000E6B3B">
      <w:pPr>
        <w:pStyle w:val="Tekstprzypisudolnego"/>
      </w:pPr>
      <w:r>
        <w:rPr>
          <w:rStyle w:val="Odwoanieprzypisudolnego"/>
        </w:rPr>
        <w:footnoteRef/>
      </w:r>
      <w:r>
        <w:t xml:space="preserve"> </w:t>
      </w:r>
      <w:r w:rsidR="006C1DC7">
        <w:tab/>
      </w:r>
      <w:r w:rsidR="0044122F">
        <w:t>IQV</w:t>
      </w:r>
      <w:r w:rsidR="0039228D">
        <w:t xml:space="preserve">IA (2022) </w:t>
      </w:r>
      <w:r w:rsidR="00D97998" w:rsidRPr="00D97998">
        <w:t>Attracting Investment in Clinical Development</w:t>
      </w:r>
      <w:r w:rsidR="00D97998">
        <w:t xml:space="preserve">. </w:t>
      </w:r>
      <w:r w:rsidR="000860D9">
        <w:t xml:space="preserve">Available at: </w:t>
      </w:r>
      <w:hyperlink r:id="rId69" w:history="1">
        <w:r w:rsidR="006C1DC7" w:rsidRPr="001A0813">
          <w:rPr>
            <w:rStyle w:val="Hipercze"/>
            <w:sz w:val="16"/>
          </w:rPr>
          <w:t>https://www.iqvia.com/-/media/iqvia/pdfs/library/white-papers/iqvia-attracting-investment-in-clinical-development.pdf</w:t>
        </w:r>
      </w:hyperlink>
    </w:p>
    <w:p w14:paraId="3E4C5DE6" w14:textId="77777777" w:rsidR="000E6B3B" w:rsidRPr="000D4277" w:rsidRDefault="000E6B3B" w:rsidP="00880351">
      <w:pPr>
        <w:pStyle w:val="Tekstprzypisudolnego"/>
        <w:ind w:firstLine="0"/>
      </w:pPr>
    </w:p>
  </w:footnote>
  <w:footnote w:id="100">
    <w:p w14:paraId="6CA84AD8" w14:textId="03026A45" w:rsidR="00101BC1" w:rsidRDefault="00101BC1" w:rsidP="000A2E03">
      <w:pPr>
        <w:pStyle w:val="Tekstprzypisudolnego"/>
      </w:pPr>
      <w:r>
        <w:rPr>
          <w:rStyle w:val="Odwoanieprzypisudolnego"/>
        </w:rPr>
        <w:footnoteRef/>
      </w:r>
      <w:r>
        <w:t xml:space="preserve"> </w:t>
      </w:r>
      <w:r>
        <w:tab/>
      </w:r>
      <w:r w:rsidR="00250FD5" w:rsidRPr="00250FD5">
        <w:t>Europe accounts for 19.3% share of global clinical trial activity in 2020</w:t>
      </w:r>
      <w:r w:rsidR="006D1F8A">
        <w:t xml:space="preserve">. </w:t>
      </w:r>
      <w:r w:rsidR="000860D9">
        <w:t xml:space="preserve">Available at: </w:t>
      </w:r>
      <w:hyperlink r:id="rId70" w:history="1">
        <w:r w:rsidR="001A3221" w:rsidRPr="00456D3B">
          <w:rPr>
            <w:rStyle w:val="Hipercze"/>
            <w:sz w:val="16"/>
          </w:rPr>
          <w:t>https://www.clinicaltrialsarena.com/clinical-trials-analysis/europe-accounts-for-19-3-share-of-global-clinical-trial-activity-in-2020/</w:t>
        </w:r>
      </w:hyperlink>
      <w:r w:rsidR="006D1F8A">
        <w:t xml:space="preserve"> [Accessed June 2022]</w:t>
      </w:r>
    </w:p>
  </w:footnote>
  <w:footnote w:id="101">
    <w:p w14:paraId="472FA34F" w14:textId="75261E3D" w:rsidR="00101BC1" w:rsidRDefault="00101BC1" w:rsidP="000A2E03">
      <w:pPr>
        <w:pStyle w:val="Tekstprzypisudolnego"/>
      </w:pPr>
      <w:r>
        <w:rPr>
          <w:rStyle w:val="Odwoanieprzypisudolnego"/>
        </w:rPr>
        <w:footnoteRef/>
      </w:r>
      <w:r>
        <w:t xml:space="preserve"> </w:t>
      </w:r>
      <w:r>
        <w:tab/>
      </w:r>
      <w:r w:rsidR="00655320" w:rsidRPr="00655320">
        <w:t xml:space="preserve">Gehring, M., Taylor, R. S., Mellody, M., Casteels, B., Piazzi, A., Gensini, G., &amp; Ambrosio, G. (2013). Factors influencing clinical trial site selection in Europe: the Survey of Attitudes towards Trial sites in Europe (the SAT-EU Study). </w:t>
      </w:r>
      <w:r w:rsidR="00655320" w:rsidRPr="00144994">
        <w:rPr>
          <w:i/>
          <w:iCs/>
        </w:rPr>
        <w:t xml:space="preserve">BMJ </w:t>
      </w:r>
      <w:r w:rsidR="000E6AEF" w:rsidRPr="00144994">
        <w:rPr>
          <w:i/>
          <w:iCs/>
        </w:rPr>
        <w:t>O</w:t>
      </w:r>
      <w:r w:rsidR="00655320" w:rsidRPr="00144994">
        <w:rPr>
          <w:i/>
          <w:iCs/>
        </w:rPr>
        <w:t>pen</w:t>
      </w:r>
      <w:r w:rsidR="00655320" w:rsidRPr="00655320">
        <w:t>, 3(11</w:t>
      </w:r>
      <w:r w:rsidR="004B2AE2">
        <w:t>):</w:t>
      </w:r>
      <w:r w:rsidR="00655320" w:rsidRPr="00655320">
        <w:t xml:space="preserve"> e002957.</w:t>
      </w:r>
      <w:r w:rsidR="006D1F8A">
        <w:t xml:space="preserve"> </w:t>
      </w:r>
      <w:r w:rsidR="000860D9">
        <w:t xml:space="preserve">Available at: </w:t>
      </w:r>
      <w:hyperlink r:id="rId71" w:history="1">
        <w:r w:rsidR="001A3221" w:rsidRPr="00456D3B">
          <w:rPr>
            <w:rStyle w:val="Hipercze"/>
            <w:sz w:val="16"/>
          </w:rPr>
          <w:t>https://bmjopen.bmj.com/content/3/11/e002957</w:t>
        </w:r>
      </w:hyperlink>
      <w:r w:rsidR="001A3221">
        <w:t xml:space="preserve"> </w:t>
      </w:r>
    </w:p>
  </w:footnote>
  <w:footnote w:id="102">
    <w:p w14:paraId="4FDFF322" w14:textId="52631108" w:rsidR="00591DBC" w:rsidRDefault="00591DBC">
      <w:pPr>
        <w:pStyle w:val="Tekstprzypisudolnego"/>
      </w:pPr>
      <w:r>
        <w:rPr>
          <w:rStyle w:val="Odwoanieprzypisudolnego"/>
        </w:rPr>
        <w:footnoteRef/>
      </w:r>
      <w:r>
        <w:t xml:space="preserve"> </w:t>
      </w:r>
      <w:r>
        <w:tab/>
      </w:r>
      <w:r w:rsidR="001E2929">
        <w:t xml:space="preserve">Trials@Home </w:t>
      </w:r>
      <w:r w:rsidR="000860D9">
        <w:t xml:space="preserve">Available at: </w:t>
      </w:r>
      <w:hyperlink r:id="rId72" w:history="1">
        <w:r w:rsidRPr="00BE420C">
          <w:rPr>
            <w:rStyle w:val="Hipercze"/>
            <w:sz w:val="16"/>
          </w:rPr>
          <w:t>https://trialsathome.com/</w:t>
        </w:r>
      </w:hyperlink>
      <w:r>
        <w:t xml:space="preserve"> [Accessed July 2022]</w:t>
      </w:r>
    </w:p>
  </w:footnote>
  <w:footnote w:id="103">
    <w:p w14:paraId="7D2C67CD" w14:textId="3009A524" w:rsidR="00D762DF" w:rsidRDefault="00D762DF">
      <w:pPr>
        <w:pStyle w:val="Tekstprzypisudolnego"/>
      </w:pPr>
      <w:r>
        <w:rPr>
          <w:rStyle w:val="Odwoanieprzypisudolnego"/>
        </w:rPr>
        <w:footnoteRef/>
      </w:r>
      <w:r>
        <w:t xml:space="preserve"> </w:t>
      </w:r>
      <w:r>
        <w:tab/>
        <w:t>Keen, C. E. (</w:t>
      </w:r>
      <w:r w:rsidR="00A41B04">
        <w:t xml:space="preserve">2018) </w:t>
      </w:r>
      <w:r w:rsidR="003563A5" w:rsidRPr="003563A5">
        <w:t>The USA’s digital healthcare revolution</w:t>
      </w:r>
      <w:r w:rsidR="003563A5">
        <w:t xml:space="preserve">. </w:t>
      </w:r>
      <w:r w:rsidR="00A41B04">
        <w:t xml:space="preserve">Available at: </w:t>
      </w:r>
      <w:hyperlink r:id="rId73" w:history="1">
        <w:r w:rsidR="00A41B04" w:rsidRPr="00BE420C">
          <w:rPr>
            <w:rStyle w:val="Hipercze"/>
            <w:sz w:val="16"/>
          </w:rPr>
          <w:t>https://healthcare-in-europe.com/en/news/the-usa-s-digital-healthcare-revolution.html</w:t>
        </w:r>
      </w:hyperlink>
      <w:r w:rsidR="00A41B04">
        <w:t xml:space="preserve"> [Accessed July 2022]</w:t>
      </w:r>
    </w:p>
  </w:footnote>
  <w:footnote w:id="104">
    <w:p w14:paraId="692D1CC7" w14:textId="3D9137F3" w:rsidR="00101BC1" w:rsidRDefault="00101BC1" w:rsidP="00A841AC">
      <w:pPr>
        <w:pStyle w:val="Tekstprzypisudolnego"/>
        <w:spacing w:before="0" w:after="0"/>
      </w:pPr>
      <w:r>
        <w:rPr>
          <w:rStyle w:val="Odwoanieprzypisudolnego"/>
        </w:rPr>
        <w:footnoteRef/>
      </w:r>
      <w:r>
        <w:t xml:space="preserve"> </w:t>
      </w:r>
      <w:r>
        <w:tab/>
      </w:r>
      <w:r w:rsidR="00326F0C" w:rsidRPr="00DC16A4">
        <w:t>Las</w:t>
      </w:r>
      <w:r w:rsidR="00326F0C">
        <w:rPr>
          <w:u w:color="808080"/>
        </w:rPr>
        <w:t xml:space="preserve">ch, F. et al. (2022) </w:t>
      </w:r>
      <w:r w:rsidR="00102D6F" w:rsidRPr="00102D6F">
        <w:rPr>
          <w:u w:color="808080"/>
        </w:rPr>
        <w:t>The Impact of COVID-19 on the Initiation of Clinical Trials in Europe and the United States</w:t>
      </w:r>
      <w:r w:rsidR="00102D6F">
        <w:rPr>
          <w:u w:color="808080"/>
        </w:rPr>
        <w:t xml:space="preserve">. </w:t>
      </w:r>
      <w:r w:rsidR="008F3A89" w:rsidRPr="00DC16A4">
        <w:rPr>
          <w:i/>
          <w:iCs/>
          <w:u w:color="808080"/>
        </w:rPr>
        <w:t>Clinical Pharmacology &amp; Therapeutics</w:t>
      </w:r>
      <w:r w:rsidR="008F3A89">
        <w:rPr>
          <w:u w:color="808080"/>
        </w:rPr>
        <w:t>. 111(5)</w:t>
      </w:r>
      <w:r w:rsidR="00BD0D18">
        <w:rPr>
          <w:u w:color="808080"/>
        </w:rPr>
        <w:t>: 1093</w:t>
      </w:r>
      <w:r w:rsidR="004B2AE2">
        <w:rPr>
          <w:u w:color="808080"/>
        </w:rPr>
        <w:t>–</w:t>
      </w:r>
      <w:r w:rsidR="00BD0D18">
        <w:rPr>
          <w:u w:color="808080"/>
        </w:rPr>
        <w:t>1102.</w:t>
      </w:r>
      <w:r w:rsidR="00741C0E">
        <w:t xml:space="preserve"> </w:t>
      </w:r>
    </w:p>
  </w:footnote>
  <w:footnote w:id="105">
    <w:p w14:paraId="662C294A" w14:textId="071C292B" w:rsidR="00865C09" w:rsidRDefault="00865C09">
      <w:pPr>
        <w:pStyle w:val="Tekstprzypisudolnego"/>
      </w:pPr>
      <w:r>
        <w:rPr>
          <w:rStyle w:val="Odwoanieprzypisudolnego"/>
        </w:rPr>
        <w:footnoteRef/>
      </w:r>
      <w:r>
        <w:t xml:space="preserve"> </w:t>
      </w:r>
      <w:r>
        <w:tab/>
      </w:r>
      <w:r w:rsidR="00DB4112">
        <w:t>Clinical Trials Arena (2021)</w:t>
      </w:r>
      <w:r w:rsidR="00DB4112" w:rsidRPr="00DB4112">
        <w:t xml:space="preserve"> The changing dynamics of gene therapy research: 2001–2021</w:t>
      </w:r>
      <w:r w:rsidR="00DB4112">
        <w:t xml:space="preserve">. </w:t>
      </w:r>
      <w:r w:rsidR="000860D9">
        <w:t xml:space="preserve">Available at: </w:t>
      </w:r>
      <w:hyperlink r:id="rId74" w:history="1">
        <w:r w:rsidRPr="00866325">
          <w:rPr>
            <w:rStyle w:val="Hipercze"/>
            <w:sz w:val="16"/>
          </w:rPr>
          <w:t>https://www.clinicaltrialsarena.com/comment/gene-therapy-research/</w:t>
        </w:r>
      </w:hyperlink>
      <w:r>
        <w:t xml:space="preserve"> [Accessed July 2022]</w:t>
      </w:r>
    </w:p>
  </w:footnote>
  <w:footnote w:id="106">
    <w:p w14:paraId="096C7E3D" w14:textId="3C660F77" w:rsidR="00961720" w:rsidRDefault="00961720">
      <w:pPr>
        <w:pStyle w:val="Tekstprzypisudolnego"/>
      </w:pPr>
      <w:r>
        <w:rPr>
          <w:rStyle w:val="Odwoanieprzypisudolnego"/>
        </w:rPr>
        <w:footnoteRef/>
      </w:r>
      <w:r>
        <w:t xml:space="preserve"> </w:t>
      </w:r>
      <w:r>
        <w:tab/>
      </w:r>
      <w:r w:rsidR="00A24162">
        <w:t>McKinsey &amp; Company</w:t>
      </w:r>
      <w:r w:rsidR="002716E4">
        <w:t xml:space="preserve"> </w:t>
      </w:r>
      <w:r w:rsidR="00DB4112">
        <w:t>(2021)</w:t>
      </w:r>
      <w:r w:rsidR="002716E4">
        <w:t xml:space="preserve"> </w:t>
      </w:r>
      <w:r w:rsidR="006835B9" w:rsidRPr="006835B9">
        <w:t>A call to action: Opportunities and challenges for CGTs in Europe</w:t>
      </w:r>
      <w:r w:rsidR="006835B9">
        <w:t>.</w:t>
      </w:r>
      <w:r w:rsidR="00BD4C5B">
        <w:t xml:space="preserve"> </w:t>
      </w:r>
      <w:r w:rsidR="000860D9">
        <w:t xml:space="preserve">Available at: </w:t>
      </w:r>
      <w:hyperlink r:id="rId75" w:history="1">
        <w:r w:rsidRPr="00EC39DC">
          <w:rPr>
            <w:rStyle w:val="Hipercze"/>
            <w:sz w:val="16"/>
          </w:rPr>
          <w:t>https://www.mckinsey.com/industries/life-sciences/our-insights/a-call-to-action-opportunities-and-challenges-for-cgts-in-europe</w:t>
        </w:r>
      </w:hyperlink>
      <w:r>
        <w:t xml:space="preserve"> [Accessed July 2022]</w:t>
      </w:r>
    </w:p>
  </w:footnote>
  <w:footnote w:id="107">
    <w:p w14:paraId="02BE45B4" w14:textId="69080560" w:rsidR="008E1AEC" w:rsidRDefault="008E1AEC">
      <w:pPr>
        <w:pStyle w:val="Tekstprzypisudolnego"/>
      </w:pPr>
      <w:r>
        <w:rPr>
          <w:rStyle w:val="Odwoanieprzypisudolnego"/>
        </w:rPr>
        <w:footnoteRef/>
      </w:r>
      <w:r>
        <w:t xml:space="preserve"> </w:t>
      </w:r>
      <w:r>
        <w:tab/>
      </w:r>
      <w:r w:rsidR="00AE4ACE">
        <w:t xml:space="preserve">Ilieva, K. Borissov, B. and Toumi, M. (2020) </w:t>
      </w:r>
      <w:r w:rsidR="00AE4ACE" w:rsidRPr="00AE4ACE">
        <w:t xml:space="preserve">Gene therapy randomised clinical trials in Europe </w:t>
      </w:r>
      <w:r w:rsidR="00AE4ACE">
        <w:t>–</w:t>
      </w:r>
      <w:r w:rsidR="00AE4ACE" w:rsidRPr="00AE4ACE">
        <w:t xml:space="preserve"> a review paper of methodology and design</w:t>
      </w:r>
      <w:r w:rsidR="00AE4ACE" w:rsidRPr="00D53D69">
        <w:rPr>
          <w:i/>
          <w:iCs/>
        </w:rPr>
        <w:t>. J Mark Access Health Policy</w:t>
      </w:r>
      <w:r w:rsidR="00AE4ACE" w:rsidRPr="00AE4ACE">
        <w:t>. 8(1):</w:t>
      </w:r>
      <w:r w:rsidR="001A0813">
        <w:t xml:space="preserve"> </w:t>
      </w:r>
      <w:r w:rsidR="00AE4ACE" w:rsidRPr="00AE4ACE">
        <w:t>1847808</w:t>
      </w:r>
      <w:r w:rsidR="00AE4ACE">
        <w:t>.</w:t>
      </w:r>
    </w:p>
  </w:footnote>
  <w:footnote w:id="108">
    <w:p w14:paraId="2FB2F123" w14:textId="78726912" w:rsidR="000B1E83" w:rsidRDefault="000B1E83">
      <w:pPr>
        <w:pStyle w:val="Tekstprzypisudolnego"/>
      </w:pPr>
      <w:r>
        <w:rPr>
          <w:rStyle w:val="Odwoanieprzypisudolnego"/>
        </w:rPr>
        <w:footnoteRef/>
      </w:r>
      <w:r>
        <w:t xml:space="preserve"> </w:t>
      </w:r>
      <w:r>
        <w:tab/>
      </w:r>
      <w:r w:rsidR="00743C2D">
        <w:t>Raconteur</w:t>
      </w:r>
      <w:r w:rsidR="001A0813">
        <w:t>.</w:t>
      </w:r>
      <w:r w:rsidR="00F95400">
        <w:t xml:space="preserve"> </w:t>
      </w:r>
      <w:r w:rsidR="00F95400" w:rsidRPr="00F95400">
        <w:t>How Covid-19 rocked rare disease communities</w:t>
      </w:r>
      <w:r w:rsidR="00F95400">
        <w:t xml:space="preserve"> 2021. </w:t>
      </w:r>
      <w:r w:rsidR="000860D9">
        <w:t xml:space="preserve">Available at: </w:t>
      </w:r>
      <w:hyperlink r:id="rId76" w:history="1">
        <w:r w:rsidRPr="00EC39DC">
          <w:rPr>
            <w:rStyle w:val="Hipercze"/>
            <w:sz w:val="16"/>
          </w:rPr>
          <w:t>https://www.raconteur.net/healthcare/covid-rare-disease-impact/</w:t>
        </w:r>
      </w:hyperlink>
      <w:r>
        <w:t xml:space="preserve"> [Accessed July 2022]</w:t>
      </w:r>
    </w:p>
  </w:footnote>
  <w:footnote w:id="109">
    <w:p w14:paraId="6CDA633F" w14:textId="5835D831" w:rsidR="003F40A8" w:rsidRPr="001E1392" w:rsidRDefault="003F40A8">
      <w:pPr>
        <w:pStyle w:val="Tekstprzypisudolnego"/>
      </w:pPr>
      <w:r>
        <w:rPr>
          <w:rStyle w:val="Odwoanieprzypisudolnego"/>
        </w:rPr>
        <w:footnoteRef/>
      </w:r>
      <w:r w:rsidRPr="00D53D69">
        <w:rPr>
          <w:lang w:val="fr-FR"/>
        </w:rPr>
        <w:t xml:space="preserve"> </w:t>
      </w:r>
      <w:r w:rsidRPr="00D53D69">
        <w:rPr>
          <w:lang w:val="fr-FR"/>
        </w:rPr>
        <w:tab/>
        <w:t xml:space="preserve">De Jong, A. J. et al. </w:t>
      </w:r>
      <w:r>
        <w:t xml:space="preserve">(2022) </w:t>
      </w:r>
      <w:r w:rsidR="001E1392" w:rsidRPr="001E1392">
        <w:t>Opportunities and Challenges for Decentralized Clinical Trials: European Regulators’ Perspective</w:t>
      </w:r>
      <w:r w:rsidR="001E1392">
        <w:t xml:space="preserve">. </w:t>
      </w:r>
      <w:r w:rsidR="001E1392">
        <w:rPr>
          <w:i/>
          <w:iCs/>
        </w:rPr>
        <w:t xml:space="preserve">Clinical Pharmacology and Therapeutics. </w:t>
      </w:r>
      <w:r w:rsidR="00821188">
        <w:t>112(2): 344</w:t>
      </w:r>
      <w:r w:rsidR="001A0813">
        <w:rPr>
          <w:rFonts w:cs="Arial"/>
        </w:rPr>
        <w:t>–</w:t>
      </w:r>
      <w:r w:rsidR="00821188">
        <w:t>352.</w:t>
      </w:r>
    </w:p>
  </w:footnote>
  <w:footnote w:id="110">
    <w:p w14:paraId="20DB0441" w14:textId="1ACD9245" w:rsidR="006D326D" w:rsidRDefault="006D326D">
      <w:pPr>
        <w:pStyle w:val="Tekstprzypisudolnego"/>
      </w:pPr>
      <w:r>
        <w:rPr>
          <w:rStyle w:val="Odwoanieprzypisudolnego"/>
        </w:rPr>
        <w:footnoteRef/>
      </w:r>
      <w:r>
        <w:t xml:space="preserve"> </w:t>
      </w:r>
      <w:r>
        <w:tab/>
        <w:t xml:space="preserve">Wang, A. et al. (2022) </w:t>
      </w:r>
      <w:r w:rsidR="003926CA" w:rsidRPr="003926CA">
        <w:t>An Overview of Cell and Gene Therapy Development in China</w:t>
      </w:r>
      <w:r w:rsidR="003926CA">
        <w:t xml:space="preserve">. </w:t>
      </w:r>
      <w:r w:rsidR="003926CA" w:rsidRPr="00A34C54">
        <w:rPr>
          <w:i/>
          <w:iCs/>
        </w:rPr>
        <w:t>Human Gene Therapy</w:t>
      </w:r>
      <w:r w:rsidR="003926CA">
        <w:t>. 33(1</w:t>
      </w:r>
      <w:r w:rsidR="004B2AE2">
        <w:t>–</w:t>
      </w:r>
      <w:r w:rsidR="003926CA">
        <w:t>2): 14</w:t>
      </w:r>
      <w:r w:rsidR="004B2AE2">
        <w:t>–</w:t>
      </w:r>
      <w:r w:rsidR="003926CA">
        <w:t>24.</w:t>
      </w:r>
    </w:p>
  </w:footnote>
  <w:footnote w:id="111">
    <w:p w14:paraId="23E08833" w14:textId="00C4673C" w:rsidR="000C7E71" w:rsidRDefault="000C7E71">
      <w:pPr>
        <w:pStyle w:val="Tekstprzypisudolnego"/>
      </w:pPr>
      <w:r>
        <w:rPr>
          <w:rStyle w:val="Odwoanieprzypisudolnego"/>
        </w:rPr>
        <w:footnoteRef/>
      </w:r>
      <w:r>
        <w:t xml:space="preserve"> </w:t>
      </w:r>
      <w:r>
        <w:tab/>
        <w:t xml:space="preserve">Boodhoo, A. (2021) </w:t>
      </w:r>
      <w:r w:rsidR="003E0FB1">
        <w:t xml:space="preserve">How </w:t>
      </w:r>
      <w:r w:rsidR="003E0FB1" w:rsidRPr="003E0FB1">
        <w:t>China is making progress in cell and gene therapy</w:t>
      </w:r>
      <w:r w:rsidR="003E0FB1">
        <w:t xml:space="preserve">. Available at: </w:t>
      </w:r>
      <w:hyperlink r:id="rId77" w:history="1">
        <w:r w:rsidR="003E0FB1" w:rsidRPr="00BE420C">
          <w:rPr>
            <w:rStyle w:val="Hipercze"/>
            <w:sz w:val="16"/>
          </w:rPr>
          <w:t>https://www.ey.com/en_my/life-sciences/how-china-is-making-progress-in-cell-and-gene-therapy</w:t>
        </w:r>
      </w:hyperlink>
      <w:r w:rsidR="003E0FB1">
        <w:t xml:space="preserve"> [Accessed July 2022]</w:t>
      </w:r>
    </w:p>
  </w:footnote>
  <w:footnote w:id="112">
    <w:p w14:paraId="0FAC28FD" w14:textId="5B712D6B" w:rsidR="004B44EB" w:rsidRDefault="004B44EB">
      <w:pPr>
        <w:pStyle w:val="Tekstprzypisudolnego"/>
      </w:pPr>
      <w:r>
        <w:rPr>
          <w:rStyle w:val="Odwoanieprzypisudolnego"/>
        </w:rPr>
        <w:footnoteRef/>
      </w:r>
      <w:r>
        <w:t xml:space="preserve"> </w:t>
      </w:r>
      <w:r>
        <w:tab/>
        <w:t xml:space="preserve">Kassir, Z. et al. (2020) </w:t>
      </w:r>
      <w:r w:rsidRPr="004B44EB">
        <w:t>Sponsorship and Funding for Gene Therapy Trials in the United States</w:t>
      </w:r>
      <w:r>
        <w:t xml:space="preserve">. </w:t>
      </w:r>
      <w:r w:rsidRPr="00A34C54">
        <w:rPr>
          <w:i/>
          <w:iCs/>
        </w:rPr>
        <w:t>JAMA</w:t>
      </w:r>
      <w:r w:rsidR="007B3D90">
        <w:t>. 323</w:t>
      </w:r>
      <w:r w:rsidR="008861CC">
        <w:t>(9): 890</w:t>
      </w:r>
      <w:r w:rsidR="008B0E14">
        <w:t>–</w:t>
      </w:r>
      <w:r w:rsidR="008861CC">
        <w:t>891.</w:t>
      </w:r>
    </w:p>
  </w:footnote>
  <w:footnote w:id="113">
    <w:p w14:paraId="4AE8CF13" w14:textId="2BCEA0B6" w:rsidR="007746D4" w:rsidRDefault="007746D4">
      <w:pPr>
        <w:pStyle w:val="Tekstprzypisudolnego"/>
      </w:pPr>
      <w:r>
        <w:rPr>
          <w:rStyle w:val="Odwoanieprzypisudolnego"/>
        </w:rPr>
        <w:footnoteRef/>
      </w:r>
      <w:r>
        <w:t xml:space="preserve"> </w:t>
      </w:r>
      <w:r>
        <w:tab/>
      </w:r>
      <w:r w:rsidR="00B65619">
        <w:t>Catapult</w:t>
      </w:r>
      <w:r w:rsidR="001A0813">
        <w:t>.</w:t>
      </w:r>
      <w:r w:rsidR="00B65619">
        <w:t xml:space="preserve"> </w:t>
      </w:r>
      <w:r w:rsidR="00503CD6" w:rsidRPr="00503CD6">
        <w:t>The Cell and Gene Therapy Catapult UK clinical trials database</w:t>
      </w:r>
      <w:r w:rsidR="00503CD6">
        <w:t xml:space="preserve">. </w:t>
      </w:r>
      <w:r w:rsidR="000860D9">
        <w:t xml:space="preserve">Available at: </w:t>
      </w:r>
      <w:hyperlink r:id="rId78" w:history="1">
        <w:r w:rsidRPr="00BE420C">
          <w:rPr>
            <w:rStyle w:val="Hipercze"/>
            <w:sz w:val="16"/>
          </w:rPr>
          <w:t>https://ct.catapult.org.uk/clinical-trials-database</w:t>
        </w:r>
      </w:hyperlink>
      <w:r>
        <w:t xml:space="preserve"> [Accessed July 2022]</w:t>
      </w:r>
    </w:p>
  </w:footnote>
  <w:footnote w:id="114">
    <w:p w14:paraId="6316CA0F" w14:textId="20620448" w:rsidR="00CE4DFF" w:rsidRDefault="00CE4DFF">
      <w:pPr>
        <w:pStyle w:val="Tekstprzypisudolnego"/>
      </w:pPr>
      <w:r>
        <w:rPr>
          <w:rStyle w:val="Odwoanieprzypisudolnego"/>
        </w:rPr>
        <w:footnoteRef/>
      </w:r>
      <w:r>
        <w:t xml:space="preserve"> </w:t>
      </w:r>
      <w:r>
        <w:tab/>
      </w:r>
      <w:r w:rsidR="003E77A5">
        <w:t>MIT Technology Review</w:t>
      </w:r>
      <w:r w:rsidR="00DB4112">
        <w:t xml:space="preserve"> (2016</w:t>
      </w:r>
      <w:r w:rsidR="004B2AE2">
        <w:t>)</w:t>
      </w:r>
      <w:r w:rsidR="00BD4C5B">
        <w:t xml:space="preserve"> </w:t>
      </w:r>
      <w:r w:rsidR="006B25FE" w:rsidRPr="006B25FE">
        <w:t>The World’s Most Expensive Medicine Is a Bust</w:t>
      </w:r>
      <w:r w:rsidR="001771FA">
        <w:t xml:space="preserve">. </w:t>
      </w:r>
      <w:r w:rsidR="000860D9">
        <w:t xml:space="preserve">Available at: </w:t>
      </w:r>
      <w:hyperlink r:id="rId79" w:history="1">
        <w:r w:rsidRPr="00866325">
          <w:rPr>
            <w:rStyle w:val="Hipercze"/>
            <w:sz w:val="16"/>
          </w:rPr>
          <w:t>https://www.technologyreview.com/2016/05/04/245988/the-worlds-most-expensive-medicine-is-a-bust/</w:t>
        </w:r>
      </w:hyperlink>
      <w:r>
        <w:t xml:space="preserve"> [Accessed July 2022]</w:t>
      </w:r>
    </w:p>
  </w:footnote>
  <w:footnote w:id="115">
    <w:p w14:paraId="22E83C76" w14:textId="2414A184" w:rsidR="006E4F07" w:rsidRDefault="006E4F07">
      <w:pPr>
        <w:pStyle w:val="Tekstprzypisudolnego"/>
      </w:pPr>
      <w:r>
        <w:rPr>
          <w:rStyle w:val="Odwoanieprzypisudolnego"/>
        </w:rPr>
        <w:footnoteRef/>
      </w:r>
      <w:r>
        <w:t xml:space="preserve"> </w:t>
      </w:r>
      <w:r>
        <w:tab/>
      </w:r>
      <w:r w:rsidR="00497331">
        <w:t>Labiotech</w:t>
      </w:r>
      <w:r w:rsidR="00DB4112">
        <w:t xml:space="preserve"> (2017</w:t>
      </w:r>
      <w:r w:rsidR="004B2AE2">
        <w:t>)</w:t>
      </w:r>
      <w:r w:rsidR="00AB5590">
        <w:t xml:space="preserve"> </w:t>
      </w:r>
      <w:r w:rsidR="00AB5590" w:rsidRPr="00AB5590">
        <w:t>Goodbye Glybera! The World’s First Gene Therapy will be Withdrawn</w:t>
      </w:r>
      <w:r w:rsidR="00F07E62">
        <w:t xml:space="preserve">. </w:t>
      </w:r>
      <w:r w:rsidR="000860D9">
        <w:t xml:space="preserve">Available at: </w:t>
      </w:r>
      <w:hyperlink r:id="rId80" w:history="1">
        <w:r w:rsidRPr="00EC39DC">
          <w:rPr>
            <w:rStyle w:val="Hipercze"/>
            <w:sz w:val="16"/>
          </w:rPr>
          <w:t>https://www.labiotech.eu/trends-news/uniqure-glybera-marketing-withdrawn/</w:t>
        </w:r>
      </w:hyperlink>
      <w:r>
        <w:t xml:space="preserve"> [Accessed July 2022]</w:t>
      </w:r>
    </w:p>
  </w:footnote>
  <w:footnote w:id="116">
    <w:p w14:paraId="3FB44964" w14:textId="60E306A9" w:rsidR="003B36C5" w:rsidRDefault="003B36C5">
      <w:pPr>
        <w:pStyle w:val="Tekstprzypisudolnego"/>
      </w:pPr>
      <w:r>
        <w:rPr>
          <w:rStyle w:val="Odwoanieprzypisudolnego"/>
        </w:rPr>
        <w:footnoteRef/>
      </w:r>
      <w:r>
        <w:t xml:space="preserve"> </w:t>
      </w:r>
      <w:r>
        <w:tab/>
      </w:r>
      <w:r w:rsidR="001D763B">
        <w:t xml:space="preserve">Clinical Trials Arena </w:t>
      </w:r>
      <w:r w:rsidR="00DB4112">
        <w:t>(2021</w:t>
      </w:r>
      <w:r w:rsidR="004B2AE2">
        <w:t>)</w:t>
      </w:r>
      <w:r w:rsidR="00DB4112">
        <w:t xml:space="preserve"> </w:t>
      </w:r>
      <w:r w:rsidR="004A11B9" w:rsidRPr="004A11B9">
        <w:t>Europe accounts for 19.3% share of global clinical trial activity in 2020</w:t>
      </w:r>
      <w:r w:rsidR="004A11B9">
        <w:t xml:space="preserve">. </w:t>
      </w:r>
      <w:r w:rsidR="000860D9">
        <w:t xml:space="preserve">Available at: </w:t>
      </w:r>
      <w:hyperlink r:id="rId81" w:history="1">
        <w:r w:rsidRPr="00EC39DC">
          <w:rPr>
            <w:rStyle w:val="Hipercze"/>
            <w:sz w:val="16"/>
          </w:rPr>
          <w:t>https://www.clinicaltrialsarena.com/clinical-trials-analysis/europe-accounts-for-19-3-share-of-global-clinical-trial-activity-in-2020/</w:t>
        </w:r>
      </w:hyperlink>
      <w:r>
        <w:t xml:space="preserve"> [Accessed July 2022]</w:t>
      </w:r>
    </w:p>
  </w:footnote>
  <w:footnote w:id="117">
    <w:p w14:paraId="54100B1C" w14:textId="77777777" w:rsidR="004D2373" w:rsidRDefault="004D2373" w:rsidP="000A2E03">
      <w:pPr>
        <w:pStyle w:val="Tekstprzypisudolnego"/>
      </w:pPr>
      <w:r>
        <w:rPr>
          <w:rStyle w:val="Odwoanieprzypisudolnego"/>
        </w:rPr>
        <w:footnoteRef/>
      </w:r>
      <w:r>
        <w:t xml:space="preserve"> </w:t>
      </w:r>
      <w:r>
        <w:tab/>
        <w:t>Information from interview programme with pharmaceutical company representatives, June 2022.</w:t>
      </w:r>
    </w:p>
  </w:footnote>
  <w:footnote w:id="118">
    <w:p w14:paraId="2B7376C6" w14:textId="7E1C7ADF" w:rsidR="001E0C7C" w:rsidRDefault="001E0C7C" w:rsidP="000A2E03">
      <w:pPr>
        <w:pStyle w:val="Tekstprzypisudolnego"/>
      </w:pPr>
      <w:r>
        <w:rPr>
          <w:rStyle w:val="Odwoanieprzypisudolnego"/>
        </w:rPr>
        <w:footnoteRef/>
      </w:r>
      <w:r>
        <w:t xml:space="preserve"> </w:t>
      </w:r>
      <w:r>
        <w:tab/>
      </w:r>
      <w:r w:rsidR="005F5691">
        <w:t>PwC</w:t>
      </w:r>
      <w:r w:rsidR="008A7548">
        <w:t xml:space="preserve"> (2019) </w:t>
      </w:r>
      <w:r w:rsidR="00972911">
        <w:t>Current trends and strategic options in pharma CDMO market</w:t>
      </w:r>
      <w:r w:rsidR="008B1991">
        <w:t xml:space="preserve">. </w:t>
      </w:r>
      <w:r w:rsidR="000860D9">
        <w:t xml:space="preserve">Available at: </w:t>
      </w:r>
      <w:hyperlink r:id="rId82" w:history="1">
        <w:r w:rsidRPr="00456D3B">
          <w:rPr>
            <w:rStyle w:val="Hipercze"/>
            <w:sz w:val="16"/>
          </w:rPr>
          <w:t>https://www.pwc.de/de/gesundheitswesen-und-pharma/studie-pharma-cdmo-market.pdf</w:t>
        </w:r>
      </w:hyperlink>
      <w:r w:rsidR="002F6388">
        <w:rPr>
          <w:rStyle w:val="Hipercze"/>
          <w:sz w:val="16"/>
        </w:rPr>
        <w:t xml:space="preserve"> </w:t>
      </w:r>
      <w:r w:rsidR="002F6388">
        <w:t>[Accessed July 2022]</w:t>
      </w:r>
    </w:p>
  </w:footnote>
  <w:footnote w:id="119">
    <w:p w14:paraId="334486EA" w14:textId="7DB00AC1" w:rsidR="00741C0E" w:rsidRDefault="00741C0E" w:rsidP="000A2E03">
      <w:pPr>
        <w:pStyle w:val="Tekstprzypisudolnego"/>
      </w:pPr>
      <w:r>
        <w:rPr>
          <w:rStyle w:val="Odwoanieprzypisudolnego"/>
        </w:rPr>
        <w:footnoteRef/>
      </w:r>
      <w:r>
        <w:t xml:space="preserve"> </w:t>
      </w:r>
      <w:r>
        <w:tab/>
      </w:r>
      <w:hyperlink r:id="rId83" w:history="1">
        <w:r w:rsidRPr="00456D3B">
          <w:rPr>
            <w:rStyle w:val="Hipercze"/>
            <w:sz w:val="16"/>
          </w:rPr>
          <w:t>https://www.grandviewresearch.com/industry-analysis/pharmaceutical-contract-manufacturing-market</w:t>
        </w:r>
      </w:hyperlink>
      <w:r>
        <w:t xml:space="preserve"> </w:t>
      </w:r>
      <w:r w:rsidR="002F6388">
        <w:t>[Accessed July 2022]</w:t>
      </w:r>
    </w:p>
  </w:footnote>
  <w:footnote w:id="120">
    <w:p w14:paraId="3DC1059F" w14:textId="1B804DFC" w:rsidR="008A7548" w:rsidRDefault="008A7548">
      <w:pPr>
        <w:pStyle w:val="Tekstprzypisudolnego"/>
      </w:pPr>
      <w:r>
        <w:rPr>
          <w:rStyle w:val="Odwoanieprzypisudolnego"/>
        </w:rPr>
        <w:footnoteRef/>
      </w:r>
      <w:r w:rsidRPr="000A2E03">
        <w:rPr>
          <w:lang w:val="fr-FR"/>
        </w:rPr>
        <w:t xml:space="preserve"> </w:t>
      </w:r>
      <w:r w:rsidRPr="000A2E03">
        <w:rPr>
          <w:lang w:val="fr-FR"/>
        </w:rPr>
        <w:tab/>
      </w:r>
      <w:r w:rsidRPr="00FB73D0">
        <w:rPr>
          <w:lang w:val="it-IT"/>
        </w:rPr>
        <w:t xml:space="preserve">IQVIA </w:t>
      </w:r>
      <w:r w:rsidR="001A0813">
        <w:rPr>
          <w:lang w:val="it-IT"/>
        </w:rPr>
        <w:t>(</w:t>
      </w:r>
      <w:r w:rsidRPr="00FB73D0">
        <w:rPr>
          <w:lang w:val="it-IT"/>
        </w:rPr>
        <w:t>2020</w:t>
      </w:r>
      <w:r w:rsidR="001A0813">
        <w:rPr>
          <w:lang w:val="it-IT"/>
        </w:rPr>
        <w:t>)</w:t>
      </w:r>
      <w:r w:rsidRPr="00FB73D0">
        <w:rPr>
          <w:lang w:val="it-IT"/>
        </w:rPr>
        <w:t xml:space="preserve"> EU Fine Chemical Commercial KPI. </w:t>
      </w:r>
      <w:r w:rsidR="000860D9">
        <w:t xml:space="preserve">Available at: </w:t>
      </w:r>
      <w:hyperlink r:id="rId84" w:history="1">
        <w:r w:rsidRPr="00BE420C">
          <w:rPr>
            <w:rStyle w:val="Hipercze"/>
            <w:sz w:val="16"/>
          </w:rPr>
          <w:t>https://efcg.cefic.org/wp-content/uploads/2021/06/20201211_IQVIA-for-EFCG_Executive-summary.pdf</w:t>
        </w:r>
      </w:hyperlink>
      <w:r>
        <w:t xml:space="preserve"> [Accessed July 2022]</w:t>
      </w:r>
    </w:p>
  </w:footnote>
  <w:footnote w:id="121">
    <w:p w14:paraId="25033B1A" w14:textId="0971BE8B" w:rsidR="007747AE" w:rsidRPr="008342BB" w:rsidRDefault="007747AE">
      <w:pPr>
        <w:pStyle w:val="Tekstprzypisudolnego"/>
      </w:pPr>
      <w:r>
        <w:rPr>
          <w:rStyle w:val="Odwoanieprzypisudolnego"/>
        </w:rPr>
        <w:footnoteRef/>
      </w:r>
      <w:r w:rsidRPr="000A2E03">
        <w:rPr>
          <w:lang w:val="it-IT"/>
        </w:rPr>
        <w:t xml:space="preserve"> </w:t>
      </w:r>
      <w:r w:rsidR="008342BB" w:rsidRPr="000A2E03">
        <w:rPr>
          <w:lang w:val="it-IT"/>
        </w:rPr>
        <w:tab/>
        <w:t xml:space="preserve">IQVIA </w:t>
      </w:r>
      <w:r w:rsidR="001A0813">
        <w:rPr>
          <w:lang w:val="it-IT"/>
        </w:rPr>
        <w:t>(</w:t>
      </w:r>
      <w:r w:rsidR="008342BB" w:rsidRPr="000A2E03">
        <w:rPr>
          <w:lang w:val="it-IT"/>
        </w:rPr>
        <w:t>2020</w:t>
      </w:r>
      <w:r w:rsidR="001A0813">
        <w:rPr>
          <w:lang w:val="it-IT"/>
        </w:rPr>
        <w:t>)</w:t>
      </w:r>
      <w:r w:rsidR="008342BB" w:rsidRPr="000A2E03">
        <w:rPr>
          <w:lang w:val="it-IT"/>
        </w:rPr>
        <w:t xml:space="preserve"> EU Fine Chemical Commercial KPI</w:t>
      </w:r>
      <w:r w:rsidR="002F6388" w:rsidRPr="000A2E03">
        <w:rPr>
          <w:lang w:val="it-IT"/>
        </w:rPr>
        <w:t xml:space="preserve">. </w:t>
      </w:r>
      <w:r w:rsidR="000860D9">
        <w:t xml:space="preserve">Available at: </w:t>
      </w:r>
      <w:hyperlink r:id="rId85" w:history="1">
        <w:r w:rsidR="002F6388" w:rsidRPr="00BE420C">
          <w:rPr>
            <w:rStyle w:val="Hipercze"/>
            <w:sz w:val="16"/>
          </w:rPr>
          <w:t>https://efcg.cefic.org/wp-content/uploads/2021/06/20201211_IQVIA-for-EFCG_Executive-summary.pdf</w:t>
        </w:r>
      </w:hyperlink>
      <w:r w:rsidR="002F6388">
        <w:t xml:space="preserve"> [Accessed July 2022]</w:t>
      </w:r>
    </w:p>
  </w:footnote>
  <w:footnote w:id="122">
    <w:p w14:paraId="32DD2C4D" w14:textId="2A3A1930" w:rsidR="003B6523" w:rsidRDefault="003B6523" w:rsidP="008C5A0D">
      <w:pPr>
        <w:pStyle w:val="Tekstprzypisudolnego"/>
      </w:pPr>
      <w:r>
        <w:rPr>
          <w:rStyle w:val="Odwoanieprzypisudolnego"/>
        </w:rPr>
        <w:footnoteRef/>
      </w:r>
      <w:r>
        <w:t xml:space="preserve"> </w:t>
      </w:r>
      <w:r>
        <w:tab/>
      </w:r>
      <w:r w:rsidR="00933844">
        <w:t>EFPIA</w:t>
      </w:r>
      <w:r w:rsidR="00473300">
        <w:t xml:space="preserve"> (2021) </w:t>
      </w:r>
      <w:r w:rsidR="008C5A0D">
        <w:t>Drug Shortages in Europe: 2nd EPFIA member companies survey investigating the role of API as a possible root-cause for drug shortages.</w:t>
      </w:r>
    </w:p>
  </w:footnote>
  <w:footnote w:id="123">
    <w:p w14:paraId="6B4BE3FB" w14:textId="1FAD50B8" w:rsidR="00836F51" w:rsidRDefault="00836F51">
      <w:pPr>
        <w:pStyle w:val="Tekstprzypisudolnego"/>
      </w:pPr>
      <w:r>
        <w:rPr>
          <w:rStyle w:val="Odwoanieprzypisudolnego"/>
        </w:rPr>
        <w:footnoteRef/>
      </w:r>
      <w:r>
        <w:t xml:space="preserve"> </w:t>
      </w:r>
      <w:r>
        <w:tab/>
      </w:r>
      <w:r w:rsidR="00B64021">
        <w:t xml:space="preserve">PwC (2019) </w:t>
      </w:r>
      <w:r w:rsidR="002249BE">
        <w:t>C</w:t>
      </w:r>
      <w:r w:rsidR="002249BE" w:rsidRPr="002249BE">
        <w:t xml:space="preserve">urrent </w:t>
      </w:r>
      <w:r w:rsidR="002249BE">
        <w:t>T</w:t>
      </w:r>
      <w:r w:rsidR="002249BE" w:rsidRPr="002249BE">
        <w:t xml:space="preserve">rends and </w:t>
      </w:r>
      <w:r w:rsidR="002249BE">
        <w:t>S</w:t>
      </w:r>
      <w:r w:rsidR="002249BE" w:rsidRPr="002249BE">
        <w:t xml:space="preserve">trategic </w:t>
      </w:r>
      <w:r w:rsidR="002249BE">
        <w:t>O</w:t>
      </w:r>
      <w:r w:rsidR="002249BE" w:rsidRPr="002249BE">
        <w:t xml:space="preserve">ptions in the </w:t>
      </w:r>
      <w:r w:rsidR="002249BE">
        <w:t>P</w:t>
      </w:r>
      <w:r w:rsidR="002249BE" w:rsidRPr="002249BE">
        <w:t xml:space="preserve">harma </w:t>
      </w:r>
      <w:r w:rsidR="002249BE">
        <w:t>CDMO</w:t>
      </w:r>
      <w:r w:rsidR="002249BE" w:rsidRPr="002249BE">
        <w:t xml:space="preserve"> </w:t>
      </w:r>
      <w:r w:rsidR="002249BE">
        <w:t>M</w:t>
      </w:r>
      <w:r w:rsidR="002249BE" w:rsidRPr="002249BE">
        <w:t>arket</w:t>
      </w:r>
      <w:r w:rsidR="00992523">
        <w:t xml:space="preserve">. Available at: </w:t>
      </w:r>
      <w:hyperlink r:id="rId86" w:history="1">
        <w:r w:rsidR="00992523" w:rsidRPr="00BE420C">
          <w:rPr>
            <w:rStyle w:val="Hipercze"/>
            <w:sz w:val="16"/>
          </w:rPr>
          <w:t>https://www.pwc.de/de/gesundheitswesen-und-pharma/studie-pharma-cdmo-market.pdf</w:t>
        </w:r>
      </w:hyperlink>
      <w:r w:rsidR="00992523">
        <w:t xml:space="preserve"> [Accessed July 2022]</w:t>
      </w:r>
    </w:p>
  </w:footnote>
  <w:footnote w:id="124">
    <w:p w14:paraId="03BEBF4C" w14:textId="637F2FC4" w:rsidR="00E321D8" w:rsidRDefault="00E321D8" w:rsidP="000A2E03">
      <w:pPr>
        <w:pStyle w:val="Tekstprzypisudolnego"/>
      </w:pPr>
      <w:r>
        <w:rPr>
          <w:rStyle w:val="Odwoanieprzypisudolnego"/>
        </w:rPr>
        <w:footnoteRef/>
      </w:r>
      <w:r>
        <w:t xml:space="preserve"> </w:t>
      </w:r>
      <w:r>
        <w:tab/>
      </w:r>
      <w:r w:rsidR="00C45FD4">
        <w:t>Pfizer</w:t>
      </w:r>
      <w:r w:rsidR="004F6218">
        <w:t>. Available</w:t>
      </w:r>
      <w:r w:rsidR="000860D9">
        <w:t xml:space="preserve"> at: </w:t>
      </w:r>
      <w:hyperlink r:id="rId87" w:history="1">
        <w:r w:rsidRPr="00456D3B">
          <w:rPr>
            <w:rStyle w:val="Hipercze"/>
            <w:sz w:val="16"/>
          </w:rPr>
          <w:t>https://www.pfizercentreone.com/manufacturing-network</w:t>
        </w:r>
      </w:hyperlink>
      <w:r>
        <w:t xml:space="preserve"> </w:t>
      </w:r>
      <w:r w:rsidR="003B5284">
        <w:t>[</w:t>
      </w:r>
      <w:r w:rsidR="00D630F4">
        <w:t>Accessed</w:t>
      </w:r>
      <w:r w:rsidR="003B5284">
        <w:t xml:space="preserve"> July 2022]</w:t>
      </w:r>
    </w:p>
  </w:footnote>
  <w:footnote w:id="125">
    <w:p w14:paraId="47BD6DA6" w14:textId="5563FCE8" w:rsidR="00E321D8" w:rsidRDefault="00E321D8" w:rsidP="000A2E03">
      <w:pPr>
        <w:pStyle w:val="Tekstprzypisudolnego"/>
      </w:pPr>
      <w:r>
        <w:rPr>
          <w:rStyle w:val="Odwoanieprzypisudolnego"/>
        </w:rPr>
        <w:footnoteRef/>
      </w:r>
      <w:r>
        <w:t xml:space="preserve"> </w:t>
      </w:r>
      <w:r>
        <w:tab/>
      </w:r>
      <w:r w:rsidR="00711E87">
        <w:t>ReliablePlant, Pfizer</w:t>
      </w:r>
      <w:r w:rsidR="00BE771F" w:rsidRPr="00BE771F">
        <w:t xml:space="preserve"> announces plans to reconfigure its global plant network</w:t>
      </w:r>
      <w:r w:rsidR="00BE771F">
        <w:t xml:space="preserve">. </w:t>
      </w:r>
      <w:r w:rsidR="000860D9">
        <w:t xml:space="preserve">Available at: </w:t>
      </w:r>
      <w:hyperlink r:id="rId88" w:history="1">
        <w:r w:rsidRPr="00456D3B">
          <w:rPr>
            <w:rStyle w:val="Hipercze"/>
            <w:sz w:val="16"/>
          </w:rPr>
          <w:t>https://www.reliableplant.com/Read/24643/Pfizer-reconfigure-plant-network</w:t>
        </w:r>
      </w:hyperlink>
      <w:r>
        <w:t xml:space="preserve"> </w:t>
      </w:r>
    </w:p>
  </w:footnote>
  <w:footnote w:id="126">
    <w:p w14:paraId="4B97055E" w14:textId="77EA2D44" w:rsidR="009D3C4A" w:rsidRDefault="009D3C4A" w:rsidP="00FC328D">
      <w:pPr>
        <w:pStyle w:val="Tekstprzypisudolnego"/>
      </w:pPr>
      <w:r>
        <w:rPr>
          <w:rStyle w:val="Odwoanieprzypisudolnego"/>
        </w:rPr>
        <w:footnoteRef/>
      </w:r>
      <w:r>
        <w:t xml:space="preserve"> </w:t>
      </w:r>
      <w:r>
        <w:tab/>
      </w:r>
      <w:r w:rsidRPr="009D3C4A">
        <w:t>Information</w:t>
      </w:r>
      <w:r>
        <w:t xml:space="preserve"> from interview programme with pharmaceutical company representatives, June</w:t>
      </w:r>
      <w:r w:rsidR="001A0813">
        <w:rPr>
          <w:rFonts w:cs="Arial"/>
        </w:rPr>
        <w:t>–</w:t>
      </w:r>
      <w:r>
        <w:t>July 2022.</w:t>
      </w:r>
    </w:p>
  </w:footnote>
  <w:footnote w:id="127">
    <w:p w14:paraId="7B37B8B9" w14:textId="54BA6ECC" w:rsidR="00220E7C" w:rsidRDefault="00220E7C" w:rsidP="00FC328D">
      <w:pPr>
        <w:pStyle w:val="Tekstprzypisudolnego"/>
      </w:pPr>
      <w:r>
        <w:rPr>
          <w:rStyle w:val="Odwoanieprzypisudolnego"/>
        </w:rPr>
        <w:footnoteRef/>
      </w:r>
      <w:r>
        <w:t xml:space="preserve"> </w:t>
      </w:r>
      <w:r>
        <w:tab/>
        <w:t xml:space="preserve">Guimón, J. (2008) </w:t>
      </w:r>
      <w:r w:rsidRPr="00C734B7">
        <w:t>Government strategies to attract R&amp;D-intensive FDI</w:t>
      </w:r>
      <w:r>
        <w:t xml:space="preserve">. </w:t>
      </w:r>
      <w:r w:rsidRPr="00C734B7">
        <w:rPr>
          <w:i/>
          <w:iCs/>
        </w:rPr>
        <w:t>The Journal of Technology Transfer</w:t>
      </w:r>
      <w:r>
        <w:rPr>
          <w:i/>
          <w:iCs/>
        </w:rPr>
        <w:t>.</w:t>
      </w:r>
      <w:r w:rsidRPr="00C734B7">
        <w:t xml:space="preserve"> 34</w:t>
      </w:r>
      <w:r>
        <w:t>(4</w:t>
      </w:r>
      <w:r w:rsidR="004B2AE2">
        <w:t>)</w:t>
      </w:r>
      <w:r w:rsidR="001A0813">
        <w:t>:</w:t>
      </w:r>
      <w:r w:rsidRPr="00C734B7">
        <w:t xml:space="preserve"> </w:t>
      </w:r>
      <w:r>
        <w:t>364</w:t>
      </w:r>
      <w:r w:rsidR="008B0E14">
        <w:t>–</w:t>
      </w:r>
      <w:r w:rsidRPr="00C734B7">
        <w:t>379</w:t>
      </w:r>
      <w:r>
        <w:t>.</w:t>
      </w:r>
    </w:p>
  </w:footnote>
  <w:footnote w:id="128">
    <w:p w14:paraId="4786CF48" w14:textId="2735FB8A" w:rsidR="00C3052C" w:rsidRDefault="00C3052C" w:rsidP="000A2E03">
      <w:pPr>
        <w:pStyle w:val="Tekstprzypisudolnego"/>
      </w:pPr>
      <w:r>
        <w:rPr>
          <w:rStyle w:val="Odwoanieprzypisudolnego"/>
        </w:rPr>
        <w:footnoteRef/>
      </w:r>
      <w:r>
        <w:t xml:space="preserve"> </w:t>
      </w:r>
      <w:r>
        <w:tab/>
        <w:t xml:space="preserve">Theyel, G., Hofmann, K. and Gregory, M. (2018). </w:t>
      </w:r>
      <w:r w:rsidRPr="005A167D">
        <w:t>Understanding Manufacturing Location Decision Making: Rationales for Retaining, Offshoring, Reshoring, and Hybrid Approaches</w:t>
      </w:r>
      <w:r>
        <w:t xml:space="preserve">. </w:t>
      </w:r>
      <w:r w:rsidRPr="005A167D">
        <w:rPr>
          <w:i/>
          <w:iCs/>
        </w:rPr>
        <w:t>Economic Development Quarterly</w:t>
      </w:r>
      <w:r>
        <w:t>. 32(4</w:t>
      </w:r>
      <w:r w:rsidR="004B2AE2">
        <w:t>):</w:t>
      </w:r>
      <w:r>
        <w:t xml:space="preserve"> 300</w:t>
      </w:r>
      <w:r w:rsidR="008B0E14">
        <w:t>–</w:t>
      </w:r>
      <w:r>
        <w:t>312.</w:t>
      </w:r>
    </w:p>
  </w:footnote>
  <w:footnote w:id="129">
    <w:p w14:paraId="042F1F1C" w14:textId="5CFF95DA" w:rsidR="00AB6D17" w:rsidRDefault="00AB6D17" w:rsidP="00FC328D">
      <w:pPr>
        <w:pStyle w:val="Tekstprzypisudolnego"/>
      </w:pPr>
      <w:r>
        <w:rPr>
          <w:rStyle w:val="Odwoanieprzypisudolnego"/>
        </w:rPr>
        <w:footnoteRef/>
      </w:r>
      <w:r>
        <w:t xml:space="preserve"> </w:t>
      </w:r>
      <w:r>
        <w:tab/>
        <w:t>Information from interview programme with pharmaceutical company representat</w:t>
      </w:r>
      <w:r w:rsidR="007F459E">
        <w:t>ives, June</w:t>
      </w:r>
      <w:r w:rsidR="008B0E14">
        <w:t>–</w:t>
      </w:r>
      <w:r w:rsidR="007F459E">
        <w:t>July 2022.</w:t>
      </w:r>
    </w:p>
  </w:footnote>
  <w:footnote w:id="130">
    <w:p w14:paraId="7773AA04" w14:textId="3796DCD7" w:rsidR="00DF1C08" w:rsidRDefault="00DF1C08" w:rsidP="00FC328D">
      <w:pPr>
        <w:pStyle w:val="Tekstprzypisudolnego"/>
      </w:pPr>
      <w:r>
        <w:rPr>
          <w:rStyle w:val="Odwoanieprzypisudolnego"/>
        </w:rPr>
        <w:footnoteRef/>
      </w:r>
      <w:r>
        <w:t xml:space="preserve"> </w:t>
      </w:r>
      <w:r>
        <w:tab/>
        <w:t xml:space="preserve">Rozek, R.P. (2011) </w:t>
      </w:r>
      <w:r w:rsidRPr="00E67BF8">
        <w:t>Risk and Regulatory Factors Affecting Location Decisions by Research</w:t>
      </w:r>
      <w:r w:rsidR="001A0813">
        <w:t>-</w:t>
      </w:r>
      <w:r w:rsidRPr="00E67BF8">
        <w:t>Based Pharmaceutical Companies</w:t>
      </w:r>
      <w:r>
        <w:t xml:space="preserve">. </w:t>
      </w:r>
      <w:r w:rsidRPr="00857558">
        <w:rPr>
          <w:i/>
          <w:iCs/>
        </w:rPr>
        <w:t>European Journal of Risk Regulation</w:t>
      </w:r>
      <w:r>
        <w:t>. 2(1</w:t>
      </w:r>
      <w:r w:rsidR="004B2AE2">
        <w:t>):</w:t>
      </w:r>
      <w:r>
        <w:t xml:space="preserve"> 92</w:t>
      </w:r>
      <w:r w:rsidR="008B0E14">
        <w:t>–</w:t>
      </w:r>
      <w:r>
        <w:t>103.</w:t>
      </w:r>
    </w:p>
  </w:footnote>
  <w:footnote w:id="131">
    <w:p w14:paraId="1593C86C" w14:textId="5625B0E0" w:rsidR="006A701F" w:rsidRDefault="006A701F" w:rsidP="000A2E03">
      <w:pPr>
        <w:pStyle w:val="Tekstprzypisudolnego"/>
      </w:pPr>
      <w:r>
        <w:rPr>
          <w:rStyle w:val="Odwoanieprzypisudolnego"/>
        </w:rPr>
        <w:footnoteRef/>
      </w:r>
      <w:r>
        <w:t xml:space="preserve"> </w:t>
      </w:r>
      <w:r w:rsidR="00797D95">
        <w:tab/>
      </w:r>
      <w:r>
        <w:t>Devereux, M.P. and Griffith, R. (1998).</w:t>
      </w:r>
      <w:r w:rsidR="00927D21">
        <w:t xml:space="preserve"> </w:t>
      </w:r>
      <w:r w:rsidR="00927D21" w:rsidRPr="00927D21">
        <w:t>Taxes and the location of production: evidence from a panel of US multinationals</w:t>
      </w:r>
      <w:r w:rsidR="00927D21">
        <w:t xml:space="preserve">. </w:t>
      </w:r>
      <w:r w:rsidR="00927D21" w:rsidRPr="00927D21">
        <w:rPr>
          <w:i/>
          <w:iCs/>
        </w:rPr>
        <w:t>Journal of Public Economics</w:t>
      </w:r>
      <w:r w:rsidR="00927D21">
        <w:t>. 68(3</w:t>
      </w:r>
      <w:r w:rsidR="004B2AE2">
        <w:t>):</w:t>
      </w:r>
      <w:r w:rsidR="00927D21">
        <w:t xml:space="preserve"> 335</w:t>
      </w:r>
      <w:r w:rsidR="008B0E14">
        <w:t>–</w:t>
      </w:r>
      <w:r w:rsidR="00927D21">
        <w:t>367.</w:t>
      </w:r>
    </w:p>
  </w:footnote>
  <w:footnote w:id="132">
    <w:p w14:paraId="0C14166B" w14:textId="606B2C88" w:rsidR="00BE02D1" w:rsidRDefault="00BE02D1">
      <w:pPr>
        <w:pStyle w:val="Tekstprzypisudolnego"/>
      </w:pPr>
      <w:r>
        <w:rPr>
          <w:rStyle w:val="Odwoanieprzypisudolnego"/>
        </w:rPr>
        <w:footnoteRef/>
      </w:r>
      <w:r>
        <w:t xml:space="preserve"> </w:t>
      </w:r>
      <w:r>
        <w:tab/>
        <w:t xml:space="preserve">Guimón, J. (2008) </w:t>
      </w:r>
      <w:r w:rsidRPr="00C734B7">
        <w:t>Government strategies to attract R&amp;D-intensive FDI</w:t>
      </w:r>
      <w:r>
        <w:t xml:space="preserve">. </w:t>
      </w:r>
      <w:r w:rsidRPr="00C734B7">
        <w:rPr>
          <w:i/>
          <w:iCs/>
        </w:rPr>
        <w:t>The Journal of Technology Transfer</w:t>
      </w:r>
      <w:r>
        <w:rPr>
          <w:i/>
          <w:iCs/>
        </w:rPr>
        <w:t>.</w:t>
      </w:r>
      <w:r w:rsidRPr="00C734B7">
        <w:t xml:space="preserve"> 34</w:t>
      </w:r>
      <w:r>
        <w:t>(4</w:t>
      </w:r>
      <w:r w:rsidR="004B2AE2">
        <w:t>):</w:t>
      </w:r>
      <w:r w:rsidRPr="00C734B7">
        <w:t xml:space="preserve"> </w:t>
      </w:r>
      <w:r>
        <w:t>364</w:t>
      </w:r>
      <w:r w:rsidR="008B0E14">
        <w:t>–</w:t>
      </w:r>
      <w:r w:rsidRPr="00C734B7">
        <w:t>379</w:t>
      </w:r>
      <w:r>
        <w:t>.</w:t>
      </w:r>
    </w:p>
  </w:footnote>
  <w:footnote w:id="133">
    <w:p w14:paraId="011135AD" w14:textId="0A9839DF" w:rsidR="00F03F18" w:rsidRDefault="00F03F18" w:rsidP="00F03F18">
      <w:pPr>
        <w:pStyle w:val="Tekstprzypisudolnego"/>
        <w:spacing w:before="0" w:after="0"/>
      </w:pPr>
      <w:r>
        <w:rPr>
          <w:rStyle w:val="Odwoanieprzypisudolnego"/>
        </w:rPr>
        <w:footnoteRef/>
      </w:r>
      <w:r>
        <w:t xml:space="preserve"> </w:t>
      </w:r>
      <w:r>
        <w:tab/>
      </w:r>
      <w:r w:rsidRPr="00E72DD8">
        <w:t>United Nations Conference on Trade and Development</w:t>
      </w:r>
      <w:r>
        <w:t xml:space="preserve"> (2011). Investment in Pharmaceutical Production in the Least Developed Countries: A Guide for Policymakers and Investment Promotion Agencies. </w:t>
      </w:r>
      <w:r w:rsidR="00D34428">
        <w:t>Available at:</w:t>
      </w:r>
      <w:r>
        <w:t xml:space="preserve"> </w:t>
      </w:r>
      <w:hyperlink r:id="rId89" w:history="1">
        <w:r w:rsidRPr="00D24745">
          <w:rPr>
            <w:rStyle w:val="Hipercze"/>
            <w:sz w:val="16"/>
          </w:rPr>
          <w:t>https://unctad.org/system/files/official-document/diaepcb2011d5_en.pdf</w:t>
        </w:r>
      </w:hyperlink>
      <w:r>
        <w:t xml:space="preserve"> [Accessed June 2022]</w:t>
      </w:r>
    </w:p>
  </w:footnote>
  <w:footnote w:id="134">
    <w:p w14:paraId="27C5E5D9" w14:textId="0CF0D909" w:rsidR="0010691B" w:rsidRDefault="0010691B" w:rsidP="0010691B">
      <w:pPr>
        <w:pStyle w:val="Tekstprzypisudolnego"/>
      </w:pPr>
      <w:r>
        <w:rPr>
          <w:rStyle w:val="Odwoanieprzypisudolnego"/>
        </w:rPr>
        <w:footnoteRef/>
      </w:r>
      <w:r>
        <w:t xml:space="preserve"> </w:t>
      </w:r>
      <w:r>
        <w:tab/>
        <w:t xml:space="preserve">Information from interview programme with pharmaceutical company representatives, </w:t>
      </w:r>
      <w:r w:rsidR="001A0813">
        <w:t>June–</w:t>
      </w:r>
      <w:r>
        <w:t>July 2022.</w:t>
      </w:r>
    </w:p>
  </w:footnote>
  <w:footnote w:id="135">
    <w:p w14:paraId="258DD59D" w14:textId="5C31340B" w:rsidR="00A83AB0" w:rsidRDefault="00A83AB0">
      <w:pPr>
        <w:pStyle w:val="Tekstprzypisudolnego"/>
      </w:pPr>
      <w:r>
        <w:rPr>
          <w:rStyle w:val="Odwoanieprzypisudolnego"/>
        </w:rPr>
        <w:footnoteRef/>
      </w:r>
      <w:r>
        <w:t xml:space="preserve"> </w:t>
      </w:r>
      <w:r>
        <w:tab/>
      </w:r>
      <w:r w:rsidR="00B01861">
        <w:t>FiercePharma</w:t>
      </w:r>
      <w:r w:rsidR="00E500CB">
        <w:t xml:space="preserve"> </w:t>
      </w:r>
      <w:r w:rsidR="00F01759">
        <w:t>(2020)</w:t>
      </w:r>
      <w:r w:rsidR="00917675">
        <w:t xml:space="preserve"> </w:t>
      </w:r>
      <w:r w:rsidR="00917675" w:rsidRPr="00917675">
        <w:t>Merck KGaA antes up €250M to bridge R&amp;D with manufacturing</w:t>
      </w:r>
      <w:r w:rsidR="00917675">
        <w:t xml:space="preserve">. </w:t>
      </w:r>
      <w:r w:rsidR="000860D9">
        <w:t xml:space="preserve">Available at: </w:t>
      </w:r>
      <w:hyperlink r:id="rId90" w:history="1">
        <w:r w:rsidRPr="00BE420C">
          <w:rPr>
            <w:rStyle w:val="Hipercze"/>
            <w:sz w:val="16"/>
          </w:rPr>
          <w:t>https://www.fiercepharma.com/manufacturing/merck-kgaa-antes-up-eu250m-to-bridge-r-d-manufacturing</w:t>
        </w:r>
      </w:hyperlink>
      <w:r>
        <w:t xml:space="preserve"> [Accessed July 2022]</w:t>
      </w:r>
    </w:p>
  </w:footnote>
  <w:footnote w:id="136">
    <w:p w14:paraId="650C77BB" w14:textId="1D24E2CE" w:rsidR="00643E64" w:rsidRDefault="00643E64">
      <w:pPr>
        <w:pStyle w:val="Tekstprzypisudolnego"/>
      </w:pPr>
      <w:r>
        <w:rPr>
          <w:rStyle w:val="Odwoanieprzypisudolnego"/>
        </w:rPr>
        <w:footnoteRef/>
      </w:r>
      <w:r>
        <w:t xml:space="preserve"> </w:t>
      </w:r>
      <w:r>
        <w:tab/>
      </w:r>
      <w:r w:rsidR="00C31019">
        <w:t>Interpharma</w:t>
      </w:r>
      <w:r w:rsidR="00F52BFB">
        <w:t xml:space="preserve">, </w:t>
      </w:r>
      <w:r w:rsidR="00F52BFB" w:rsidRPr="00F52BFB">
        <w:t>Switzerland as a pharma hub</w:t>
      </w:r>
      <w:r w:rsidR="00F52BFB">
        <w:t xml:space="preserve">. </w:t>
      </w:r>
      <w:r w:rsidR="000860D9">
        <w:t xml:space="preserve">Available at: </w:t>
      </w:r>
      <w:hyperlink r:id="rId91" w:history="1">
        <w:r w:rsidRPr="00BE420C">
          <w:rPr>
            <w:rStyle w:val="Hipercze"/>
            <w:sz w:val="16"/>
          </w:rPr>
          <w:t>https://www.interpharma.ch/themen/starke-wirtschaftliche-rahmenbedingungen/pharmastandort-schweiz/?lang=en</w:t>
        </w:r>
      </w:hyperlink>
      <w:r>
        <w:t xml:space="preserve"> [Accessed July 2022]</w:t>
      </w:r>
    </w:p>
  </w:footnote>
  <w:footnote w:id="137">
    <w:p w14:paraId="5D8D3A8D" w14:textId="5192C2FB" w:rsidR="00521B20" w:rsidRDefault="00521B20">
      <w:pPr>
        <w:pStyle w:val="Tekstprzypisudolnego"/>
      </w:pPr>
      <w:r>
        <w:rPr>
          <w:rStyle w:val="Odwoanieprzypisudolnego"/>
        </w:rPr>
        <w:footnoteRef/>
      </w:r>
      <w:r>
        <w:t xml:space="preserve"> </w:t>
      </w:r>
      <w:r>
        <w:tab/>
      </w:r>
      <w:r w:rsidR="00ED0DA8">
        <w:t xml:space="preserve">Hobson Prior (2020) </w:t>
      </w:r>
      <w:r w:rsidR="00ED0DA8" w:rsidRPr="00551C4D">
        <w:t>Why are there so many pharmaceutical companies in Switzerland?</w:t>
      </w:r>
      <w:r w:rsidR="00ED0DA8">
        <w:t xml:space="preserve"> Available at: </w:t>
      </w:r>
      <w:hyperlink r:id="rId92" w:history="1">
        <w:r w:rsidR="003D1045" w:rsidRPr="00BE420C">
          <w:rPr>
            <w:rStyle w:val="Hipercze"/>
            <w:sz w:val="16"/>
          </w:rPr>
          <w:t>https://www.hobsonprior.com/blog-post/2020-8/why-are-there-so-many-pharma-companies-in-switzerland</w:t>
        </w:r>
      </w:hyperlink>
      <w:r w:rsidR="003D1045">
        <w:t xml:space="preserve"> [Accessed July 2022]</w:t>
      </w:r>
      <w:r>
        <w:t xml:space="preserve"> </w:t>
      </w:r>
    </w:p>
  </w:footnote>
  <w:footnote w:id="138">
    <w:p w14:paraId="200A0ED5" w14:textId="63B9DCE5" w:rsidR="00CE00DA" w:rsidRDefault="00CE00DA" w:rsidP="000A2E03">
      <w:pPr>
        <w:pStyle w:val="Tekstprzypisudolnego"/>
      </w:pPr>
      <w:r>
        <w:rPr>
          <w:rStyle w:val="Odwoanieprzypisudolnego"/>
        </w:rPr>
        <w:footnoteRef/>
      </w:r>
      <w:r>
        <w:t xml:space="preserve"> </w:t>
      </w:r>
      <w:r>
        <w:tab/>
      </w:r>
      <w:r w:rsidR="005C77AB">
        <w:t>Hobson Prior</w:t>
      </w:r>
      <w:r w:rsidR="00E500CB">
        <w:t xml:space="preserve"> </w:t>
      </w:r>
      <w:r w:rsidR="00F01759">
        <w:t>(2020)</w:t>
      </w:r>
      <w:r w:rsidR="00551C4D">
        <w:t xml:space="preserve"> </w:t>
      </w:r>
      <w:r w:rsidR="00551C4D" w:rsidRPr="00551C4D">
        <w:t>Why are there so many pharmaceutical companies in Switzerland?</w:t>
      </w:r>
      <w:r w:rsidR="005C77AB">
        <w:t xml:space="preserve"> </w:t>
      </w:r>
      <w:r w:rsidR="000860D9">
        <w:t xml:space="preserve">Available at: </w:t>
      </w:r>
      <w:hyperlink r:id="rId93" w:history="1">
        <w:r w:rsidR="00ED0DA8" w:rsidRPr="00BE420C">
          <w:rPr>
            <w:rStyle w:val="Hipercze"/>
            <w:sz w:val="16"/>
          </w:rPr>
          <w:t>https://www.hobsonprior.com/blog-post/2020-8/why-are-there-so-many-pharma-companies-in-switzerland</w:t>
        </w:r>
      </w:hyperlink>
      <w:r w:rsidR="00ED0DA8">
        <w:t xml:space="preserve"> </w:t>
      </w:r>
      <w:r>
        <w:t>[Accessed June 2022]</w:t>
      </w:r>
    </w:p>
  </w:footnote>
  <w:footnote w:id="139">
    <w:p w14:paraId="5839C54C" w14:textId="6C5C1B13" w:rsidR="00BA5113" w:rsidRDefault="00BA5113" w:rsidP="000A2E03">
      <w:pPr>
        <w:pStyle w:val="Tekstprzypisudolnego"/>
      </w:pPr>
      <w:r>
        <w:rPr>
          <w:rStyle w:val="Odwoanieprzypisudolnego"/>
        </w:rPr>
        <w:footnoteRef/>
      </w:r>
      <w:r>
        <w:t xml:space="preserve"> </w:t>
      </w:r>
      <w:r>
        <w:tab/>
        <w:t xml:space="preserve">Siedschlag, I., Yan, W. and Driffield, N. (2021) </w:t>
      </w:r>
      <w:r w:rsidRPr="00BA5113">
        <w:t xml:space="preserve">Enhancing </w:t>
      </w:r>
      <w:r>
        <w:t>t</w:t>
      </w:r>
      <w:r w:rsidRPr="00BA5113">
        <w:t xml:space="preserve">he Attractiveness </w:t>
      </w:r>
      <w:r>
        <w:t>of the</w:t>
      </w:r>
      <w:r w:rsidRPr="00BA5113">
        <w:t xml:space="preserve"> Island </w:t>
      </w:r>
      <w:r>
        <w:t>of</w:t>
      </w:r>
      <w:r w:rsidRPr="00BA5113">
        <w:t xml:space="preserve"> Ireland </w:t>
      </w:r>
      <w:r>
        <w:t>to</w:t>
      </w:r>
      <w:r w:rsidRPr="00BA5113">
        <w:t xml:space="preserve"> High-Value Foreign Direct Investment</w:t>
      </w:r>
      <w:r>
        <w:t xml:space="preserve">. </w:t>
      </w:r>
      <w:r w:rsidR="00AD74AD" w:rsidRPr="00AD74AD">
        <w:t>ESRI Research Series 133</w:t>
      </w:r>
      <w:r w:rsidR="00AD74AD">
        <w:t xml:space="preserve">. </w:t>
      </w:r>
      <w:r w:rsidR="00D34428">
        <w:t>Available at:</w:t>
      </w:r>
      <w:r w:rsidR="00AD74AD">
        <w:t xml:space="preserve"> </w:t>
      </w:r>
      <w:hyperlink r:id="rId94" w:history="1">
        <w:r w:rsidR="00AD74AD" w:rsidRPr="005E426D">
          <w:rPr>
            <w:rStyle w:val="Hipercze"/>
            <w:sz w:val="16"/>
          </w:rPr>
          <w:t>https://www.esri.ie/publications/enhancing-the-attractiveness-of-the-island-of-ireland-to-high-value-foreign-direct</w:t>
        </w:r>
      </w:hyperlink>
      <w:r w:rsidR="00AD74AD">
        <w:t xml:space="preserve"> [Accessed June 2022]</w:t>
      </w:r>
    </w:p>
  </w:footnote>
  <w:footnote w:id="140">
    <w:p w14:paraId="59AD8634" w14:textId="24879899" w:rsidR="00E77AAA" w:rsidRDefault="00E77AAA" w:rsidP="00E478F3">
      <w:pPr>
        <w:pStyle w:val="Tekstprzypisudolnego"/>
      </w:pPr>
      <w:r>
        <w:rPr>
          <w:rStyle w:val="Odwoanieprzypisudolnego"/>
        </w:rPr>
        <w:footnoteRef/>
      </w:r>
      <w:r>
        <w:t xml:space="preserve"> </w:t>
      </w:r>
      <w:r>
        <w:tab/>
        <w:t xml:space="preserve">Ruane, F.P. and Zhang, X. The Determinants of Location Choices by Pharmaceutical MNEs in Europe. </w:t>
      </w:r>
      <w:r w:rsidR="00D34428">
        <w:t>Available at:</w:t>
      </w:r>
      <w:r>
        <w:t xml:space="preserve"> </w:t>
      </w:r>
      <w:hyperlink r:id="rId95" w:history="1">
        <w:r w:rsidRPr="00D24745">
          <w:rPr>
            <w:rStyle w:val="Hipercze"/>
            <w:sz w:val="16"/>
          </w:rPr>
          <w:t>https://www.etsg.org/ETSG2008/Papers/Ruane.pdf</w:t>
        </w:r>
      </w:hyperlink>
      <w:r>
        <w:t xml:space="preserve"> [Accessed June 2022]</w:t>
      </w:r>
    </w:p>
  </w:footnote>
  <w:footnote w:id="141">
    <w:p w14:paraId="02754C97" w14:textId="00F5E041" w:rsidR="00E77AAA" w:rsidRDefault="00E77AAA" w:rsidP="00E478F3">
      <w:pPr>
        <w:pStyle w:val="Tekstprzypisudolnego"/>
      </w:pPr>
      <w:r>
        <w:rPr>
          <w:rStyle w:val="Odwoanieprzypisudolnego"/>
        </w:rPr>
        <w:footnoteRef/>
      </w:r>
      <w:r>
        <w:t xml:space="preserve"> </w:t>
      </w:r>
      <w:r>
        <w:tab/>
        <w:t xml:space="preserve">Ruane, F.P. and Zhang, X. The Determinants of Location Choices by Pharmaceutical MNEs in Europe. </w:t>
      </w:r>
      <w:r w:rsidR="00D34428">
        <w:t>Available at:</w:t>
      </w:r>
      <w:r>
        <w:t xml:space="preserve"> </w:t>
      </w:r>
      <w:hyperlink r:id="rId96" w:history="1">
        <w:r w:rsidRPr="00D24745">
          <w:rPr>
            <w:rStyle w:val="Hipercze"/>
            <w:sz w:val="16"/>
          </w:rPr>
          <w:t>https://www.etsg.org/ETSG2008/Papers/Ruane.pdf</w:t>
        </w:r>
      </w:hyperlink>
      <w:r>
        <w:t xml:space="preserve"> [Accessed June 2022]</w:t>
      </w:r>
    </w:p>
  </w:footnote>
  <w:footnote w:id="142">
    <w:p w14:paraId="55BCAE9A" w14:textId="0E8A1FF7" w:rsidR="002B31E3" w:rsidRDefault="002B31E3" w:rsidP="000A2E03">
      <w:pPr>
        <w:pStyle w:val="Tekstprzypisudolnego"/>
      </w:pPr>
      <w:r>
        <w:rPr>
          <w:rStyle w:val="Odwoanieprzypisudolnego"/>
        </w:rPr>
        <w:footnoteRef/>
      </w:r>
      <w:r>
        <w:t xml:space="preserve"> </w:t>
      </w:r>
      <w:r>
        <w:tab/>
      </w:r>
      <w:r w:rsidR="004D02A9">
        <w:t>The Irish Times</w:t>
      </w:r>
      <w:r w:rsidR="00E500CB">
        <w:t xml:space="preserve"> (2021</w:t>
      </w:r>
      <w:r w:rsidR="004B2AE2">
        <w:t>)</w:t>
      </w:r>
      <w:r w:rsidR="0071642C">
        <w:t xml:space="preserve"> </w:t>
      </w:r>
      <w:r w:rsidR="0071642C" w:rsidRPr="0071642C">
        <w:t>Wuxi Biologics Ireland in €679.6m gain after restructuring</w:t>
      </w:r>
      <w:r w:rsidR="0071642C">
        <w:t xml:space="preserve">. </w:t>
      </w:r>
      <w:r w:rsidR="000860D9">
        <w:t xml:space="preserve">Available at: </w:t>
      </w:r>
      <w:hyperlink r:id="rId97" w:history="1">
        <w:r w:rsidRPr="005E426D">
          <w:rPr>
            <w:rStyle w:val="Hipercze"/>
            <w:sz w:val="16"/>
          </w:rPr>
          <w:t>https://www.irishtimes.com/business/health-pharma/wuxi-biologics-ireland-in-679-6m-gain-after-restructuring-1.4699274</w:t>
        </w:r>
      </w:hyperlink>
      <w:r>
        <w:t xml:space="preserve"> [Accessed June 2022]</w:t>
      </w:r>
    </w:p>
  </w:footnote>
  <w:footnote w:id="143">
    <w:p w14:paraId="28A747BD" w14:textId="63F908F7" w:rsidR="002B31E3" w:rsidRDefault="002B31E3" w:rsidP="000A2E03">
      <w:pPr>
        <w:pStyle w:val="Tekstprzypisudolnego"/>
      </w:pPr>
      <w:r>
        <w:rPr>
          <w:rStyle w:val="Odwoanieprzypisudolnego"/>
        </w:rPr>
        <w:footnoteRef/>
      </w:r>
      <w:r>
        <w:t xml:space="preserve"> </w:t>
      </w:r>
      <w:r>
        <w:tab/>
      </w:r>
      <w:r w:rsidR="00F52FD1">
        <w:t>Wuxi Global Network</w:t>
      </w:r>
      <w:r w:rsidR="00624D22">
        <w:t xml:space="preserve">. </w:t>
      </w:r>
      <w:r w:rsidR="000860D9">
        <w:t xml:space="preserve">Available at: </w:t>
      </w:r>
      <w:hyperlink r:id="rId98" w:anchor="Global_Network" w:history="1">
        <w:r w:rsidR="00624D22" w:rsidRPr="00624D22">
          <w:rPr>
            <w:rStyle w:val="Hipercze"/>
            <w:sz w:val="16"/>
          </w:rPr>
          <w:t>https://www.wuxibiologics.com/locations-facilities/#Global_Network</w:t>
        </w:r>
      </w:hyperlink>
      <w:r>
        <w:t xml:space="preserve"> [Accessed June 2022]</w:t>
      </w:r>
    </w:p>
  </w:footnote>
  <w:footnote w:id="144">
    <w:p w14:paraId="3E396E38" w14:textId="3203167D" w:rsidR="00BB482E" w:rsidRDefault="00BB482E" w:rsidP="000A2E03">
      <w:pPr>
        <w:pStyle w:val="Tekstprzypisudolnego"/>
      </w:pPr>
      <w:r>
        <w:rPr>
          <w:rStyle w:val="Odwoanieprzypisudolnego"/>
        </w:rPr>
        <w:footnoteRef/>
      </w:r>
      <w:r>
        <w:t xml:space="preserve"> </w:t>
      </w:r>
      <w:r>
        <w:tab/>
      </w:r>
      <w:r w:rsidR="00350E19">
        <w:t xml:space="preserve">Information from interview programme with </w:t>
      </w:r>
      <w:r w:rsidR="0035655C">
        <w:t>WuXi representative, June 2022.</w:t>
      </w:r>
    </w:p>
  </w:footnote>
  <w:footnote w:id="145">
    <w:p w14:paraId="242742DD" w14:textId="63D9DB72" w:rsidR="00E77AAA" w:rsidRDefault="00E77AAA">
      <w:pPr>
        <w:pStyle w:val="Tekstprzypisudolnego"/>
      </w:pPr>
      <w:r>
        <w:rPr>
          <w:rStyle w:val="Odwoanieprzypisudolnego"/>
        </w:rPr>
        <w:footnoteRef/>
      </w:r>
      <w:r>
        <w:t xml:space="preserve"> </w:t>
      </w:r>
      <w:r>
        <w:tab/>
        <w:t xml:space="preserve">Ruane, F.P. and Zhang, X. The Determinants of Location Choices by Pharmaceutical MNEs in Europe. </w:t>
      </w:r>
      <w:r w:rsidR="00D34428">
        <w:t>Available at:</w:t>
      </w:r>
      <w:r>
        <w:t xml:space="preserve"> </w:t>
      </w:r>
      <w:hyperlink r:id="rId99" w:history="1">
        <w:r w:rsidRPr="00D24745">
          <w:rPr>
            <w:rStyle w:val="Hipercze"/>
            <w:sz w:val="16"/>
          </w:rPr>
          <w:t>https://www.etsg.org/ETSG2008/Papers/Ruane.pdf</w:t>
        </w:r>
      </w:hyperlink>
      <w:r>
        <w:t xml:space="preserve"> [Accessed June 2022]</w:t>
      </w:r>
    </w:p>
  </w:footnote>
  <w:footnote w:id="146">
    <w:p w14:paraId="00E31189" w14:textId="37C49DF3" w:rsidR="00B81D2B" w:rsidRPr="00006422" w:rsidRDefault="00B81D2B" w:rsidP="007D4C10">
      <w:pPr>
        <w:pStyle w:val="Tekstprzypisudolnego"/>
        <w:spacing w:before="0" w:after="0"/>
      </w:pPr>
      <w:r>
        <w:rPr>
          <w:rStyle w:val="Odwoanieprzypisudolnego"/>
        </w:rPr>
        <w:footnoteRef/>
      </w:r>
      <w:r w:rsidRPr="00596762">
        <w:t xml:space="preserve"> </w:t>
      </w:r>
      <w:r w:rsidRPr="00596762">
        <w:tab/>
      </w:r>
      <w:r w:rsidR="0081342B" w:rsidRPr="00006422">
        <w:t>Perspectives on Trade</w:t>
      </w:r>
      <w:r w:rsidR="002D716D" w:rsidRPr="000A2E03">
        <w:t xml:space="preserve"> 2017 Trade Barriers Report: Government Procurement. </w:t>
      </w:r>
      <w:r w:rsidR="000860D9">
        <w:t xml:space="preserve">Available at: </w:t>
      </w:r>
      <w:hyperlink r:id="rId100" w:history="1">
        <w:r w:rsidRPr="00596762">
          <w:rPr>
            <w:rStyle w:val="Hipercze"/>
            <w:sz w:val="16"/>
          </w:rPr>
          <w:t>https://trade.djaghe.com/?p=3911</w:t>
        </w:r>
      </w:hyperlink>
      <w:r w:rsidRPr="00596762">
        <w:t xml:space="preserve"> </w:t>
      </w:r>
    </w:p>
  </w:footnote>
  <w:footnote w:id="147">
    <w:p w14:paraId="691E5BAB" w14:textId="0CEC3E95" w:rsidR="00D14EBE" w:rsidRDefault="00D14EBE" w:rsidP="007D4C10">
      <w:pPr>
        <w:pStyle w:val="Tekstprzypisudolnego"/>
        <w:spacing w:before="0" w:after="0"/>
      </w:pPr>
      <w:r>
        <w:rPr>
          <w:rStyle w:val="Odwoanieprzypisudolnego"/>
        </w:rPr>
        <w:footnoteRef/>
      </w:r>
      <w:r>
        <w:t xml:space="preserve"> </w:t>
      </w:r>
      <w:r>
        <w:tab/>
      </w:r>
      <w:r w:rsidR="00760CCA">
        <w:t>Institute for Security &amp; Development Policy</w:t>
      </w:r>
      <w:r w:rsidR="00EA76F4">
        <w:t>.</w:t>
      </w:r>
      <w:r w:rsidR="00760CCA">
        <w:t xml:space="preserve"> Made in China 2025</w:t>
      </w:r>
      <w:r w:rsidR="00587204">
        <w:t xml:space="preserve">. </w:t>
      </w:r>
      <w:r w:rsidR="000860D9">
        <w:t xml:space="preserve">Available at: </w:t>
      </w:r>
      <w:hyperlink r:id="rId101" w:history="1">
        <w:r w:rsidRPr="00456D3B">
          <w:rPr>
            <w:rStyle w:val="Hipercze"/>
            <w:sz w:val="16"/>
          </w:rPr>
          <w:t>https://isdp.eu/content/uploads/2018/06/Made-in-China-Backgrounder.pdf</w:t>
        </w:r>
      </w:hyperlink>
      <w:r>
        <w:t xml:space="preserve"> </w:t>
      </w:r>
    </w:p>
  </w:footnote>
  <w:footnote w:id="148">
    <w:p w14:paraId="271D32BA" w14:textId="3D2320C1" w:rsidR="00C35D6C" w:rsidRDefault="00C35D6C" w:rsidP="000A2E03">
      <w:pPr>
        <w:pStyle w:val="Tekstprzypisudolnego"/>
      </w:pPr>
      <w:r>
        <w:rPr>
          <w:rStyle w:val="Odwoanieprzypisudolnego"/>
        </w:rPr>
        <w:footnoteRef/>
      </w:r>
      <w:r>
        <w:t xml:space="preserve"> </w:t>
      </w:r>
      <w:r>
        <w:tab/>
      </w:r>
      <w:r w:rsidR="00FF769B">
        <w:t>PugatchConsil</w:t>
      </w:r>
      <w:r w:rsidR="00EA76F4">
        <w:t>i</w:t>
      </w:r>
      <w:r w:rsidR="00FF769B">
        <w:t xml:space="preserve">um </w:t>
      </w:r>
      <w:r w:rsidR="004F5430">
        <w:t>(2016</w:t>
      </w:r>
      <w:r w:rsidR="004B2AE2">
        <w:t>)</w:t>
      </w:r>
      <w:r w:rsidR="00BD4C5B">
        <w:t xml:space="preserve"> </w:t>
      </w:r>
      <w:r w:rsidR="00946652">
        <w:t>Separating Fact from Fiction – How Localization Barriers Fail Where Positive Non-discriminatory Incentives Succeed</w:t>
      </w:r>
      <w:r w:rsidR="00C04DB6">
        <w:t xml:space="preserve">. </w:t>
      </w:r>
      <w:r w:rsidR="000860D9">
        <w:t xml:space="preserve">Available at: </w:t>
      </w:r>
      <w:hyperlink r:id="rId102" w:history="1">
        <w:r w:rsidR="00D14EBE" w:rsidRPr="00456D3B">
          <w:rPr>
            <w:rStyle w:val="Hipercze"/>
            <w:sz w:val="16"/>
          </w:rPr>
          <w:t>https://www.pugatch-consilium.com/reports/Localization%20Paper_US_FINAL.pdf</w:t>
        </w:r>
      </w:hyperlink>
      <w:r w:rsidR="00D14EBE">
        <w:t xml:space="preserve"> </w:t>
      </w:r>
    </w:p>
  </w:footnote>
  <w:footnote w:id="149">
    <w:p w14:paraId="39F0BD96" w14:textId="7CF825FD" w:rsidR="00451B45" w:rsidRDefault="00451B45" w:rsidP="000A2E03">
      <w:pPr>
        <w:pStyle w:val="Tekstprzypisudolnego"/>
      </w:pPr>
      <w:r>
        <w:rPr>
          <w:rStyle w:val="Odwoanieprzypisudolnego"/>
        </w:rPr>
        <w:footnoteRef/>
      </w:r>
      <w:r>
        <w:t xml:space="preserve"> </w:t>
      </w:r>
      <w:r>
        <w:tab/>
      </w:r>
      <w:r w:rsidR="009A16F3">
        <w:t xml:space="preserve">ITIF </w:t>
      </w:r>
      <w:r w:rsidR="004F5430">
        <w:t>(2019)</w:t>
      </w:r>
      <w:r w:rsidR="009A16F3">
        <w:t xml:space="preserve"> </w:t>
      </w:r>
      <w:r w:rsidR="001A046C" w:rsidRPr="001A046C">
        <w:t>China’s Biopharmaceutical Strategy: Challenge or Complement to U.S. Industry Competitiveness?</w:t>
      </w:r>
      <w:r w:rsidR="00D31ACF">
        <w:t xml:space="preserve"> </w:t>
      </w:r>
      <w:r w:rsidR="000860D9">
        <w:t xml:space="preserve">Available at: </w:t>
      </w:r>
      <w:hyperlink r:id="rId103" w:history="1">
        <w:r w:rsidRPr="00456D3B">
          <w:rPr>
            <w:rStyle w:val="Hipercze"/>
            <w:sz w:val="16"/>
          </w:rPr>
          <w:t>https://itif.org/publications/2019/08/12/chinas-biopharmaceutical-strategy-challenge-or-complement-us-industry</w:t>
        </w:r>
      </w:hyperlink>
      <w:r>
        <w:t xml:space="preserve"> </w:t>
      </w:r>
    </w:p>
  </w:footnote>
  <w:footnote w:id="150">
    <w:p w14:paraId="4F9C1000" w14:textId="77777777" w:rsidR="00123BBC" w:rsidRDefault="00123BBC" w:rsidP="00E57AF3">
      <w:pPr>
        <w:pStyle w:val="Tekstprzypisudolnego"/>
      </w:pPr>
      <w:r>
        <w:rPr>
          <w:rStyle w:val="Odwoanieprzypisudolnego"/>
        </w:rPr>
        <w:footnoteRef/>
      </w:r>
      <w:r>
        <w:t xml:space="preserve"> </w:t>
      </w:r>
      <w:r>
        <w:tab/>
        <w:t xml:space="preserve">EFPIA (2020) </w:t>
      </w:r>
      <w:r w:rsidRPr="00A96C99">
        <w:t>COVID-19 Key Messages regarding International Trade</w:t>
      </w:r>
      <w:r>
        <w:t xml:space="preserve">. Available at: </w:t>
      </w:r>
      <w:hyperlink r:id="rId104" w:history="1">
        <w:r w:rsidRPr="00A160AA">
          <w:rPr>
            <w:rStyle w:val="Hipercze"/>
            <w:sz w:val="16"/>
          </w:rPr>
          <w:t>https://www.efpia.eu/media/554474/covid-19-and-international-trade.pdf</w:t>
        </w:r>
      </w:hyperlink>
      <w:r>
        <w:t xml:space="preserve"> [Accessed July 2022]</w:t>
      </w:r>
    </w:p>
  </w:footnote>
  <w:footnote w:id="151">
    <w:p w14:paraId="311E9FE0" w14:textId="77777777" w:rsidR="00123BBC" w:rsidRDefault="00123BBC" w:rsidP="00E57AF3">
      <w:pPr>
        <w:pStyle w:val="Tekstprzypisudolnego"/>
      </w:pPr>
      <w:r>
        <w:rPr>
          <w:rStyle w:val="Odwoanieprzypisudolnego"/>
        </w:rPr>
        <w:footnoteRef/>
      </w:r>
      <w:r>
        <w:t xml:space="preserve"> </w:t>
      </w:r>
      <w:r>
        <w:tab/>
        <w:t>European Commission (2022) Press release: “</w:t>
      </w:r>
      <w:r w:rsidRPr="005802DC">
        <w:t>EU wins WTO case against Turkey's discriminatory practices on pharmaceuticals</w:t>
      </w:r>
      <w:r>
        <w:t xml:space="preserve">”. Available at: </w:t>
      </w:r>
      <w:hyperlink r:id="rId105" w:history="1">
        <w:r w:rsidRPr="00A160AA">
          <w:rPr>
            <w:rStyle w:val="Hipercze"/>
            <w:sz w:val="16"/>
          </w:rPr>
          <w:t>https://ec.europa.eu/commission/presscorner/detail/en/IP_22_4670</w:t>
        </w:r>
      </w:hyperlink>
      <w:r>
        <w:t xml:space="preserve"> [Accessed July 2022]</w:t>
      </w:r>
    </w:p>
  </w:footnote>
  <w:footnote w:id="152">
    <w:p w14:paraId="335B6AE4" w14:textId="044F5DE9" w:rsidR="004B2387" w:rsidRDefault="004B2387" w:rsidP="00E57AF3">
      <w:pPr>
        <w:pStyle w:val="Tekstprzypisudolnego"/>
      </w:pPr>
      <w:r>
        <w:rPr>
          <w:rStyle w:val="Odwoanieprzypisudolnego"/>
        </w:rPr>
        <w:footnoteRef/>
      </w:r>
      <w:r>
        <w:t xml:space="preserve"> </w:t>
      </w:r>
      <w:r>
        <w:tab/>
      </w:r>
      <w:r w:rsidR="0083608A">
        <w:t xml:space="preserve">The </w:t>
      </w:r>
      <w:r>
        <w:t>National Law Review</w:t>
      </w:r>
      <w:r w:rsidR="004F5430">
        <w:t>,</w:t>
      </w:r>
      <w:r w:rsidR="00BD4C5B">
        <w:t xml:space="preserve"> </w:t>
      </w:r>
      <w:r w:rsidR="0083608A" w:rsidRPr="0083608A">
        <w:t>“Buy American” Update: Essential Medicines May Continue to Come From Abroad (For Now)</w:t>
      </w:r>
      <w:r w:rsidR="0083608A">
        <w:t xml:space="preserve">. </w:t>
      </w:r>
      <w:r w:rsidR="000860D9">
        <w:t xml:space="preserve">Available at: </w:t>
      </w:r>
      <w:hyperlink r:id="rId106" w:history="1">
        <w:r w:rsidR="003F3349" w:rsidRPr="00EA76F4">
          <w:rPr>
            <w:rStyle w:val="Hipercze"/>
            <w:sz w:val="16"/>
          </w:rPr>
          <w:t>https://www.natlawreview.com/article/buy-american-update-essential-medicines-may-continue-to-come-abroad-now</w:t>
        </w:r>
      </w:hyperlink>
    </w:p>
  </w:footnote>
  <w:footnote w:id="153">
    <w:p w14:paraId="5D21D37B" w14:textId="4C663D6F" w:rsidR="00F0183D" w:rsidRPr="00552375" w:rsidRDefault="00F0183D" w:rsidP="000A2E03">
      <w:pPr>
        <w:pStyle w:val="Tekstprzypisudolnego"/>
      </w:pPr>
      <w:r>
        <w:rPr>
          <w:rStyle w:val="Odwoanieprzypisudolnego"/>
        </w:rPr>
        <w:footnoteRef/>
      </w:r>
      <w:r w:rsidRPr="00B20E1F">
        <w:t xml:space="preserve"> </w:t>
      </w:r>
      <w:r w:rsidRPr="00B20E1F">
        <w:tab/>
      </w:r>
      <w:r w:rsidR="00DF743D" w:rsidRPr="00B20E1F">
        <w:t>Perspectives on trade</w:t>
      </w:r>
      <w:r w:rsidR="00EA76F4">
        <w:t>.</w:t>
      </w:r>
      <w:r w:rsidR="00D43E06" w:rsidRPr="00D43E06">
        <w:t xml:space="preserve"> </w:t>
      </w:r>
      <w:r w:rsidR="00D43E06" w:rsidRPr="000A2E03">
        <w:t xml:space="preserve">Trump’s Buy American Order for Medicines. </w:t>
      </w:r>
      <w:r w:rsidR="000860D9">
        <w:t xml:space="preserve">Available at: </w:t>
      </w:r>
      <w:hyperlink r:id="rId107" w:history="1">
        <w:r w:rsidR="00D43E06" w:rsidRPr="00552375">
          <w:rPr>
            <w:rStyle w:val="Hipercze"/>
            <w:sz w:val="16"/>
          </w:rPr>
          <w:t>https://trade.djaghe.com/?p=6547</w:t>
        </w:r>
      </w:hyperlink>
      <w:r w:rsidRPr="00552375">
        <w:t xml:space="preserve"> </w:t>
      </w:r>
    </w:p>
  </w:footnote>
  <w:footnote w:id="154">
    <w:p w14:paraId="6818A3BA" w14:textId="4D91A42C" w:rsidR="0039251B" w:rsidRDefault="0039251B" w:rsidP="000A2E03">
      <w:pPr>
        <w:pStyle w:val="Tekstprzypisudolnego"/>
      </w:pPr>
      <w:r>
        <w:rPr>
          <w:rStyle w:val="Odwoanieprzypisudolnego"/>
        </w:rPr>
        <w:footnoteRef/>
      </w:r>
      <w:r>
        <w:t xml:space="preserve"> </w:t>
      </w:r>
      <w:r>
        <w:tab/>
      </w:r>
      <w:r w:rsidR="00B20E1F">
        <w:t>Policy Department for External Relations Directorate General for External Policies of the Union</w:t>
      </w:r>
      <w:r w:rsidR="00EA76F4">
        <w:t>.</w:t>
      </w:r>
      <w:r w:rsidR="00B20E1F">
        <w:t xml:space="preserve"> </w:t>
      </w:r>
      <w:r w:rsidR="00552375">
        <w:t>Post Covid-19 value chains:</w:t>
      </w:r>
      <w:r w:rsidR="003D41E7">
        <w:t xml:space="preserve"> </w:t>
      </w:r>
      <w:r w:rsidR="00552375">
        <w:t>options for reshoring production</w:t>
      </w:r>
      <w:r w:rsidR="003D41E7">
        <w:t xml:space="preserve"> </w:t>
      </w:r>
      <w:r w:rsidR="00552375">
        <w:t>back to Europe</w:t>
      </w:r>
      <w:r w:rsidR="003D41E7">
        <w:t xml:space="preserve"> </w:t>
      </w:r>
      <w:r w:rsidR="00552375">
        <w:t>in a globalised economy</w:t>
      </w:r>
      <w:r w:rsidR="003D41E7">
        <w:t xml:space="preserve">. </w:t>
      </w:r>
      <w:r w:rsidR="000860D9">
        <w:t xml:space="preserve">Available at: </w:t>
      </w:r>
      <w:hyperlink r:id="rId108" w:history="1">
        <w:r w:rsidR="003D41E7" w:rsidRPr="003D41E7">
          <w:rPr>
            <w:rStyle w:val="Hipercze"/>
            <w:sz w:val="16"/>
          </w:rPr>
          <w:t>https://www.europarl.europa.eu/RegData/etudes/STUD/2021/653626/EXPO_STU(2021)653626_EN.pdf</w:t>
        </w:r>
      </w:hyperlink>
      <w:r>
        <w:t xml:space="preserve"> </w:t>
      </w:r>
    </w:p>
  </w:footnote>
  <w:footnote w:id="155">
    <w:p w14:paraId="15D5FF46" w14:textId="4139C0FB" w:rsidR="00AE065B" w:rsidRDefault="00AE065B" w:rsidP="000A2E03">
      <w:pPr>
        <w:pStyle w:val="Tekstprzypisudolnego"/>
      </w:pPr>
      <w:r>
        <w:rPr>
          <w:rStyle w:val="Odwoanieprzypisudolnego"/>
        </w:rPr>
        <w:footnoteRef/>
      </w:r>
      <w:r>
        <w:t xml:space="preserve"> </w:t>
      </w:r>
      <w:r>
        <w:tab/>
      </w:r>
      <w:r w:rsidR="00345A3E">
        <w:t>Pharmaceutical</w:t>
      </w:r>
      <w:r w:rsidR="00CE3F38">
        <w:t xml:space="preserve"> </w:t>
      </w:r>
      <w:r w:rsidR="00A91EE8">
        <w:t>Technology</w:t>
      </w:r>
      <w:r w:rsidR="00EA76F4">
        <w:t>.</w:t>
      </w:r>
      <w:r w:rsidR="009E5A3B">
        <w:t xml:space="preserve"> </w:t>
      </w:r>
      <w:r w:rsidR="009E5A3B" w:rsidRPr="009E5A3B">
        <w:t>Continuous manufacturing builds on hype but adoption remains gradual</w:t>
      </w:r>
      <w:r w:rsidR="009E5A3B">
        <w:t xml:space="preserve">. </w:t>
      </w:r>
      <w:r w:rsidR="000860D9">
        <w:t xml:space="preserve">Available at: </w:t>
      </w:r>
      <w:hyperlink r:id="rId109" w:history="1">
        <w:r w:rsidR="009E5A3B" w:rsidRPr="009E5A3B">
          <w:rPr>
            <w:rStyle w:val="Hipercze"/>
            <w:sz w:val="16"/>
          </w:rPr>
          <w:t>https://www.pharmaceutical-technology.com/analysis/continuous-manufacturing-builds-on-hype-but-adoption-remains-gradual/</w:t>
        </w:r>
      </w:hyperlink>
      <w:r>
        <w:t xml:space="preserve"> </w:t>
      </w:r>
    </w:p>
  </w:footnote>
  <w:footnote w:id="156">
    <w:p w14:paraId="7AB9A5EB" w14:textId="7C398264" w:rsidR="00895EC1" w:rsidRDefault="00895EC1" w:rsidP="000A2E03">
      <w:pPr>
        <w:pStyle w:val="Tekstprzypisudolnego"/>
      </w:pPr>
      <w:r>
        <w:rPr>
          <w:rStyle w:val="Odwoanieprzypisudolnego"/>
        </w:rPr>
        <w:footnoteRef/>
      </w:r>
      <w:r>
        <w:t xml:space="preserve"> </w:t>
      </w:r>
      <w:r>
        <w:tab/>
      </w:r>
      <w:r w:rsidR="001D3A34">
        <w:t>FDA</w:t>
      </w:r>
      <w:r w:rsidR="00EA76F4">
        <w:t>.</w:t>
      </w:r>
      <w:r w:rsidR="00A77E7C">
        <w:t xml:space="preserve"> </w:t>
      </w:r>
      <w:r w:rsidR="00A77E7C" w:rsidRPr="00A77E7C">
        <w:t>Modernizing the Way Drugs Are Made: A Transition to Continuous Manufacturing</w:t>
      </w:r>
      <w:r w:rsidR="00A77E7C">
        <w:t xml:space="preserve">. </w:t>
      </w:r>
      <w:r w:rsidR="000860D9">
        <w:t xml:space="preserve">Available at: </w:t>
      </w:r>
      <w:hyperlink r:id="rId110" w:history="1">
        <w:r w:rsidR="00A77E7C" w:rsidRPr="00A77E7C">
          <w:rPr>
            <w:rStyle w:val="Hipercze"/>
            <w:sz w:val="16"/>
          </w:rPr>
          <w:t>https://www.fda.gov/drugs/news-events-human-drugs/modernizing-way-drugs-are-made-transition-continuous-manufacturing</w:t>
        </w:r>
      </w:hyperlink>
      <w:r>
        <w:t xml:space="preserve"> </w:t>
      </w:r>
    </w:p>
  </w:footnote>
  <w:footnote w:id="157">
    <w:p w14:paraId="550F3245" w14:textId="454C28D2" w:rsidR="00592C18" w:rsidRDefault="00592C18" w:rsidP="000A2E03">
      <w:pPr>
        <w:pStyle w:val="Tekstprzypisudolnego"/>
      </w:pPr>
      <w:r>
        <w:rPr>
          <w:rStyle w:val="Odwoanieprzypisudolnego"/>
        </w:rPr>
        <w:footnoteRef/>
      </w:r>
      <w:r>
        <w:t xml:space="preserve"> </w:t>
      </w:r>
      <w:r>
        <w:tab/>
      </w:r>
      <w:r w:rsidR="00596762">
        <w:t xml:space="preserve">World Economic Forum </w:t>
      </w:r>
      <w:r w:rsidR="004F5430">
        <w:t>(2021)</w:t>
      </w:r>
      <w:r w:rsidR="00596762">
        <w:t xml:space="preserve"> Top 10 Emerg</w:t>
      </w:r>
      <w:r w:rsidR="00634308">
        <w:t xml:space="preserve">ing Technologies of 2021. </w:t>
      </w:r>
      <w:r w:rsidR="000860D9">
        <w:t xml:space="preserve">Available at: </w:t>
      </w:r>
      <w:hyperlink r:id="rId111" w:history="1">
        <w:r w:rsidRPr="009C6F03">
          <w:rPr>
            <w:rStyle w:val="Hipercze"/>
            <w:sz w:val="16"/>
          </w:rPr>
          <w:t>https://www3.weforum.org/docs/WEF_Top_10_Emerging_Technologies_of_2021.pdf</w:t>
        </w:r>
      </w:hyperlink>
      <w:r>
        <w:t xml:space="preserve"> </w:t>
      </w:r>
    </w:p>
  </w:footnote>
  <w:footnote w:id="158">
    <w:p w14:paraId="257E8219" w14:textId="31CF3727" w:rsidR="007F3E93" w:rsidRDefault="007F3E93" w:rsidP="000A2E03">
      <w:pPr>
        <w:pStyle w:val="Tekstprzypisudolnego"/>
      </w:pPr>
      <w:r>
        <w:rPr>
          <w:rStyle w:val="Odwoanieprzypisudolnego"/>
        </w:rPr>
        <w:footnoteRef/>
      </w:r>
      <w:r>
        <w:t xml:space="preserve"> </w:t>
      </w:r>
      <w:r>
        <w:tab/>
      </w:r>
      <w:r w:rsidR="00256F77">
        <w:t>Hea</w:t>
      </w:r>
      <w:r w:rsidR="0070378C">
        <w:t>lthcare Industry BW,</w:t>
      </w:r>
      <w:r w:rsidR="00DA0AD3" w:rsidRPr="00DA0AD3">
        <w:t xml:space="preserve"> Industry 4.0: Pfizer opens continuous manufacturing plant in Freiburg</w:t>
      </w:r>
      <w:r w:rsidR="00DA0AD3">
        <w:t>.</w:t>
      </w:r>
      <w:r w:rsidR="00BD4C5B">
        <w:t xml:space="preserve"> </w:t>
      </w:r>
      <w:r w:rsidR="000860D9">
        <w:t xml:space="preserve">Available at: </w:t>
      </w:r>
      <w:hyperlink r:id="rId112" w:history="1">
        <w:r w:rsidRPr="001177C8">
          <w:rPr>
            <w:rStyle w:val="Hipercze"/>
            <w:sz w:val="16"/>
          </w:rPr>
          <w:t>https://www.gesundheitsindustrie-bw.de/en/article/news/industry-40-pfizer-opens-continuous-manufacturing-plant-in-freiburg</w:t>
        </w:r>
      </w:hyperlink>
      <w:r>
        <w:t xml:space="preserve"> </w:t>
      </w:r>
    </w:p>
  </w:footnote>
  <w:footnote w:id="159">
    <w:p w14:paraId="3B3D8943" w14:textId="5F142605" w:rsidR="006017AD" w:rsidRDefault="006017AD" w:rsidP="000A2E03">
      <w:pPr>
        <w:pStyle w:val="Tekstprzypisudolnego"/>
      </w:pPr>
      <w:r>
        <w:rPr>
          <w:rStyle w:val="Odwoanieprzypisudolnego"/>
        </w:rPr>
        <w:footnoteRef/>
      </w:r>
      <w:r>
        <w:t xml:space="preserve"> </w:t>
      </w:r>
      <w:r>
        <w:tab/>
        <w:t>Information from interview programme with Pfizer representative, June 2022.</w:t>
      </w:r>
    </w:p>
  </w:footnote>
  <w:footnote w:id="160">
    <w:p w14:paraId="4D895B28" w14:textId="2BBADA5C" w:rsidR="00014F1D" w:rsidRDefault="00014F1D">
      <w:pPr>
        <w:pStyle w:val="Tekstprzypisudolnego"/>
      </w:pPr>
      <w:r>
        <w:rPr>
          <w:rStyle w:val="Odwoanieprzypisudolnego"/>
        </w:rPr>
        <w:footnoteRef/>
      </w:r>
      <w:r>
        <w:t xml:space="preserve"> </w:t>
      </w:r>
      <w:r>
        <w:tab/>
      </w:r>
      <w:r w:rsidR="00F211D2">
        <w:t>Deloitte</w:t>
      </w:r>
      <w:r w:rsidR="00A32FC3">
        <w:t xml:space="preserve"> </w:t>
      </w:r>
      <w:r w:rsidR="00F01759">
        <w:t>(2020)</w:t>
      </w:r>
      <w:r w:rsidR="00F211D2">
        <w:t xml:space="preserve"> </w:t>
      </w:r>
      <w:r w:rsidR="00A01DB4">
        <w:t>Cell and gene therapies</w:t>
      </w:r>
      <w:r w:rsidR="00EA76F4">
        <w:t>:</w:t>
      </w:r>
      <w:r w:rsidR="00A01DB4">
        <w:t xml:space="preserve"> Delivering scientific innovation requires operating model innovation</w:t>
      </w:r>
      <w:r w:rsidR="00A32FC3">
        <w:t xml:space="preserve">. </w:t>
      </w:r>
      <w:r w:rsidR="000860D9">
        <w:t xml:space="preserve">Available at: </w:t>
      </w:r>
      <w:hyperlink r:id="rId113" w:history="1">
        <w:r w:rsidRPr="00EC39DC">
          <w:rPr>
            <w:rStyle w:val="Hipercze"/>
            <w:sz w:val="16"/>
          </w:rPr>
          <w:t>https://www2.deloitte.com/us/en/insights/industry/life-sciences/operating-models-for-gene-cell-therapy-manufacturing-process.html</w:t>
        </w:r>
      </w:hyperlink>
      <w:r>
        <w:t xml:space="preserve"> [Accessed July 2022]</w:t>
      </w:r>
    </w:p>
  </w:footnote>
  <w:footnote w:id="161">
    <w:p w14:paraId="773A909F" w14:textId="6F901499" w:rsidR="000B3304" w:rsidRDefault="000B3304">
      <w:pPr>
        <w:pStyle w:val="Tekstprzypisudolnego"/>
      </w:pPr>
      <w:r>
        <w:rPr>
          <w:rStyle w:val="Odwoanieprzypisudolnego"/>
        </w:rPr>
        <w:footnoteRef/>
      </w:r>
      <w:r>
        <w:t xml:space="preserve"> </w:t>
      </w:r>
      <w:r>
        <w:tab/>
      </w:r>
      <w:r w:rsidR="00DF180F">
        <w:t>Cell &amp; Gene Therapy Insights</w:t>
      </w:r>
      <w:r w:rsidR="00A32FC3">
        <w:t xml:space="preserve"> (2019</w:t>
      </w:r>
      <w:r w:rsidR="004B2AE2">
        <w:t>)</w:t>
      </w:r>
      <w:r w:rsidR="004330E6">
        <w:t xml:space="preserve"> </w:t>
      </w:r>
      <w:r w:rsidR="00824417" w:rsidRPr="00824417">
        <w:t>Managing starting material stability to maximize manufacturing flexibility and downstream efficiency</w:t>
      </w:r>
      <w:r w:rsidR="00824417">
        <w:t xml:space="preserve">. </w:t>
      </w:r>
      <w:r w:rsidR="000860D9">
        <w:t xml:space="preserve">Available at: </w:t>
      </w:r>
      <w:hyperlink r:id="rId114" w:history="1">
        <w:r w:rsidRPr="00EC39DC">
          <w:rPr>
            <w:rStyle w:val="Hipercze"/>
            <w:sz w:val="16"/>
          </w:rPr>
          <w:t>https://insights.bio/immuno-oncology-insights/journal/article/209/managing-starting-material-stability-to-maximize-manufacturing-flexibility-and-downstream-efficiency</w:t>
        </w:r>
      </w:hyperlink>
      <w:r>
        <w:t xml:space="preserve"> [Accessed July 2022]</w:t>
      </w:r>
    </w:p>
  </w:footnote>
  <w:footnote w:id="162">
    <w:p w14:paraId="24331B61" w14:textId="4779A35D" w:rsidR="00F1244F" w:rsidRDefault="00F1244F">
      <w:pPr>
        <w:pStyle w:val="Tekstprzypisudolnego"/>
      </w:pPr>
      <w:r>
        <w:rPr>
          <w:rStyle w:val="Odwoanieprzypisudolnego"/>
        </w:rPr>
        <w:footnoteRef/>
      </w:r>
      <w:r>
        <w:t xml:space="preserve"> </w:t>
      </w:r>
      <w:r>
        <w:tab/>
      </w:r>
      <w:r w:rsidR="00141DBC">
        <w:t>AreaDevelopment</w:t>
      </w:r>
      <w:r w:rsidR="00432977">
        <w:t xml:space="preserve"> </w:t>
      </w:r>
      <w:r w:rsidR="00A32FC3">
        <w:t>(2021</w:t>
      </w:r>
      <w:r w:rsidR="004B2AE2">
        <w:t>)</w:t>
      </w:r>
      <w:r w:rsidR="00432977">
        <w:t xml:space="preserve"> </w:t>
      </w:r>
      <w:r w:rsidR="00432977" w:rsidRPr="00432977">
        <w:t>Location Factors for Cell and Gene Therapy Companies</w:t>
      </w:r>
      <w:r w:rsidR="00432977">
        <w:t xml:space="preserve">. </w:t>
      </w:r>
      <w:r w:rsidR="000860D9">
        <w:t xml:space="preserve">Available at: </w:t>
      </w:r>
      <w:hyperlink r:id="rId115" w:history="1">
        <w:r w:rsidRPr="00EC39DC">
          <w:rPr>
            <w:rStyle w:val="Hipercze"/>
            <w:sz w:val="16"/>
          </w:rPr>
          <w:t>https://www.areadevelopment.com/Biotech/Q4-2021/location-factors-for-cell-and-gene-therapy-companies.shtml</w:t>
        </w:r>
      </w:hyperlink>
      <w:r>
        <w:t xml:space="preserve"> [Accessed July 2022]</w:t>
      </w:r>
    </w:p>
  </w:footnote>
  <w:footnote w:id="163">
    <w:p w14:paraId="297AE9C5" w14:textId="68D22AA7" w:rsidR="00115160" w:rsidRDefault="00115160">
      <w:pPr>
        <w:pStyle w:val="Tekstprzypisudolnego"/>
      </w:pPr>
      <w:r>
        <w:rPr>
          <w:rStyle w:val="Odwoanieprzypisudolnego"/>
        </w:rPr>
        <w:footnoteRef/>
      </w:r>
      <w:r>
        <w:t xml:space="preserve"> </w:t>
      </w:r>
      <w:r>
        <w:tab/>
      </w:r>
      <w:r w:rsidR="00E661D6">
        <w:t>McKinsey &amp; Company</w:t>
      </w:r>
      <w:r w:rsidR="00A32FC3">
        <w:t xml:space="preserve"> </w:t>
      </w:r>
      <w:r w:rsidR="00F01759">
        <w:t>(2020)</w:t>
      </w:r>
      <w:r w:rsidR="007D55A2" w:rsidRPr="007D55A2">
        <w:t xml:space="preserve"> COVID-19 and cell and gene therapy: How to keep innovation on track</w:t>
      </w:r>
      <w:r w:rsidR="00982701">
        <w:t xml:space="preserve">. </w:t>
      </w:r>
      <w:r w:rsidR="000860D9">
        <w:t xml:space="preserve">Available at: </w:t>
      </w:r>
      <w:hyperlink r:id="rId116" w:history="1">
        <w:r w:rsidRPr="00EC39DC">
          <w:rPr>
            <w:rStyle w:val="Hipercze"/>
            <w:sz w:val="16"/>
          </w:rPr>
          <w:t>https://www.mckinsey.com/industries/life-sciences/our-insights/covid-19-and-cell-and-gene-therapy-how-to-keep-innovat</w:t>
        </w:r>
        <w:r w:rsidRPr="00291FC3">
          <w:rPr>
            <w:rStyle w:val="Hipercze"/>
            <w:sz w:val="16"/>
          </w:rPr>
          <w:t>ion-on-track</w:t>
        </w:r>
      </w:hyperlink>
      <w:r>
        <w:t xml:space="preserve"> [Accessed July 2022]</w:t>
      </w:r>
    </w:p>
  </w:footnote>
  <w:footnote w:id="164">
    <w:p w14:paraId="2D40F838" w14:textId="6591AB17" w:rsidR="00270E1D" w:rsidRDefault="00270E1D" w:rsidP="00270E1D">
      <w:pPr>
        <w:pStyle w:val="Tekstprzypisudolnego"/>
      </w:pPr>
      <w:r>
        <w:rPr>
          <w:rStyle w:val="Odwoanieprzypisudolnego"/>
        </w:rPr>
        <w:footnoteRef/>
      </w:r>
      <w:r>
        <w:t xml:space="preserve"> </w:t>
      </w:r>
      <w:r>
        <w:tab/>
      </w:r>
      <w:r w:rsidRPr="006C1404">
        <w:t xml:space="preserve">Clarke, D. &amp; Smith, D. (2019) Managing starting material stability to maximize manufacturing flexibility and downstream efficiency. </w:t>
      </w:r>
      <w:r w:rsidRPr="00A04BB9">
        <w:rPr>
          <w:i/>
        </w:rPr>
        <w:t>Cell &amp; Gene Therapy Insights</w:t>
      </w:r>
      <w:r>
        <w:rPr>
          <w:i/>
        </w:rPr>
        <w:t>,</w:t>
      </w:r>
      <w:r w:rsidRPr="006C1404">
        <w:t xml:space="preserve"> 5(2)</w:t>
      </w:r>
      <w:r>
        <w:t>:</w:t>
      </w:r>
      <w:r w:rsidR="00EA76F4">
        <w:t xml:space="preserve"> </w:t>
      </w:r>
      <w:r w:rsidRPr="006C1404">
        <w:t>303</w:t>
      </w:r>
      <w:r w:rsidR="00EA76F4">
        <w:rPr>
          <w:rFonts w:cs="Arial"/>
        </w:rPr>
        <w:t>–</w:t>
      </w:r>
      <w:r w:rsidRPr="006C1404">
        <w:t>314</w:t>
      </w:r>
      <w:r>
        <w:t xml:space="preserve">. </w:t>
      </w:r>
      <w:r w:rsidR="00D34428">
        <w:t>Available at:</w:t>
      </w:r>
      <w:r>
        <w:t xml:space="preserve"> doi.org/</w:t>
      </w:r>
      <w:r w:rsidRPr="006C1404">
        <w:t>10.18609/cgti.2019.033</w:t>
      </w:r>
    </w:p>
  </w:footnote>
  <w:footnote w:id="165">
    <w:p w14:paraId="2BAA0A97" w14:textId="0752A92B" w:rsidR="002972B5" w:rsidRDefault="002972B5">
      <w:pPr>
        <w:pStyle w:val="Tekstprzypisudolnego"/>
      </w:pPr>
      <w:r>
        <w:rPr>
          <w:rStyle w:val="Odwoanieprzypisudolnego"/>
        </w:rPr>
        <w:footnoteRef/>
      </w:r>
      <w:r>
        <w:t xml:space="preserve"> </w:t>
      </w:r>
      <w:r>
        <w:tab/>
      </w:r>
      <w:r w:rsidR="0052346C">
        <w:t>McKinsey &amp; Company</w:t>
      </w:r>
      <w:r w:rsidR="00EE29B2">
        <w:t xml:space="preserve"> (2021</w:t>
      </w:r>
      <w:r w:rsidR="004B2AE2">
        <w:t>)</w:t>
      </w:r>
      <w:r w:rsidR="0052346C">
        <w:t xml:space="preserve"> </w:t>
      </w:r>
      <w:r w:rsidR="00C87F84" w:rsidRPr="00C87F84">
        <w:t>A call to action: Opportunities and challenges for CGTs in Europe</w:t>
      </w:r>
      <w:r w:rsidR="002D4746">
        <w:t xml:space="preserve">. </w:t>
      </w:r>
      <w:r w:rsidR="000860D9">
        <w:t xml:space="preserve">Available at: </w:t>
      </w:r>
      <w:hyperlink r:id="rId117" w:history="1">
        <w:r w:rsidRPr="00EC39DC">
          <w:rPr>
            <w:rStyle w:val="Hipercze"/>
            <w:sz w:val="16"/>
          </w:rPr>
          <w:t>https://www.mckinsey.com/industries/life-sciences/our-insights/a-call-to-action-opportunities-and-challenges-for-cgts-in-europe</w:t>
        </w:r>
      </w:hyperlink>
      <w:r>
        <w:t xml:space="preserve"> [Accessed July 2022]</w:t>
      </w:r>
    </w:p>
  </w:footnote>
  <w:footnote w:id="166">
    <w:p w14:paraId="380E36A0" w14:textId="0930903F" w:rsidR="00240C04" w:rsidRDefault="00240C04">
      <w:pPr>
        <w:pStyle w:val="Tekstprzypisudolnego"/>
      </w:pPr>
      <w:r>
        <w:rPr>
          <w:rStyle w:val="Odwoanieprzypisudolnego"/>
        </w:rPr>
        <w:footnoteRef/>
      </w:r>
      <w:r>
        <w:t xml:space="preserve"> </w:t>
      </w:r>
      <w:r>
        <w:tab/>
      </w:r>
      <w:r w:rsidR="002F02F5">
        <w:rPr>
          <w:rFonts w:ascii="Roboto" w:hAnsi="Roboto"/>
          <w:color w:val="000000"/>
          <w:shd w:val="clear" w:color="auto" w:fill="FFFFFF"/>
        </w:rPr>
        <w:t>The New Jersey Institute of Technology</w:t>
      </w:r>
      <w:r w:rsidR="00EE29B2">
        <w:rPr>
          <w:rFonts w:ascii="Roboto" w:hAnsi="Roboto"/>
          <w:color w:val="000000"/>
          <w:shd w:val="clear" w:color="auto" w:fill="FFFFFF"/>
        </w:rPr>
        <w:t>,</w:t>
      </w:r>
      <w:r w:rsidR="00A648FC">
        <w:rPr>
          <w:rFonts w:ascii="Roboto" w:hAnsi="Roboto"/>
          <w:color w:val="000000"/>
          <w:shd w:val="clear" w:color="auto" w:fill="FFFFFF"/>
        </w:rPr>
        <w:t xml:space="preserve"> NJIT to start programs in cell and gene therapy. </w:t>
      </w:r>
      <w:r w:rsidR="000860D9">
        <w:rPr>
          <w:rFonts w:ascii="Roboto" w:hAnsi="Roboto"/>
          <w:color w:val="000000"/>
          <w:shd w:val="clear" w:color="auto" w:fill="FFFFFF"/>
        </w:rPr>
        <w:t xml:space="preserve">Available at: </w:t>
      </w:r>
      <w:hyperlink r:id="rId118" w:history="1">
        <w:r w:rsidR="0096355D" w:rsidRPr="0096355D">
          <w:rPr>
            <w:rStyle w:val="Hipercze"/>
            <w:sz w:val="16"/>
          </w:rPr>
          <w:t>https://www.choosenj.com/news/njit-to-start-programs-in-cell-and-gene-therapy/</w:t>
        </w:r>
      </w:hyperlink>
      <w:r w:rsidR="00FA0599">
        <w:t xml:space="preserve"> [Accessed July 2022]</w:t>
      </w:r>
    </w:p>
  </w:footnote>
  <w:footnote w:id="167">
    <w:p w14:paraId="3B00173E" w14:textId="3B1A5A8A" w:rsidR="00825211" w:rsidRDefault="00825211">
      <w:pPr>
        <w:pStyle w:val="Tekstprzypisudolnego"/>
      </w:pPr>
      <w:r>
        <w:rPr>
          <w:rStyle w:val="Odwoanieprzypisudolnego"/>
        </w:rPr>
        <w:footnoteRef/>
      </w:r>
      <w:r>
        <w:t xml:space="preserve"> </w:t>
      </w:r>
      <w:r>
        <w:tab/>
      </w:r>
      <w:r w:rsidR="00D618CF">
        <w:t>National Institu</w:t>
      </w:r>
      <w:r w:rsidR="00787BB0">
        <w:t>te for Bioprocessing Research &amp;</w:t>
      </w:r>
      <w:r w:rsidR="00AF56EC">
        <w:t xml:space="preserve"> </w:t>
      </w:r>
      <w:r w:rsidR="00787BB0">
        <w:t>Training</w:t>
      </w:r>
      <w:r w:rsidR="0075017F">
        <w:t xml:space="preserve">. </w:t>
      </w:r>
      <w:r w:rsidR="000860D9">
        <w:t xml:space="preserve">Available at: </w:t>
      </w:r>
      <w:hyperlink r:id="rId119" w:history="1">
        <w:r w:rsidR="00EE29B2" w:rsidRPr="00811E13">
          <w:rPr>
            <w:rStyle w:val="Hipercze"/>
            <w:sz w:val="16"/>
          </w:rPr>
          <w:t>https://www.nibrt.ie/</w:t>
        </w:r>
      </w:hyperlink>
    </w:p>
  </w:footnote>
  <w:footnote w:id="168">
    <w:p w14:paraId="30D15B5C" w14:textId="6B75988D" w:rsidR="000F738F" w:rsidRDefault="000F738F">
      <w:pPr>
        <w:pStyle w:val="Tekstprzypisudolnego"/>
      </w:pPr>
      <w:r>
        <w:rPr>
          <w:rStyle w:val="Odwoanieprzypisudolnego"/>
        </w:rPr>
        <w:footnoteRef/>
      </w:r>
      <w:r>
        <w:t xml:space="preserve"> </w:t>
      </w:r>
      <w:r>
        <w:tab/>
      </w:r>
      <w:r w:rsidR="00636BE7" w:rsidRPr="00636BE7">
        <w:t xml:space="preserve">AreaDevelopment </w:t>
      </w:r>
      <w:r w:rsidR="00EE29B2">
        <w:t>(2021</w:t>
      </w:r>
      <w:r w:rsidR="004B2AE2">
        <w:t>)</w:t>
      </w:r>
      <w:r w:rsidR="00636BE7" w:rsidRPr="00636BE7">
        <w:t xml:space="preserve"> Location Factors for Cell and Gene Therapy Companies. </w:t>
      </w:r>
      <w:r w:rsidR="000860D9">
        <w:t xml:space="preserve">Available at: </w:t>
      </w:r>
      <w:hyperlink r:id="rId120" w:history="1">
        <w:r w:rsidRPr="00EC39DC">
          <w:rPr>
            <w:rStyle w:val="Hipercze"/>
            <w:sz w:val="16"/>
          </w:rPr>
          <w:t>https://www.areadevelopment.com/Biotech/Q4-2021/location-factors-for-cell-and-gene-therapy-companies.shtml</w:t>
        </w:r>
      </w:hyperlink>
      <w:r>
        <w:t xml:space="preserve"> [Accessed July 2022]</w:t>
      </w:r>
    </w:p>
  </w:footnote>
  <w:footnote w:id="169">
    <w:p w14:paraId="00ADE54F" w14:textId="043EAB55" w:rsidR="000640EB" w:rsidRDefault="000640EB">
      <w:pPr>
        <w:pStyle w:val="Tekstprzypisudolnego"/>
      </w:pPr>
      <w:r>
        <w:rPr>
          <w:rStyle w:val="Odwoanieprzypisudolnego"/>
        </w:rPr>
        <w:footnoteRef/>
      </w:r>
      <w:r>
        <w:t xml:space="preserve"> </w:t>
      </w:r>
      <w:r>
        <w:tab/>
      </w:r>
      <w:r w:rsidR="00156994">
        <w:t>UCB</w:t>
      </w:r>
      <w:r w:rsidR="00EE29B2">
        <w:t xml:space="preserve"> (2022</w:t>
      </w:r>
      <w:r w:rsidR="004B2AE2">
        <w:t>)</w:t>
      </w:r>
      <w:r w:rsidR="008F6F8E" w:rsidRPr="008F6F8E">
        <w:t xml:space="preserve"> UCB expands innovation footprint with new state-of-the-art gene therapy facility</w:t>
      </w:r>
      <w:r w:rsidR="008F6F8E">
        <w:t xml:space="preserve">. </w:t>
      </w:r>
      <w:r w:rsidR="000860D9">
        <w:t xml:space="preserve">Available at: </w:t>
      </w:r>
      <w:hyperlink r:id="rId121" w:history="1">
        <w:r w:rsidRPr="004C537D">
          <w:rPr>
            <w:rStyle w:val="Hipercze"/>
            <w:sz w:val="16"/>
          </w:rPr>
          <w:t>https://www.ucb.com/stories-media/Press-Releases/article/UCB-expands-innovation-footprint-with-new-state-of-the-art-gene-therapy-facility</w:t>
        </w:r>
      </w:hyperlink>
      <w:r>
        <w:t xml:space="preserve"> [Accessed July 2022]</w:t>
      </w:r>
    </w:p>
  </w:footnote>
  <w:footnote w:id="170">
    <w:p w14:paraId="7102D534" w14:textId="733F9725" w:rsidR="00C11352" w:rsidRDefault="00C11352">
      <w:pPr>
        <w:pStyle w:val="Tekstprzypisudolnego"/>
      </w:pPr>
      <w:r>
        <w:rPr>
          <w:rStyle w:val="Odwoanieprzypisudolnego"/>
        </w:rPr>
        <w:footnoteRef/>
      </w:r>
      <w:r>
        <w:t xml:space="preserve"> </w:t>
      </w:r>
      <w:r>
        <w:tab/>
        <w:t xml:space="preserve">Information from interview programme with pharmaceutical company representatives, </w:t>
      </w:r>
      <w:r w:rsidR="001A0813">
        <w:t>June–</w:t>
      </w:r>
      <w:r>
        <w:t>July 2022.</w:t>
      </w:r>
    </w:p>
  </w:footnote>
  <w:footnote w:id="171">
    <w:p w14:paraId="645C4E48" w14:textId="69965A47" w:rsidR="000E5244" w:rsidRDefault="000E5244">
      <w:pPr>
        <w:pStyle w:val="Tekstprzypisudolnego"/>
      </w:pPr>
      <w:r>
        <w:rPr>
          <w:rStyle w:val="Odwoanieprzypisudolnego"/>
        </w:rPr>
        <w:footnoteRef/>
      </w:r>
      <w:r>
        <w:t xml:space="preserve"> </w:t>
      </w:r>
      <w:r>
        <w:tab/>
        <w:t>Information from interview programme with pharmaceutical company representatives, June</w:t>
      </w:r>
      <w:r w:rsidR="00AF56EC">
        <w:t>–</w:t>
      </w:r>
      <w:r>
        <w:t>July 2022.</w:t>
      </w:r>
    </w:p>
  </w:footnote>
  <w:footnote w:id="172">
    <w:p w14:paraId="2570ABC3" w14:textId="37784EEE" w:rsidR="00321522" w:rsidRDefault="00321522">
      <w:pPr>
        <w:pStyle w:val="Tekstprzypisudolnego"/>
      </w:pPr>
      <w:r>
        <w:rPr>
          <w:rStyle w:val="Odwoanieprzypisudolnego"/>
        </w:rPr>
        <w:footnoteRef/>
      </w:r>
      <w:r>
        <w:t xml:space="preserve"> </w:t>
      </w:r>
      <w:r>
        <w:tab/>
      </w:r>
      <w:r w:rsidR="00F548D9">
        <w:t>Lilly</w:t>
      </w:r>
      <w:r w:rsidR="00EE29B2">
        <w:t xml:space="preserve"> (2022</w:t>
      </w:r>
      <w:r w:rsidR="004B2AE2">
        <w:t>)</w:t>
      </w:r>
      <w:r w:rsidR="00F548D9">
        <w:t xml:space="preserve"> </w:t>
      </w:r>
      <w:r w:rsidR="0026206C" w:rsidRPr="0026206C">
        <w:t>Lilly Announces the Institute for Genetic Medicine and $700 Million investment in Boston Seaport Site</w:t>
      </w:r>
      <w:r w:rsidR="0026206C">
        <w:t xml:space="preserve">. </w:t>
      </w:r>
      <w:r w:rsidR="000860D9">
        <w:t xml:space="preserve">Available at: </w:t>
      </w:r>
      <w:hyperlink r:id="rId122" w:history="1">
        <w:r w:rsidRPr="004C537D">
          <w:rPr>
            <w:rStyle w:val="Hipercze"/>
            <w:sz w:val="16"/>
          </w:rPr>
          <w:t>https://investor.lilly.com/news-releases/news-release-details/lilly-announces-institute-genetic-medicine-and-700-million</w:t>
        </w:r>
      </w:hyperlink>
      <w:r>
        <w:t xml:space="preserve"> [Accessed July 2022]</w:t>
      </w:r>
    </w:p>
  </w:footnote>
  <w:footnote w:id="173">
    <w:p w14:paraId="5BECB408" w14:textId="713DED57" w:rsidR="0077153D" w:rsidRDefault="0077153D">
      <w:pPr>
        <w:pStyle w:val="Tekstprzypisudolnego"/>
      </w:pPr>
      <w:r>
        <w:rPr>
          <w:rStyle w:val="Odwoanieprzypisudolnego"/>
        </w:rPr>
        <w:footnoteRef/>
      </w:r>
      <w:r>
        <w:t xml:space="preserve"> </w:t>
      </w:r>
      <w:r>
        <w:tab/>
        <w:t>Information from interview with pharmaceutical company representative, June 2022.</w:t>
      </w:r>
    </w:p>
  </w:footnote>
  <w:footnote w:id="174">
    <w:p w14:paraId="3B77A095" w14:textId="17DE431A" w:rsidR="002C1EE8" w:rsidRDefault="002C1EE8">
      <w:pPr>
        <w:pStyle w:val="Tekstprzypisudolnego"/>
      </w:pPr>
      <w:r>
        <w:rPr>
          <w:rStyle w:val="Odwoanieprzypisudolnego"/>
        </w:rPr>
        <w:footnoteRef/>
      </w:r>
      <w:r>
        <w:t xml:space="preserve"> </w:t>
      </w:r>
      <w:r w:rsidR="00441F80">
        <w:tab/>
        <w:t>Lilly</w:t>
      </w:r>
      <w:r w:rsidR="00EE29B2">
        <w:t xml:space="preserve"> (2022</w:t>
      </w:r>
      <w:r w:rsidR="004B2AE2">
        <w:t>)</w:t>
      </w:r>
      <w:r w:rsidR="00441F80">
        <w:t xml:space="preserve"> </w:t>
      </w:r>
      <w:r w:rsidR="00801CC7" w:rsidRPr="00801CC7">
        <w:t>Lilly plans to invest $2.1 billion in new manufacturing sites in Indiana</w:t>
      </w:r>
      <w:r w:rsidR="009C1056">
        <w:t xml:space="preserve">. </w:t>
      </w:r>
      <w:r w:rsidR="000860D9">
        <w:t xml:space="preserve">Available at: </w:t>
      </w:r>
      <w:hyperlink r:id="rId123" w:history="1">
        <w:r w:rsidR="00D20103" w:rsidRPr="005F6C15">
          <w:rPr>
            <w:rStyle w:val="Hipercze"/>
            <w:sz w:val="16"/>
          </w:rPr>
          <w:t>https://investor.lilly.com/news-releases/news-release-details/lilly-plans-invest-21-billion-new-manufacturing-sites-indiana</w:t>
        </w:r>
      </w:hyperlink>
      <w:r w:rsidR="00D20103">
        <w:t xml:space="preserve"> [Accessed July 2022]</w:t>
      </w:r>
    </w:p>
  </w:footnote>
  <w:footnote w:id="175">
    <w:p w14:paraId="29B97B31" w14:textId="203938A6" w:rsidR="00257E68" w:rsidRDefault="00257E68">
      <w:pPr>
        <w:pStyle w:val="Tekstprzypisudolnego"/>
      </w:pPr>
      <w:r>
        <w:rPr>
          <w:rStyle w:val="Odwoanieprzypisudolnego"/>
        </w:rPr>
        <w:footnoteRef/>
      </w:r>
      <w:r>
        <w:t xml:space="preserve"> </w:t>
      </w:r>
      <w:r>
        <w:tab/>
      </w:r>
      <w:r w:rsidR="001137D5">
        <w:t>Sanofi</w:t>
      </w:r>
      <w:r w:rsidR="00EE29B2">
        <w:t xml:space="preserve"> (2021</w:t>
      </w:r>
      <w:r w:rsidR="004B2AE2">
        <w:t>)</w:t>
      </w:r>
      <w:r w:rsidR="001137D5">
        <w:t xml:space="preserve"> </w:t>
      </w:r>
      <w:r w:rsidR="006B205F" w:rsidRPr="006B205F">
        <w:t>Sanofi launches dedicated vaccines mRNA Center of Excellence</w:t>
      </w:r>
      <w:r w:rsidR="006B205F">
        <w:t xml:space="preserve">. </w:t>
      </w:r>
      <w:r w:rsidR="000860D9">
        <w:t xml:space="preserve">Available at: </w:t>
      </w:r>
      <w:hyperlink r:id="rId124" w:history="1">
        <w:r w:rsidRPr="004C537D">
          <w:rPr>
            <w:rStyle w:val="Hipercze"/>
            <w:sz w:val="16"/>
          </w:rPr>
          <w:t>https://www.sanofi.com/en/media-room/press-releases/2021/2021-06-29-08-00-40-2254458</w:t>
        </w:r>
      </w:hyperlink>
      <w:r>
        <w:t xml:space="preserve"> [Accessed July 2022]</w:t>
      </w:r>
    </w:p>
  </w:footnote>
  <w:footnote w:id="176">
    <w:p w14:paraId="685ED71E" w14:textId="08C5A519" w:rsidR="00940C8A" w:rsidRDefault="00940C8A">
      <w:pPr>
        <w:pStyle w:val="Tekstprzypisudolnego"/>
      </w:pPr>
      <w:r>
        <w:rPr>
          <w:rStyle w:val="Odwoanieprzypisudolnego"/>
        </w:rPr>
        <w:footnoteRef/>
      </w:r>
      <w:r>
        <w:t xml:space="preserve"> </w:t>
      </w:r>
      <w:r>
        <w:tab/>
        <w:t xml:space="preserve">European Commission (2018) R&amp;D and innovation activities in companies across Global Value Chains. Available at: </w:t>
      </w:r>
      <w:hyperlink r:id="rId125" w:history="1">
        <w:r w:rsidR="006953E2" w:rsidRPr="00A970C6">
          <w:rPr>
            <w:rStyle w:val="Hipercze"/>
            <w:sz w:val="16"/>
          </w:rPr>
          <w:t>https://iri.jrc.ec.europa.eu/sites/default/files/contentype//publication//reports//1568800267//R%26D%20and%20innovation%20activities%20in%20companies%20across%20Global%20Value%20Chains.pdf</w:t>
        </w:r>
      </w:hyperlink>
      <w:r w:rsidR="006953E2">
        <w:t xml:space="preserve"> </w:t>
      </w:r>
      <w:r w:rsidR="00FF68A4">
        <w:t>[Acc</w:t>
      </w:r>
      <w:r w:rsidR="00595878">
        <w:t>e</w:t>
      </w:r>
      <w:r w:rsidR="00FF68A4">
        <w:t>s</w:t>
      </w:r>
      <w:r w:rsidR="00595878">
        <w:t xml:space="preserve">sed </w:t>
      </w:r>
      <w:r w:rsidR="006953E2">
        <w:t xml:space="preserve">October </w:t>
      </w:r>
      <w:r w:rsidR="00595878">
        <w:t>2022]</w:t>
      </w:r>
    </w:p>
  </w:footnote>
  <w:footnote w:id="177">
    <w:p w14:paraId="74BA554D" w14:textId="600F85B8" w:rsidR="00EF2DF2" w:rsidRDefault="00EF2DF2">
      <w:pPr>
        <w:pStyle w:val="Tekstprzypisudolnego"/>
      </w:pPr>
      <w:r>
        <w:rPr>
          <w:rStyle w:val="Odwoanieprzypisudolnego"/>
        </w:rPr>
        <w:footnoteRef/>
      </w:r>
      <w:r>
        <w:t xml:space="preserve"> </w:t>
      </w:r>
      <w:r>
        <w:tab/>
        <w:t xml:space="preserve">PwC (2019) </w:t>
      </w:r>
      <w:r w:rsidR="00B20524" w:rsidRPr="00B20524">
        <w:t>The economic and societal footprint of the pharmaceutical industry in Europe</w:t>
      </w:r>
      <w:r w:rsidR="00B20524">
        <w:t xml:space="preserve">. Available at: </w:t>
      </w:r>
      <w:hyperlink r:id="rId126" w:history="1">
        <w:r w:rsidR="00B20524" w:rsidRPr="00A160AA">
          <w:rPr>
            <w:rStyle w:val="Hipercze"/>
            <w:sz w:val="16"/>
          </w:rPr>
          <w:t>https://www.efpia.eu/media/412941/efpia-economic-societal-footprint-industry-technical-report-250619.pdf</w:t>
        </w:r>
      </w:hyperlink>
      <w:r w:rsidR="00B20524">
        <w:t xml:space="preserve"> [Accessed July 2022]</w:t>
      </w:r>
    </w:p>
  </w:footnote>
  <w:footnote w:id="178">
    <w:p w14:paraId="7609AA03" w14:textId="36944902" w:rsidR="008A15FF" w:rsidRDefault="008A15FF" w:rsidP="008A15FF">
      <w:pPr>
        <w:pStyle w:val="Tekstprzypisudolnego"/>
      </w:pPr>
      <w:r>
        <w:rPr>
          <w:rStyle w:val="Odwoanieprzypisudolnego"/>
        </w:rPr>
        <w:footnoteRef/>
      </w:r>
      <w:r>
        <w:t xml:space="preserve"> </w:t>
      </w:r>
      <w:r>
        <w:tab/>
      </w:r>
      <w:hyperlink r:id="rId127" w:history="1">
        <w:r w:rsidR="00BF0125" w:rsidRPr="00786397">
          <w:rPr>
            <w:rStyle w:val="Hipercze"/>
            <w:sz w:val="16"/>
          </w:rPr>
          <w:t>https://lifescivc.com/2017/03/inescapable-gravity-biotechs-key-clusters-great-consolidation-talent-capital-returns/</w:t>
        </w:r>
      </w:hyperlink>
      <w:r w:rsidR="00BF0125">
        <w:t xml:space="preserve"> </w:t>
      </w:r>
      <w:r w:rsidR="009E53E2">
        <w:t>[Accessed July 2022]</w:t>
      </w:r>
    </w:p>
  </w:footnote>
  <w:footnote w:id="179">
    <w:p w14:paraId="6BCC38F6" w14:textId="300E583F" w:rsidR="008A15FF" w:rsidRDefault="008A15FF" w:rsidP="008A15FF">
      <w:pPr>
        <w:pStyle w:val="Tekstprzypisudolnego"/>
      </w:pPr>
      <w:r>
        <w:rPr>
          <w:rStyle w:val="Odwoanieprzypisudolnego"/>
        </w:rPr>
        <w:footnoteRef/>
      </w:r>
      <w:r>
        <w:t xml:space="preserve"> </w:t>
      </w:r>
      <w:r>
        <w:tab/>
      </w:r>
      <w:hyperlink r:id="rId128" w:history="1">
        <w:r w:rsidR="00BF0125" w:rsidRPr="00786397">
          <w:rPr>
            <w:rStyle w:val="Hipercze"/>
            <w:sz w:val="16"/>
          </w:rPr>
          <w:t>https://www.fiercebiotech.com/special-reports/top-biotech-hubs</w:t>
        </w:r>
      </w:hyperlink>
      <w:r w:rsidR="00BF0125">
        <w:t xml:space="preserve"> </w:t>
      </w:r>
      <w:r w:rsidR="009E53E2">
        <w:t>[Accessed July 2022]</w:t>
      </w:r>
    </w:p>
  </w:footnote>
  <w:footnote w:id="180">
    <w:p w14:paraId="14B22995" w14:textId="2A4A4F54" w:rsidR="008A15FF" w:rsidRDefault="008A15FF" w:rsidP="008A15FF">
      <w:pPr>
        <w:pStyle w:val="Tekstprzypisudolnego"/>
      </w:pPr>
      <w:r>
        <w:rPr>
          <w:rStyle w:val="Odwoanieprzypisudolnego"/>
        </w:rPr>
        <w:footnoteRef/>
      </w:r>
      <w:r>
        <w:t xml:space="preserve"> </w:t>
      </w:r>
      <w:r>
        <w:tab/>
      </w:r>
      <w:hyperlink r:id="rId129" w:history="1">
        <w:r w:rsidR="00BF0125" w:rsidRPr="000632B7">
          <w:rPr>
            <w:rStyle w:val="Hipercze"/>
            <w:sz w:val="16"/>
          </w:rPr>
          <w:t>https://lifescivc.com/2017/03/inescapable-gravity-biotechs-key-clusters-great-consolidation-talent-capital-returns/</w:t>
        </w:r>
      </w:hyperlink>
      <w:r w:rsidR="00BF0125">
        <w:t xml:space="preserve"> </w:t>
      </w:r>
      <w:r w:rsidR="009E53E2">
        <w:t>[Accessed July 2022]</w:t>
      </w:r>
    </w:p>
  </w:footnote>
  <w:footnote w:id="181">
    <w:p w14:paraId="1C762EBF" w14:textId="77777777" w:rsidR="00842B2A" w:rsidRPr="006443E6" w:rsidRDefault="00842B2A" w:rsidP="00842B2A">
      <w:pPr>
        <w:pStyle w:val="Tekstprzypisudolnego"/>
      </w:pPr>
      <w:r w:rsidRPr="006443E6">
        <w:rPr>
          <w:rStyle w:val="Odwoanieprzypisudolnego"/>
        </w:rPr>
        <w:footnoteRef/>
      </w:r>
      <w:r w:rsidRPr="006443E6">
        <w:t xml:space="preserve"> </w:t>
      </w:r>
      <w:r w:rsidRPr="006443E6">
        <w:tab/>
      </w:r>
      <w:hyperlink r:id="rId130" w:history="1">
        <w:r w:rsidRPr="000632B7">
          <w:rPr>
            <w:rStyle w:val="Hipercze"/>
            <w:sz w:val="16"/>
          </w:rPr>
          <w:t>https://cognite.co/where-is-the-most-innovative-square-mile-on-the-planet/</w:t>
        </w:r>
      </w:hyperlink>
      <w:r w:rsidRPr="006443E6">
        <w:t xml:space="preserve"> </w:t>
      </w:r>
      <w:r w:rsidRPr="000632B7">
        <w:t>[Accessed July 2022]</w:t>
      </w:r>
    </w:p>
  </w:footnote>
  <w:footnote w:id="182">
    <w:p w14:paraId="0D3C17E0" w14:textId="48D0C497" w:rsidR="008A15FF" w:rsidRDefault="008A15FF" w:rsidP="008A15FF">
      <w:pPr>
        <w:pStyle w:val="Tekstprzypisudolnego"/>
      </w:pPr>
      <w:r w:rsidRPr="006443E6">
        <w:rPr>
          <w:rStyle w:val="Odwoanieprzypisudolnego"/>
        </w:rPr>
        <w:footnoteRef/>
      </w:r>
      <w:r w:rsidR="00BD4C5B">
        <w:t xml:space="preserve"> </w:t>
      </w:r>
      <w:hyperlink r:id="rId131" w:history="1">
        <w:r w:rsidR="00F722EB" w:rsidRPr="006443E6">
          <w:rPr>
            <w:rStyle w:val="Hipercze"/>
            <w:sz w:val="16"/>
          </w:rPr>
          <w:t>https://www.pmlive.com/pharma_intelligence/Building_European_biotech_firms_to_rival_those_of_the_US_1301494</w:t>
        </w:r>
      </w:hyperlink>
      <w:r w:rsidR="006443E6">
        <w:rPr>
          <w:u w:color="808080"/>
        </w:rPr>
        <w:t xml:space="preserve"> [Accessed July 2022]</w:t>
      </w:r>
      <w:r w:rsidR="002F64B0">
        <w:t xml:space="preserve"> </w:t>
      </w:r>
    </w:p>
  </w:footnote>
  <w:footnote w:id="183">
    <w:p w14:paraId="556CA0E6" w14:textId="18C77FA2" w:rsidR="008A15FF" w:rsidRDefault="008A15FF" w:rsidP="008A15FF">
      <w:pPr>
        <w:pStyle w:val="Tekstprzypisudolnego"/>
      </w:pPr>
      <w:r>
        <w:rPr>
          <w:rStyle w:val="Odwoanieprzypisudolnego"/>
        </w:rPr>
        <w:footnoteRef/>
      </w:r>
      <w:r>
        <w:t xml:space="preserve"> </w:t>
      </w:r>
      <w:r>
        <w:tab/>
      </w:r>
      <w:hyperlink r:id="rId132" w:history="1">
        <w:r w:rsidR="00D150AB" w:rsidRPr="00786397">
          <w:rPr>
            <w:rStyle w:val="Hipercze"/>
            <w:sz w:val="16"/>
          </w:rPr>
          <w:t>https://www.researchprofessionalnews.com/rr-news-europe-views-of-europe-2021-3-take-this-chance-to-reboot-europe-s-r-d-spending/</w:t>
        </w:r>
      </w:hyperlink>
      <w:r w:rsidR="00D150AB">
        <w:t xml:space="preserve"> </w:t>
      </w:r>
      <w:r w:rsidR="006443E6">
        <w:t>[Accessed July 2022]</w:t>
      </w:r>
    </w:p>
  </w:footnote>
  <w:footnote w:id="184">
    <w:p w14:paraId="43657E0F" w14:textId="77777777" w:rsidR="008A15FF" w:rsidRDefault="008A15FF" w:rsidP="008A15FF">
      <w:pPr>
        <w:pStyle w:val="Tekstprzypisudolnego"/>
      </w:pPr>
      <w:r>
        <w:rPr>
          <w:rStyle w:val="Odwoanieprzypisudolnego"/>
        </w:rPr>
        <w:footnoteRef/>
      </w:r>
      <w:r>
        <w:t xml:space="preserve"> </w:t>
      </w:r>
      <w:r>
        <w:tab/>
        <w:t>Horizon 2020: Geographical balance of beneficiaries: Performance gap between EU13 and EU15 Member States “</w:t>
      </w:r>
      <w:r w:rsidRPr="00726CDE">
        <w:t>The reasons for lower participation of the EU13 Member States in Horizon 2020 are related mainly to the size and performance of the national research and innovation systems, quality of research, and weaker connections to European research collaboration networks.</w:t>
      </w:r>
      <w:r>
        <w:t>”</w:t>
      </w:r>
    </w:p>
  </w:footnote>
  <w:footnote w:id="185">
    <w:p w14:paraId="14C5F95F" w14:textId="6C1FDEA0" w:rsidR="008729E0" w:rsidRDefault="008729E0" w:rsidP="008729E0">
      <w:pPr>
        <w:pStyle w:val="Tekstprzypisudolnego"/>
      </w:pPr>
      <w:r>
        <w:rPr>
          <w:rStyle w:val="Odwoanieprzypisudolnego"/>
        </w:rPr>
        <w:footnoteRef/>
      </w:r>
      <w:r>
        <w:t xml:space="preserve"> </w:t>
      </w:r>
      <w:r>
        <w:tab/>
      </w:r>
      <w:hyperlink r:id="rId133" w:history="1">
        <w:r w:rsidRPr="00786397">
          <w:rPr>
            <w:rStyle w:val="Hipercze"/>
            <w:sz w:val="16"/>
          </w:rPr>
          <w:t>https://blogs.lse.ac.uk/businessreview/2018/05/05/when-multinationals-offshore-production-where-do-they-locate-innovation/</w:t>
        </w:r>
      </w:hyperlink>
      <w:r>
        <w:t xml:space="preserve"> </w:t>
      </w:r>
      <w:r w:rsidR="006443E6">
        <w:t>[Accessed July 2022]</w:t>
      </w:r>
    </w:p>
  </w:footnote>
  <w:footnote w:id="186">
    <w:p w14:paraId="1731707D" w14:textId="41690F7F" w:rsidR="00CD4077" w:rsidRDefault="00CD4077">
      <w:pPr>
        <w:pStyle w:val="Tekstprzypisudolnego"/>
      </w:pPr>
      <w:r>
        <w:rPr>
          <w:rStyle w:val="Odwoanieprzypisudolnego"/>
        </w:rPr>
        <w:footnoteRef/>
      </w:r>
      <w:r>
        <w:t xml:space="preserve"> </w:t>
      </w:r>
      <w:r>
        <w:tab/>
        <w:t xml:space="preserve">European Commission </w:t>
      </w:r>
      <w:r w:rsidR="00F01759">
        <w:t>(2020)</w:t>
      </w:r>
      <w:r>
        <w:t xml:space="preserve"> Pharmaceutical Strategy for Europe. </w:t>
      </w:r>
      <w:r w:rsidR="000860D9">
        <w:t xml:space="preserve">Available at: </w:t>
      </w:r>
      <w:hyperlink r:id="rId134" w:history="1">
        <w:r w:rsidRPr="00A160AA">
          <w:rPr>
            <w:rStyle w:val="Hipercze"/>
            <w:sz w:val="16"/>
          </w:rPr>
          <w:t>https://health.ec.europa.eu/system/files/2021-02/pharma-strategy_report_en_0.pdf</w:t>
        </w:r>
      </w:hyperlink>
      <w:r>
        <w:t xml:space="preserve"> [Accessed September 2022]</w:t>
      </w:r>
    </w:p>
  </w:footnote>
  <w:footnote w:id="187">
    <w:p w14:paraId="39B01BCE" w14:textId="3455614D" w:rsidR="00CD318B" w:rsidRDefault="00CD318B">
      <w:pPr>
        <w:pStyle w:val="Tekstprzypisudolnego"/>
      </w:pPr>
      <w:r>
        <w:rPr>
          <w:rStyle w:val="Odwoanieprzypisudolnego"/>
        </w:rPr>
        <w:footnoteRef/>
      </w:r>
      <w:r>
        <w:t xml:space="preserve"> </w:t>
      </w:r>
      <w:r>
        <w:tab/>
        <w:t xml:space="preserve">HM Government (2021) Life Sciences Vision. Available at: </w:t>
      </w:r>
      <w:hyperlink r:id="rId135" w:history="1">
        <w:r w:rsidR="00C474C0" w:rsidRPr="00E57483">
          <w:rPr>
            <w:rStyle w:val="Hipercze"/>
            <w:sz w:val="16"/>
          </w:rPr>
          <w:t>https://www.gov.uk/government/publications/life-sciences-vision</w:t>
        </w:r>
      </w:hyperlink>
      <w:r w:rsidR="00C474C0">
        <w:t xml:space="preserve"> [Accessed September 2022]</w:t>
      </w:r>
    </w:p>
  </w:footnote>
  <w:footnote w:id="188">
    <w:p w14:paraId="6E2D0DB0" w14:textId="03E14172" w:rsidR="00D9426B" w:rsidRDefault="00D9426B">
      <w:pPr>
        <w:pStyle w:val="Tekstprzypisudolnego"/>
      </w:pPr>
      <w:r>
        <w:rPr>
          <w:rStyle w:val="Odwoanieprzypisudolnego"/>
        </w:rPr>
        <w:footnoteRef/>
      </w:r>
      <w:r>
        <w:t xml:space="preserve"> </w:t>
      </w:r>
      <w:r>
        <w:tab/>
      </w:r>
      <w:hyperlink r:id="rId136" w:history="1">
        <w:r w:rsidRPr="00BE420C">
          <w:rPr>
            <w:rStyle w:val="Hipercze"/>
            <w:sz w:val="16"/>
          </w:rPr>
          <w:t>https://www.mckinsey.com/industries/life-sciences/our-insights/infographic-biotech-hot-spots-in-a-fragmented-european-landscape</w:t>
        </w:r>
      </w:hyperlink>
      <w:r>
        <w:t xml:space="preserve"> [Accessed July 2022]</w:t>
      </w:r>
    </w:p>
  </w:footnote>
  <w:footnote w:id="189">
    <w:p w14:paraId="18E65A22" w14:textId="4B21EA7F" w:rsidR="007A3CA2" w:rsidRDefault="007A3CA2">
      <w:pPr>
        <w:pStyle w:val="Tekstprzypisudolnego"/>
      </w:pPr>
      <w:r>
        <w:rPr>
          <w:rStyle w:val="Odwoanieprzypisudolnego"/>
        </w:rPr>
        <w:footnoteRef/>
      </w:r>
      <w:r>
        <w:t xml:space="preserve"> </w:t>
      </w:r>
      <w:r>
        <w:tab/>
        <w:t xml:space="preserve">IQVIA Institute for Human Data Science </w:t>
      </w:r>
      <w:r w:rsidR="007374B5">
        <w:t>(</w:t>
      </w:r>
      <w:r>
        <w:t>2022</w:t>
      </w:r>
      <w:r w:rsidR="007374B5">
        <w:t xml:space="preserve">) </w:t>
      </w:r>
      <w:r w:rsidR="000860D9">
        <w:t xml:space="preserve">Available at: </w:t>
      </w:r>
      <w:hyperlink r:id="rId137" w:history="1">
        <w:r w:rsidRPr="0009423D">
          <w:rPr>
            <w:rStyle w:val="Hipercze"/>
            <w:sz w:val="16"/>
          </w:rPr>
          <w:t>https://www.iqvia.com/insights/the-iqvia-institute/reports/emerging-biopharma-contribution-to-innovation</w:t>
        </w:r>
      </w:hyperlink>
      <w:r>
        <w:t xml:space="preserve"> [</w:t>
      </w:r>
      <w:r w:rsidR="007374B5">
        <w:t>A</w:t>
      </w:r>
      <w:r>
        <w:t>ccessed July 2022]</w:t>
      </w:r>
    </w:p>
  </w:footnote>
  <w:footnote w:id="190">
    <w:p w14:paraId="1BFB798E" w14:textId="0797EB21" w:rsidR="007374B5" w:rsidRDefault="007374B5">
      <w:pPr>
        <w:pStyle w:val="Tekstprzypisudolnego"/>
      </w:pPr>
      <w:r>
        <w:rPr>
          <w:rStyle w:val="Odwoanieprzypisudolnego"/>
        </w:rPr>
        <w:footnoteRef/>
      </w:r>
      <w:r>
        <w:t xml:space="preserve"> </w:t>
      </w:r>
      <w:r>
        <w:tab/>
      </w:r>
      <w:r w:rsidRPr="007374B5">
        <w:t>European Commission et al.</w:t>
      </w:r>
      <w:r>
        <w:t xml:space="preserve"> (2022)</w:t>
      </w:r>
      <w:r w:rsidRPr="007374B5">
        <w:t xml:space="preserve"> The 2021 EU industrial R&amp;D investment scoreboard, Publications Office of the European Union</w:t>
      </w:r>
      <w:r>
        <w:t xml:space="preserve">. </w:t>
      </w:r>
      <w:r w:rsidR="000860D9">
        <w:t xml:space="preserve">Available at: </w:t>
      </w:r>
      <w:hyperlink r:id="rId138" w:history="1">
        <w:r w:rsidRPr="00786397">
          <w:rPr>
            <w:rStyle w:val="Hipercze"/>
            <w:sz w:val="16"/>
          </w:rPr>
          <w:t>https://data.europa.eu/doi/10.2760/559391</w:t>
        </w:r>
      </w:hyperlink>
      <w:r>
        <w:t xml:space="preserve"> [Accessed July 2022]</w:t>
      </w:r>
    </w:p>
  </w:footnote>
  <w:footnote w:id="191">
    <w:p w14:paraId="7BBC52B9" w14:textId="00ACD359" w:rsidR="00586D7E" w:rsidRDefault="00586D7E">
      <w:pPr>
        <w:pStyle w:val="Tekstprzypisudolnego"/>
      </w:pPr>
      <w:r>
        <w:rPr>
          <w:rStyle w:val="Odwoanieprzypisudolnego"/>
        </w:rPr>
        <w:footnoteRef/>
      </w:r>
      <w:r>
        <w:t xml:space="preserve"> </w:t>
      </w:r>
      <w:r>
        <w:tab/>
        <w:t xml:space="preserve">Information from interview programme with pharmaceutical company representatives, </w:t>
      </w:r>
      <w:r w:rsidR="001A0813">
        <w:t>June–</w:t>
      </w:r>
      <w:r w:rsidR="00FD0422">
        <w:t>July</w:t>
      </w:r>
      <w:r>
        <w:t xml:space="preserve"> 2022.</w:t>
      </w:r>
    </w:p>
  </w:footnote>
  <w:footnote w:id="192">
    <w:p w14:paraId="73AF95E8" w14:textId="0134BBFA" w:rsidR="00FD0422" w:rsidRDefault="00FD0422">
      <w:pPr>
        <w:pStyle w:val="Tekstprzypisudolnego"/>
      </w:pPr>
      <w:r>
        <w:rPr>
          <w:rStyle w:val="Odwoanieprzypisudolnego"/>
        </w:rPr>
        <w:footnoteRef/>
      </w:r>
      <w:r>
        <w:t xml:space="preserve"> </w:t>
      </w:r>
      <w:r>
        <w:tab/>
        <w:t xml:space="preserve">Information from interview programme with pharmaceutical company representatives, </w:t>
      </w:r>
      <w:r w:rsidR="001A0813">
        <w:t>June–</w:t>
      </w:r>
      <w:r>
        <w:t>July 2022.</w:t>
      </w:r>
    </w:p>
  </w:footnote>
  <w:footnote w:id="193">
    <w:p w14:paraId="7C888C30" w14:textId="5328DF9C" w:rsidR="008935AB" w:rsidRDefault="008935AB" w:rsidP="008935AB">
      <w:pPr>
        <w:pStyle w:val="Tekstprzypisudolnego"/>
      </w:pPr>
      <w:r>
        <w:rPr>
          <w:rStyle w:val="Odwoanieprzypisudolnego"/>
        </w:rPr>
        <w:footnoteRef/>
      </w:r>
      <w:r>
        <w:t xml:space="preserve"> </w:t>
      </w:r>
      <w:r>
        <w:tab/>
      </w:r>
      <w:r w:rsidRPr="00A76AD7">
        <w:t>Castellani, D., Lavoratori, K. (2019). Location of R&amp;D Abroad</w:t>
      </w:r>
      <w:r w:rsidR="00970FF9">
        <w:t xml:space="preserve"> – </w:t>
      </w:r>
      <w:r w:rsidRPr="00A76AD7">
        <w:t xml:space="preserve">An Analysis on Global Cities. In: Capik, P., Dej, M. (eds) Relocation of Economic Activity. Springer, Cham. </w:t>
      </w:r>
      <w:hyperlink r:id="rId139" w:history="1">
        <w:r w:rsidRPr="00786397">
          <w:rPr>
            <w:rStyle w:val="Hipercze"/>
            <w:sz w:val="16"/>
          </w:rPr>
          <w:t>https://doi.org/10.1007/978-3-319-92282-9_9</w:t>
        </w:r>
      </w:hyperlink>
      <w:r w:rsidR="00BD4C5B">
        <w:t xml:space="preserve"> </w:t>
      </w:r>
    </w:p>
  </w:footnote>
  <w:footnote w:id="194">
    <w:p w14:paraId="270EEC45" w14:textId="3F26E956" w:rsidR="00752EB7" w:rsidRDefault="00752EB7">
      <w:pPr>
        <w:pStyle w:val="Tekstprzypisudolnego"/>
      </w:pPr>
      <w:r>
        <w:rPr>
          <w:rStyle w:val="Odwoanieprzypisudolnego"/>
        </w:rPr>
        <w:footnoteRef/>
      </w:r>
      <w:r>
        <w:t xml:space="preserve"> </w:t>
      </w:r>
      <w:r>
        <w:tab/>
      </w:r>
      <w:hyperlink r:id="rId140" w:history="1">
        <w:r w:rsidR="00425F00" w:rsidRPr="0009423D">
          <w:rPr>
            <w:rStyle w:val="Hipercze"/>
            <w:sz w:val="16"/>
          </w:rPr>
          <w:t>https://www.roche.ch/dam/jcr:82edb623-2dcc-4fe9-b406-b140cf3ef99f/en/roche-in-switzerland-2021.pdf</w:t>
        </w:r>
      </w:hyperlink>
      <w:r w:rsidR="00BD4C5B">
        <w:t xml:space="preserve"> </w:t>
      </w:r>
      <w:r w:rsidR="00AF56EC">
        <w:t>[Accessed</w:t>
      </w:r>
      <w:r>
        <w:t xml:space="preserve"> July 2022]</w:t>
      </w:r>
    </w:p>
  </w:footnote>
  <w:footnote w:id="195">
    <w:p w14:paraId="0A39441F" w14:textId="52D27077" w:rsidR="003235D4" w:rsidRDefault="003235D4">
      <w:pPr>
        <w:pStyle w:val="Tekstprzypisudolnego"/>
      </w:pPr>
      <w:r>
        <w:rPr>
          <w:rStyle w:val="Odwoanieprzypisudolnego"/>
        </w:rPr>
        <w:footnoteRef/>
      </w:r>
      <w:r>
        <w:t xml:space="preserve"> </w:t>
      </w:r>
      <w:r>
        <w:tab/>
      </w:r>
      <w:hyperlink r:id="rId141" w:history="1">
        <w:r w:rsidRPr="00DD263D">
          <w:rPr>
            <w:rStyle w:val="Hipercze"/>
            <w:sz w:val="16"/>
          </w:rPr>
          <w:t>https://www.pharmaceutical-technology.com/projects/roches-basel-expansion-basel/</w:t>
        </w:r>
      </w:hyperlink>
      <w:r>
        <w:t xml:space="preserve"> </w:t>
      </w:r>
      <w:r w:rsidR="00AF56EC">
        <w:t>[Accessed</w:t>
      </w:r>
      <w:r>
        <w:t xml:space="preserve"> July 2022]</w:t>
      </w:r>
    </w:p>
  </w:footnote>
  <w:footnote w:id="196">
    <w:p w14:paraId="086FA996" w14:textId="6CC2376D" w:rsidR="00E24262" w:rsidRDefault="00E24262">
      <w:pPr>
        <w:pStyle w:val="Tekstprzypisudolnego"/>
      </w:pPr>
      <w:r>
        <w:rPr>
          <w:rStyle w:val="Odwoanieprzypisudolnego"/>
        </w:rPr>
        <w:footnoteRef/>
      </w:r>
      <w:r>
        <w:t xml:space="preserve"> </w:t>
      </w:r>
      <w:r>
        <w:tab/>
      </w:r>
      <w:hyperlink r:id="rId142" w:history="1">
        <w:r w:rsidRPr="00BE420C">
          <w:rPr>
            <w:rStyle w:val="Hipercze"/>
            <w:sz w:val="16"/>
          </w:rPr>
          <w:t>https://readyforbrexit.co.uk/the-list-of-companies-leaving-the-uk-because-of-brexit-grows/</w:t>
        </w:r>
      </w:hyperlink>
      <w:r>
        <w:t xml:space="preserve"> [Accessed July 2022]</w:t>
      </w:r>
    </w:p>
  </w:footnote>
  <w:footnote w:id="197">
    <w:p w14:paraId="4AA9431F" w14:textId="6E317878" w:rsidR="001A2601" w:rsidRDefault="001A2601" w:rsidP="001A2601">
      <w:pPr>
        <w:pStyle w:val="Tekstprzypisudolnego"/>
      </w:pPr>
      <w:r>
        <w:rPr>
          <w:rStyle w:val="Odwoanieprzypisudolnego"/>
        </w:rPr>
        <w:footnoteRef/>
      </w:r>
      <w:r>
        <w:t xml:space="preserve"> </w:t>
      </w:r>
      <w:r>
        <w:tab/>
      </w:r>
      <w:r w:rsidRPr="00A76AD7">
        <w:t>Castellani, D., Lavoratori, K. (2019). Location of R&amp;D Abroad</w:t>
      </w:r>
      <w:r w:rsidR="00970FF9">
        <w:t xml:space="preserve"> – </w:t>
      </w:r>
      <w:r w:rsidRPr="00A76AD7">
        <w:t xml:space="preserve">An Analysis on Global Cities. In: Capik, P., Dej, M. (eds) Relocation of Economic Activity. Springer, Cham. </w:t>
      </w:r>
      <w:hyperlink r:id="rId143" w:history="1">
        <w:r w:rsidRPr="00786397">
          <w:rPr>
            <w:rStyle w:val="Hipercze"/>
            <w:sz w:val="16"/>
          </w:rPr>
          <w:t>https://doi.org/10.1007/978-3-319-92282-9_9</w:t>
        </w:r>
      </w:hyperlink>
    </w:p>
  </w:footnote>
  <w:footnote w:id="198">
    <w:p w14:paraId="3311718D" w14:textId="59465F92" w:rsidR="001A2601" w:rsidRDefault="001A2601">
      <w:pPr>
        <w:pStyle w:val="Tekstprzypisudolnego"/>
      </w:pPr>
      <w:r>
        <w:rPr>
          <w:rStyle w:val="Odwoanieprzypisudolnego"/>
        </w:rPr>
        <w:footnoteRef/>
      </w:r>
      <w:r>
        <w:t xml:space="preserve"> </w:t>
      </w:r>
      <w:r>
        <w:tab/>
      </w:r>
      <w:hyperlink r:id="rId144" w:history="1">
        <w:r w:rsidRPr="00786397">
          <w:rPr>
            <w:rStyle w:val="Hipercze"/>
            <w:sz w:val="16"/>
          </w:rPr>
          <w:t>https://www.fiercebiotech.com/biotech/amgen-moves-r-d-jobs-from-hq-to-cambridge-and-san-francisco-as-rolling-reorganization</w:t>
        </w:r>
      </w:hyperlink>
      <w:r>
        <w:t xml:space="preserve"> [Accessed July 2022]</w:t>
      </w:r>
    </w:p>
  </w:footnote>
  <w:footnote w:id="199">
    <w:p w14:paraId="74087A33" w14:textId="7AE77B5E" w:rsidR="005261D9" w:rsidRDefault="005261D9">
      <w:pPr>
        <w:pStyle w:val="Tekstprzypisudolnego"/>
      </w:pPr>
      <w:r>
        <w:rPr>
          <w:rStyle w:val="Odwoanieprzypisudolnego"/>
        </w:rPr>
        <w:footnoteRef/>
      </w:r>
      <w:r>
        <w:t xml:space="preserve"> </w:t>
      </w:r>
      <w:r>
        <w:tab/>
      </w:r>
      <w:r w:rsidRPr="00A76AD7">
        <w:t>Castellani, D., Lavoratori, K. (2019). Location of R&amp;D Abroad</w:t>
      </w:r>
      <w:r w:rsidR="00970FF9">
        <w:t xml:space="preserve"> – </w:t>
      </w:r>
      <w:r w:rsidRPr="00A76AD7">
        <w:t xml:space="preserve">An Analysis on Global Cities. In: Capik, P., Dej, M. (eds) Relocation of Economic Activity. Springer, Cham. </w:t>
      </w:r>
      <w:hyperlink r:id="rId145" w:history="1">
        <w:r w:rsidRPr="00786397">
          <w:rPr>
            <w:rStyle w:val="Hipercze"/>
            <w:sz w:val="16"/>
          </w:rPr>
          <w:t>https://doi.org/10.1007/978-3-319-92282-9_9</w:t>
        </w:r>
      </w:hyperlink>
    </w:p>
  </w:footnote>
  <w:footnote w:id="200">
    <w:p w14:paraId="4AE3C96D" w14:textId="1D74B505" w:rsidR="00785E25" w:rsidRDefault="00785E25">
      <w:pPr>
        <w:pStyle w:val="Tekstprzypisudolnego"/>
      </w:pPr>
      <w:r>
        <w:rPr>
          <w:rStyle w:val="Odwoanieprzypisudolnego"/>
        </w:rPr>
        <w:footnoteRef/>
      </w:r>
      <w:r>
        <w:t xml:space="preserve"> </w:t>
      </w:r>
      <w:r>
        <w:tab/>
        <w:t xml:space="preserve">European Commission (2020) Pharmaceutical Strategy for Europe. </w:t>
      </w:r>
      <w:r w:rsidR="000860D9">
        <w:t xml:space="preserve">Available at: </w:t>
      </w:r>
      <w:hyperlink r:id="rId146" w:history="1">
        <w:r w:rsidRPr="00A160AA">
          <w:rPr>
            <w:rStyle w:val="Hipercze"/>
            <w:sz w:val="16"/>
          </w:rPr>
          <w:t>https://health.ec.europa.eu/system/files/2021-02/pharma-strategy_report_en_0.pdf</w:t>
        </w:r>
      </w:hyperlink>
      <w:r>
        <w:t xml:space="preserve"> [Accessed September 2022]</w:t>
      </w:r>
    </w:p>
  </w:footnote>
  <w:footnote w:id="201">
    <w:p w14:paraId="2876B557" w14:textId="21513BA3" w:rsidR="00D04E0D" w:rsidRDefault="00D04E0D" w:rsidP="00D04E0D">
      <w:pPr>
        <w:pStyle w:val="Tekstprzypisudolnego"/>
      </w:pPr>
      <w:r>
        <w:rPr>
          <w:rStyle w:val="Odwoanieprzypisudolnego"/>
        </w:rPr>
        <w:footnoteRef/>
      </w:r>
      <w:r>
        <w:t xml:space="preserve"> </w:t>
      </w:r>
      <w:r>
        <w:tab/>
      </w:r>
      <w:r w:rsidRPr="001D2570">
        <w:t xml:space="preserve">Øresundsinstituttet </w:t>
      </w:r>
      <w:r>
        <w:t>on behalf</w:t>
      </w:r>
      <w:r w:rsidRPr="001D2570">
        <w:t xml:space="preserve"> of the Interreg-project Greater Copenhagen Life Science Analysis Initiative</w:t>
      </w:r>
      <w:r>
        <w:t xml:space="preserve"> 2022, available at: </w:t>
      </w:r>
      <w:hyperlink r:id="rId147" w:history="1">
        <w:r w:rsidRPr="00DD263D">
          <w:rPr>
            <w:rStyle w:val="Hipercze"/>
            <w:sz w:val="16"/>
          </w:rPr>
          <w:t>https://mva.org/wp-content/uploads/2022/05/20220518_Life_science_easter_denmark.pdf</w:t>
        </w:r>
      </w:hyperlink>
      <w:r>
        <w:t xml:space="preserve"> </w:t>
      </w:r>
      <w:r w:rsidR="00AF56EC">
        <w:t>[Accessed</w:t>
      </w:r>
      <w:r>
        <w:t xml:space="preserve"> July 2022]</w:t>
      </w:r>
    </w:p>
  </w:footnote>
  <w:footnote w:id="202">
    <w:p w14:paraId="6D1792AF" w14:textId="4469A63E" w:rsidR="00D04E0D" w:rsidRDefault="00D04E0D" w:rsidP="00D04E0D">
      <w:pPr>
        <w:pStyle w:val="Tekstprzypisudolnego"/>
      </w:pPr>
      <w:r>
        <w:rPr>
          <w:rStyle w:val="Odwoanieprzypisudolnego"/>
        </w:rPr>
        <w:footnoteRef/>
      </w:r>
      <w:r>
        <w:t xml:space="preserve"> </w:t>
      </w:r>
      <w:r>
        <w:tab/>
      </w:r>
      <w:hyperlink r:id="rId148" w:history="1">
        <w:r w:rsidRPr="00DD263D">
          <w:rPr>
            <w:rStyle w:val="Hipercze"/>
            <w:sz w:val="16"/>
          </w:rPr>
          <w:t>https://usa.um.dk/en/about-us/danish-missions/innovation-centre-denmark-boston</w:t>
        </w:r>
      </w:hyperlink>
      <w:r>
        <w:t xml:space="preserve"> </w:t>
      </w:r>
      <w:r w:rsidR="00AF56EC">
        <w:t>[Accessed</w:t>
      </w:r>
      <w:r>
        <w:t xml:space="preserve"> July 2022]</w:t>
      </w:r>
    </w:p>
  </w:footnote>
  <w:footnote w:id="203">
    <w:p w14:paraId="7B57825D" w14:textId="4EA58CEF" w:rsidR="001E2315" w:rsidRDefault="001E2315">
      <w:pPr>
        <w:pStyle w:val="Tekstprzypisudolnego"/>
      </w:pPr>
      <w:r>
        <w:rPr>
          <w:rStyle w:val="Odwoanieprzypisudolnego"/>
        </w:rPr>
        <w:footnoteRef/>
      </w:r>
      <w:r>
        <w:t xml:space="preserve"> </w:t>
      </w:r>
      <w:r>
        <w:tab/>
      </w:r>
      <w:r w:rsidR="004039B2">
        <w:t xml:space="preserve">IQVIA (2022) </w:t>
      </w:r>
      <w:r w:rsidR="004039B2" w:rsidRPr="004039B2">
        <w:t>Global Trends in R&amp;D 2022</w:t>
      </w:r>
      <w:r w:rsidR="00AF56EC">
        <w:t>.</w:t>
      </w:r>
      <w:r w:rsidR="00693030">
        <w:t xml:space="preserve"> </w:t>
      </w:r>
      <w:r w:rsidR="00AF56EC">
        <w:t>A</w:t>
      </w:r>
      <w:r w:rsidR="00693030">
        <w:t xml:space="preserve">vailable at: </w:t>
      </w:r>
      <w:hyperlink r:id="rId149" w:history="1">
        <w:r w:rsidR="00693030" w:rsidRPr="00982DB6">
          <w:rPr>
            <w:rStyle w:val="Hipercze"/>
            <w:sz w:val="16"/>
          </w:rPr>
          <w:t>https://www.iqvia.com/insights/the-iqvia-institute/reports/global-trends-in-r-and-d-2022</w:t>
        </w:r>
      </w:hyperlink>
      <w:r w:rsidR="00693030">
        <w:t xml:space="preserve"> [Accessed July 2022]</w:t>
      </w:r>
    </w:p>
  </w:footnote>
  <w:footnote w:id="204">
    <w:p w14:paraId="1C382169" w14:textId="25100F45" w:rsidR="005B7DA8" w:rsidRDefault="005B7DA8">
      <w:pPr>
        <w:pStyle w:val="Tekstprzypisudolnego"/>
      </w:pPr>
      <w:r>
        <w:rPr>
          <w:rStyle w:val="Odwoanieprzypisudolnego"/>
        </w:rPr>
        <w:footnoteRef/>
      </w:r>
      <w:r>
        <w:t xml:space="preserve"> </w:t>
      </w:r>
      <w:r>
        <w:tab/>
      </w:r>
      <w:r w:rsidR="00DD6039">
        <w:t xml:space="preserve">Loche, A. </w:t>
      </w:r>
      <w:r w:rsidR="000860D9">
        <w:t xml:space="preserve">et al. </w:t>
      </w:r>
      <w:r w:rsidR="00DD6039">
        <w:t xml:space="preserve">(2021) </w:t>
      </w:r>
      <w:r w:rsidR="00DD6039" w:rsidRPr="00C4321D">
        <w:t>A call to action: Opportunities and challenges for CGTs in Europe</w:t>
      </w:r>
      <w:r w:rsidR="00DD6039">
        <w:t xml:space="preserve">. </w:t>
      </w:r>
      <w:r w:rsidR="00D34428">
        <w:t>Available at:</w:t>
      </w:r>
      <w:r w:rsidR="00DD6039">
        <w:t xml:space="preserve"> </w:t>
      </w:r>
      <w:hyperlink r:id="rId150" w:history="1">
        <w:r w:rsidR="00DD6039" w:rsidRPr="000C0A98">
          <w:rPr>
            <w:rStyle w:val="Hipercze"/>
            <w:sz w:val="16"/>
          </w:rPr>
          <w:t>https://www.mckinsey.com/industries/life-sciences/our-insights/a-call-to-action-opportunities-and-challenges-for-cgts-in-Europe</w:t>
        </w:r>
      </w:hyperlink>
      <w:r w:rsidR="00DD6039">
        <w:t xml:space="preserve"> [Accessed </w:t>
      </w:r>
      <w:r w:rsidR="00F32547">
        <w:t>July</w:t>
      </w:r>
      <w:r w:rsidR="00DD6039">
        <w:t xml:space="preserve"> 2022]</w:t>
      </w:r>
    </w:p>
  </w:footnote>
  <w:footnote w:id="205">
    <w:p w14:paraId="49FCD0D5" w14:textId="5CFD9975" w:rsidR="00F32547" w:rsidRDefault="00F32547">
      <w:pPr>
        <w:pStyle w:val="Tekstprzypisudolnego"/>
      </w:pPr>
      <w:r>
        <w:rPr>
          <w:rStyle w:val="Odwoanieprzypisudolnego"/>
        </w:rPr>
        <w:footnoteRef/>
      </w:r>
      <w:r>
        <w:t xml:space="preserve"> </w:t>
      </w:r>
      <w:r>
        <w:tab/>
      </w:r>
      <w:hyperlink r:id="rId151" w:history="1">
        <w:r w:rsidRPr="00A160AA">
          <w:rPr>
            <w:rStyle w:val="Hipercze"/>
            <w:sz w:val="16"/>
          </w:rPr>
          <w:t>https://www.areadevelopment.com/Biotech/Q4-2021/location-factors-for-cell-and-gene-therapy-companies.shtml</w:t>
        </w:r>
      </w:hyperlink>
      <w:r>
        <w:t xml:space="preserve"> [Accessed July 2022]</w:t>
      </w:r>
    </w:p>
  </w:footnote>
  <w:footnote w:id="206">
    <w:p w14:paraId="28D6216D" w14:textId="7426A2B4" w:rsidR="00CC41A9" w:rsidRDefault="00CC41A9">
      <w:pPr>
        <w:pStyle w:val="Tekstprzypisudolnego"/>
      </w:pPr>
      <w:r>
        <w:rPr>
          <w:rStyle w:val="Odwoanieprzypisudolnego"/>
        </w:rPr>
        <w:footnoteRef/>
      </w:r>
      <w:r>
        <w:t xml:space="preserve"> </w:t>
      </w:r>
      <w:r>
        <w:tab/>
        <w:t xml:space="preserve">Information from interview programme with pharmaceutical company representatives, </w:t>
      </w:r>
      <w:r w:rsidR="001A0813">
        <w:t>June–</w:t>
      </w:r>
      <w:r>
        <w:t>July 2022.</w:t>
      </w:r>
    </w:p>
  </w:footnote>
  <w:footnote w:id="207">
    <w:p w14:paraId="438AD598" w14:textId="7CDEE7ED" w:rsidR="002E1F45" w:rsidRDefault="002E1F45">
      <w:pPr>
        <w:pStyle w:val="Tekstprzypisudolnego"/>
      </w:pPr>
      <w:r>
        <w:rPr>
          <w:rStyle w:val="Odwoanieprzypisudolnego"/>
        </w:rPr>
        <w:footnoteRef/>
      </w:r>
      <w:r>
        <w:t xml:space="preserve"> </w:t>
      </w:r>
      <w:r>
        <w:tab/>
        <w:t>Keto</w:t>
      </w:r>
      <w:r w:rsidR="00F54434">
        <w:t>kivi, M. and Ali-</w:t>
      </w:r>
      <w:r w:rsidR="00662544" w:rsidRPr="00662544">
        <w:t>Yrkkö</w:t>
      </w:r>
      <w:r w:rsidR="00662544">
        <w:t xml:space="preserve">, J. (2009) </w:t>
      </w:r>
      <w:r w:rsidR="00662544" w:rsidRPr="00662544">
        <w:t>Unbundling R&amp;D and Manufacturing: Postindustrial Myth or Economic Reality?</w:t>
      </w:r>
      <w:r w:rsidR="00662544">
        <w:t xml:space="preserve"> </w:t>
      </w:r>
      <w:r w:rsidR="009E4210" w:rsidRPr="00D53D69">
        <w:rPr>
          <w:i/>
          <w:iCs/>
        </w:rPr>
        <w:t>Review of Policy Research</w:t>
      </w:r>
      <w:r w:rsidR="009E4210" w:rsidRPr="009E4210">
        <w:t>, 26</w:t>
      </w:r>
      <w:r w:rsidR="00556157">
        <w:t xml:space="preserve"> (</w:t>
      </w:r>
      <w:r w:rsidR="009E4210" w:rsidRPr="009E4210">
        <w:t>1</w:t>
      </w:r>
      <w:r w:rsidR="008B0E14">
        <w:t>–</w:t>
      </w:r>
      <w:r w:rsidR="009E4210" w:rsidRPr="009E4210">
        <w:t>2</w:t>
      </w:r>
      <w:r w:rsidR="00556157">
        <w:t>)</w:t>
      </w:r>
      <w:r w:rsidR="009E4210" w:rsidRPr="009E4210">
        <w:t>: 35–54.</w:t>
      </w:r>
    </w:p>
  </w:footnote>
  <w:footnote w:id="208">
    <w:p w14:paraId="404B9FF3" w14:textId="4D3B7AE6" w:rsidR="002B29F5" w:rsidRDefault="002B29F5">
      <w:pPr>
        <w:pStyle w:val="Tekstprzypisudolnego"/>
      </w:pPr>
      <w:r>
        <w:rPr>
          <w:rStyle w:val="Odwoanieprzypisudolnego"/>
        </w:rPr>
        <w:footnoteRef/>
      </w:r>
      <w:r>
        <w:t xml:space="preserve"> </w:t>
      </w:r>
      <w:r>
        <w:tab/>
      </w:r>
      <w:hyperlink r:id="rId152" w:history="1">
        <w:r w:rsidRPr="00A160AA">
          <w:rPr>
            <w:rStyle w:val="Hipercze"/>
            <w:sz w:val="16"/>
          </w:rPr>
          <w:t>https://news.harvard.edu/gazette/story/2021/01/center-for-cell-and-gene-therapy-to-open-next-year/</w:t>
        </w:r>
      </w:hyperlink>
      <w:r>
        <w:t xml:space="preserve"> [Accessed July 2022]</w:t>
      </w:r>
    </w:p>
  </w:footnote>
  <w:footnote w:id="209">
    <w:p w14:paraId="6DD23027" w14:textId="45E720D8" w:rsidR="00296725" w:rsidRDefault="00296725">
      <w:pPr>
        <w:pStyle w:val="Tekstprzypisudolnego"/>
      </w:pPr>
      <w:r>
        <w:rPr>
          <w:rStyle w:val="Odwoanieprzypisudolnego"/>
        </w:rPr>
        <w:footnoteRef/>
      </w:r>
      <w:r>
        <w:t xml:space="preserve"> </w:t>
      </w:r>
      <w:r>
        <w:tab/>
      </w:r>
      <w:hyperlink r:id="rId153" w:history="1">
        <w:r w:rsidRPr="00A160AA">
          <w:rPr>
            <w:rStyle w:val="Hipercze"/>
            <w:sz w:val="16"/>
          </w:rPr>
          <w:t>https://investors.vrtx.com/news-releases/news-release-details/vertex-announces-further-expansion-boston-seaport-dedication</w:t>
        </w:r>
      </w:hyperlink>
      <w:r>
        <w:t xml:space="preserve"> [Accessed July 2022]</w:t>
      </w:r>
    </w:p>
  </w:footnote>
  <w:footnote w:id="210">
    <w:p w14:paraId="02F46E66" w14:textId="1D788728" w:rsidR="006875D1" w:rsidRDefault="006875D1">
      <w:pPr>
        <w:pStyle w:val="Tekstprzypisudolnego"/>
      </w:pPr>
      <w:r>
        <w:rPr>
          <w:rStyle w:val="Odwoanieprzypisudolnego"/>
        </w:rPr>
        <w:footnoteRef/>
      </w:r>
      <w:r>
        <w:t xml:space="preserve"> </w:t>
      </w:r>
      <w:r>
        <w:tab/>
      </w:r>
      <w:hyperlink r:id="rId154" w:history="1">
        <w:r w:rsidRPr="00A160AA">
          <w:rPr>
            <w:rStyle w:val="Hipercze"/>
            <w:sz w:val="16"/>
          </w:rPr>
          <w:t>https://www.ncbiotech.org/transforming-life-sciences/sectors-attention/gene-and-cell-therapy</w:t>
        </w:r>
      </w:hyperlink>
      <w:r>
        <w:t xml:space="preserve"> [Accessed July 2022]</w:t>
      </w:r>
    </w:p>
  </w:footnote>
  <w:footnote w:id="211">
    <w:p w14:paraId="4225ED7D" w14:textId="1DD65ED8" w:rsidR="00115C23" w:rsidRDefault="00115C23">
      <w:pPr>
        <w:pStyle w:val="Tekstprzypisudolnego"/>
      </w:pPr>
      <w:r>
        <w:rPr>
          <w:rStyle w:val="Odwoanieprzypisudolnego"/>
        </w:rPr>
        <w:footnoteRef/>
      </w:r>
      <w:r>
        <w:t xml:space="preserve"> </w:t>
      </w:r>
      <w:r>
        <w:tab/>
        <w:t xml:space="preserve">SQW (2021) </w:t>
      </w:r>
      <w:r w:rsidRPr="00115C23">
        <w:t>Life sciences in Hertfordshire and the emergence of a global and gene therapy cluster</w:t>
      </w:r>
      <w:r>
        <w:t xml:space="preserve">. Available at: </w:t>
      </w:r>
      <w:hyperlink r:id="rId155" w:history="1">
        <w:r w:rsidR="00ED1E2A" w:rsidRPr="00A160AA">
          <w:rPr>
            <w:rStyle w:val="Hipercze"/>
            <w:sz w:val="16"/>
          </w:rPr>
          <w:t>https://www.hertfordshirelep.com/media/e3dhe4jc/hertfordshire-s-cell-and-gene-therapy-cluster-july-2021.pdf</w:t>
        </w:r>
      </w:hyperlink>
      <w:r w:rsidR="00ED1E2A">
        <w:t xml:space="preserve"> [Accessed July 2022]</w:t>
      </w:r>
    </w:p>
  </w:footnote>
  <w:footnote w:id="212">
    <w:p w14:paraId="7589E9EC" w14:textId="5416FBF3" w:rsidR="0070739D" w:rsidRDefault="0070739D">
      <w:pPr>
        <w:pStyle w:val="Tekstprzypisudolnego"/>
      </w:pPr>
      <w:r>
        <w:rPr>
          <w:rStyle w:val="Odwoanieprzypisudolnego"/>
        </w:rPr>
        <w:footnoteRef/>
      </w:r>
      <w:r>
        <w:t xml:space="preserve"> </w:t>
      </w:r>
      <w:r>
        <w:tab/>
      </w:r>
      <w:hyperlink r:id="rId156" w:history="1">
        <w:r w:rsidRPr="00A160AA">
          <w:rPr>
            <w:rStyle w:val="Hipercze"/>
            <w:sz w:val="16"/>
          </w:rPr>
          <w:t>https://www.nature.com/articles/d43747-020-00721-0</w:t>
        </w:r>
      </w:hyperlink>
      <w:r>
        <w:t xml:space="preserve"> [Accessed July 2022]</w:t>
      </w:r>
    </w:p>
  </w:footnote>
  <w:footnote w:id="213">
    <w:p w14:paraId="14FAAA17" w14:textId="678858D5" w:rsidR="00715A67" w:rsidRDefault="00715A67">
      <w:pPr>
        <w:pStyle w:val="Tekstprzypisudolnego"/>
      </w:pPr>
      <w:r>
        <w:rPr>
          <w:rStyle w:val="Odwoanieprzypisudolnego"/>
        </w:rPr>
        <w:footnoteRef/>
      </w:r>
      <w:r>
        <w:t xml:space="preserve"> </w:t>
      </w:r>
      <w:r>
        <w:tab/>
      </w:r>
      <w:hyperlink r:id="rId157" w:history="1">
        <w:r w:rsidRPr="00A160AA">
          <w:rPr>
            <w:rStyle w:val="Hipercze"/>
            <w:sz w:val="16"/>
          </w:rPr>
          <w:t>https://www.thepharmaletter.com/article/ucb-expanding-gene-therapy-facilities-with-200-million-euro-investment</w:t>
        </w:r>
      </w:hyperlink>
      <w:r>
        <w:t xml:space="preserve"> [Accessed July 2022]</w:t>
      </w:r>
    </w:p>
  </w:footnote>
  <w:footnote w:id="214">
    <w:p w14:paraId="720DD1D1" w14:textId="2351D522" w:rsidR="000B44DB" w:rsidRDefault="000B44DB">
      <w:pPr>
        <w:pStyle w:val="Tekstprzypisudolnego"/>
      </w:pPr>
      <w:r>
        <w:rPr>
          <w:rStyle w:val="Odwoanieprzypisudolnego"/>
        </w:rPr>
        <w:footnoteRef/>
      </w:r>
      <w:r>
        <w:t xml:space="preserve"> </w:t>
      </w:r>
      <w:r>
        <w:tab/>
      </w:r>
      <w:r w:rsidR="00621727">
        <w:t>ARM, EFPIA, EuropaBio</w:t>
      </w:r>
      <w:r w:rsidR="001F0BB6">
        <w:t xml:space="preserve">, and Beattie, S. (2021) </w:t>
      </w:r>
      <w:r w:rsidR="00767EE2">
        <w:t>C</w:t>
      </w:r>
      <w:r w:rsidR="00767EE2" w:rsidRPr="00767EE2">
        <w:t>all for More Effective Regulation of Clinical Trials with Advanced Therapy Medicinal Products Consisting of or Containing Genetically Modified Organisms in the European Union</w:t>
      </w:r>
      <w:r w:rsidR="00767EE2">
        <w:t xml:space="preserve">. </w:t>
      </w:r>
      <w:r w:rsidR="00767EE2" w:rsidRPr="000A2E03">
        <w:rPr>
          <w:i/>
          <w:iCs/>
        </w:rPr>
        <w:t>Hum Gene Ther</w:t>
      </w:r>
      <w:r w:rsidR="00767EE2">
        <w:t xml:space="preserve">. </w:t>
      </w:r>
      <w:r w:rsidR="00700B5C">
        <w:t>32(19</w:t>
      </w:r>
      <w:r w:rsidR="008B0E14">
        <w:t>–</w:t>
      </w:r>
      <w:r w:rsidR="00700B5C">
        <w:t>20):</w:t>
      </w:r>
      <w:r w:rsidR="008B0E14">
        <w:t xml:space="preserve"> </w:t>
      </w:r>
      <w:r w:rsidR="00700B5C">
        <w:t>997</w:t>
      </w:r>
      <w:r w:rsidR="008B0E14">
        <w:t>–</w:t>
      </w:r>
      <w:r w:rsidR="00700B5C">
        <w:t>1003.</w:t>
      </w:r>
    </w:p>
  </w:footnote>
  <w:footnote w:id="215">
    <w:p w14:paraId="166E3546" w14:textId="156A446F" w:rsidR="001A3F88" w:rsidRDefault="001A3F88">
      <w:pPr>
        <w:pStyle w:val="Tekstprzypisudolnego"/>
      </w:pPr>
      <w:r>
        <w:rPr>
          <w:rStyle w:val="Odwoanieprzypisudolnego"/>
        </w:rPr>
        <w:footnoteRef/>
      </w:r>
      <w:r>
        <w:t xml:space="preserve"> </w:t>
      </w:r>
      <w:r>
        <w:tab/>
        <w:t xml:space="preserve">European Commission (2020) Pharmaceutical Strategy for Europe. </w:t>
      </w:r>
      <w:r w:rsidR="000860D9">
        <w:t xml:space="preserve">Available at: </w:t>
      </w:r>
      <w:hyperlink r:id="rId158" w:history="1">
        <w:r w:rsidRPr="00A160AA">
          <w:rPr>
            <w:rStyle w:val="Hipercze"/>
            <w:sz w:val="16"/>
          </w:rPr>
          <w:t>https://health.ec.europa.eu/system/files/2021-02/pharma-strategy_report_en_0.pdf</w:t>
        </w:r>
      </w:hyperlink>
      <w:r>
        <w:t xml:space="preserve"> [Accessed September 2022]</w:t>
      </w:r>
    </w:p>
  </w:footnote>
  <w:footnote w:id="216">
    <w:p w14:paraId="17FA04B8" w14:textId="28D009F4" w:rsidR="005B7F91" w:rsidRDefault="005B7F91">
      <w:pPr>
        <w:pStyle w:val="Tekstprzypisudolnego"/>
      </w:pPr>
      <w:r>
        <w:rPr>
          <w:rStyle w:val="Odwoanieprzypisudolnego"/>
        </w:rPr>
        <w:footnoteRef/>
      </w:r>
      <w:r w:rsidRPr="000A2E03">
        <w:rPr>
          <w:lang w:val="it-IT"/>
        </w:rPr>
        <w:t xml:space="preserve"> </w:t>
      </w:r>
      <w:r w:rsidRPr="000A2E03">
        <w:rPr>
          <w:lang w:val="it-IT"/>
        </w:rPr>
        <w:tab/>
      </w:r>
      <w:r w:rsidR="000E4388" w:rsidRPr="000A2E03">
        <w:rPr>
          <w:lang w:val="it-IT"/>
        </w:rPr>
        <w:t>Iglesias-Lopez, C</w:t>
      </w:r>
      <w:r w:rsidR="000F60AE" w:rsidRPr="000A2E03">
        <w:rPr>
          <w:lang w:val="it-IT"/>
        </w:rPr>
        <w:t xml:space="preserve">. et al. </w:t>
      </w:r>
      <w:r w:rsidR="00EB3D09">
        <w:t xml:space="preserve">(2021) </w:t>
      </w:r>
      <w:r w:rsidR="000F60AE" w:rsidRPr="000F60AE">
        <w:t>Current landscape of clinical development and approval of advanced therapies</w:t>
      </w:r>
      <w:r w:rsidR="000F60AE">
        <w:t xml:space="preserve">. </w:t>
      </w:r>
      <w:r w:rsidR="000F60AE" w:rsidRPr="000632B7">
        <w:rPr>
          <w:i/>
          <w:iCs/>
        </w:rPr>
        <w:t>Molecular Therapy Methods &amp; Clinical Development</w:t>
      </w:r>
      <w:r w:rsidR="000F60AE">
        <w:t xml:space="preserve">. </w:t>
      </w:r>
      <w:r w:rsidR="00844AE4">
        <w:t>23</w:t>
      </w:r>
      <w:r w:rsidR="00EB3D09">
        <w:t>: 606</w:t>
      </w:r>
      <w:r w:rsidR="008B0E14">
        <w:t>–</w:t>
      </w:r>
      <w:r w:rsidR="00EB3D09">
        <w:t>618.</w:t>
      </w:r>
    </w:p>
  </w:footnote>
  <w:footnote w:id="217">
    <w:p w14:paraId="3FE7DC07" w14:textId="385D4409" w:rsidR="00C41213" w:rsidRDefault="00C41213">
      <w:pPr>
        <w:pStyle w:val="Tekstprzypisudolnego"/>
      </w:pPr>
      <w:r>
        <w:rPr>
          <w:rStyle w:val="Odwoanieprzypisudolnego"/>
        </w:rPr>
        <w:footnoteRef/>
      </w:r>
      <w:r>
        <w:t xml:space="preserve"> </w:t>
      </w:r>
      <w:r>
        <w:tab/>
      </w:r>
      <w:hyperlink r:id="rId159" w:history="1">
        <w:r w:rsidRPr="00A160AA">
          <w:rPr>
            <w:rStyle w:val="Hipercze"/>
            <w:sz w:val="16"/>
          </w:rPr>
          <w:t>https://bioprocessintl.com/sponsored-content/reducing-cell-and-gene-therapy-development-time-and-cost-with-new-purification-strategies/</w:t>
        </w:r>
      </w:hyperlink>
      <w:r>
        <w:t xml:space="preserve"> [Accessed July 2022]</w:t>
      </w:r>
    </w:p>
  </w:footnote>
  <w:footnote w:id="218">
    <w:p w14:paraId="121CDF88" w14:textId="65E98E66" w:rsidR="00880EB9" w:rsidRDefault="00880EB9">
      <w:pPr>
        <w:pStyle w:val="Tekstprzypisudolnego"/>
      </w:pPr>
      <w:r>
        <w:rPr>
          <w:rStyle w:val="Odwoanieprzypisudolnego"/>
        </w:rPr>
        <w:footnoteRef/>
      </w:r>
      <w:r>
        <w:t xml:space="preserve"> </w:t>
      </w:r>
      <w:r>
        <w:tab/>
      </w:r>
      <w:hyperlink r:id="rId160" w:history="1">
        <w:r w:rsidRPr="00A160AA">
          <w:rPr>
            <w:rStyle w:val="Hipercze"/>
            <w:sz w:val="16"/>
          </w:rPr>
          <w:t>https://www.ema.europa.eu/en/human-regulatory/research-development/adaptive-pathways</w:t>
        </w:r>
      </w:hyperlink>
      <w:r>
        <w:t xml:space="preserve"> [Accessed July 2022]</w:t>
      </w:r>
    </w:p>
  </w:footnote>
  <w:footnote w:id="219">
    <w:p w14:paraId="1EF67767" w14:textId="4F2CE01C" w:rsidR="00690248" w:rsidRDefault="00690248">
      <w:pPr>
        <w:pStyle w:val="Tekstprzypisudolnego"/>
      </w:pPr>
      <w:r>
        <w:rPr>
          <w:rStyle w:val="Odwoanieprzypisudolnego"/>
        </w:rPr>
        <w:footnoteRef/>
      </w:r>
      <w:r>
        <w:t xml:space="preserve"> </w:t>
      </w:r>
      <w:r>
        <w:tab/>
      </w:r>
      <w:hyperlink r:id="rId161" w:history="1">
        <w:r w:rsidRPr="00A160AA">
          <w:rPr>
            <w:rStyle w:val="Hipercze"/>
            <w:sz w:val="16"/>
          </w:rPr>
          <w:t>https://www.fda.gov/regulatory-information/search-fda-guidance-documents/long-term-follow-after-administration-human-gene-therapy-products</w:t>
        </w:r>
      </w:hyperlink>
      <w:r>
        <w:t xml:space="preserve"> [Accessed July 2022]</w:t>
      </w:r>
    </w:p>
  </w:footnote>
  <w:footnote w:id="220">
    <w:p w14:paraId="09B7DD05" w14:textId="021B9662" w:rsidR="0019271F" w:rsidRDefault="0019271F">
      <w:pPr>
        <w:pStyle w:val="Tekstprzypisudolnego"/>
      </w:pPr>
      <w:r>
        <w:rPr>
          <w:rStyle w:val="Odwoanieprzypisudolnego"/>
        </w:rPr>
        <w:footnoteRef/>
      </w:r>
      <w:r w:rsidRPr="00D53D69">
        <w:rPr>
          <w:lang w:val="fr-FR"/>
        </w:rPr>
        <w:t xml:space="preserve"> </w:t>
      </w:r>
      <w:r w:rsidRPr="00D53D69">
        <w:rPr>
          <w:lang w:val="fr-FR"/>
        </w:rPr>
        <w:tab/>
        <w:t xml:space="preserve">Wakap, S. W. et al. </w:t>
      </w:r>
      <w:r>
        <w:t xml:space="preserve">(2019) </w:t>
      </w:r>
      <w:r w:rsidRPr="0019271F">
        <w:t>Estimating cumulative point prevalence of rare diseases: analysis of the Orphanet database</w:t>
      </w:r>
      <w:r>
        <w:t xml:space="preserve">. </w:t>
      </w:r>
      <w:r w:rsidRPr="00D53D69">
        <w:rPr>
          <w:i/>
          <w:iCs/>
        </w:rPr>
        <w:t>European Journal of Human Genetics</w:t>
      </w:r>
      <w:r>
        <w:t>,</w:t>
      </w:r>
      <w:r w:rsidRPr="0019271F">
        <w:t xml:space="preserve"> 28:165–173</w:t>
      </w:r>
      <w:r>
        <w:t>.</w:t>
      </w:r>
    </w:p>
  </w:footnote>
  <w:footnote w:id="221">
    <w:p w14:paraId="32B14D0C" w14:textId="589060E2" w:rsidR="00B84420" w:rsidRDefault="00B84420">
      <w:pPr>
        <w:pStyle w:val="Tekstprzypisudolnego"/>
      </w:pPr>
      <w:r>
        <w:rPr>
          <w:rStyle w:val="Odwoanieprzypisudolnego"/>
        </w:rPr>
        <w:footnoteRef/>
      </w:r>
      <w:r>
        <w:t xml:space="preserve"> </w:t>
      </w:r>
      <w:r>
        <w:tab/>
        <w:t>Deloitte (</w:t>
      </w:r>
      <w:r w:rsidR="00C95A62">
        <w:t xml:space="preserve">2020) </w:t>
      </w:r>
      <w:r w:rsidR="00DC60BA">
        <w:t xml:space="preserve">Winning in the cell and gene therapies market in China. </w:t>
      </w:r>
      <w:r w:rsidR="00A613CD">
        <w:t xml:space="preserve">Available at: </w:t>
      </w:r>
      <w:hyperlink r:id="rId162" w:history="1">
        <w:r w:rsidR="00E36720" w:rsidRPr="00BE420C">
          <w:rPr>
            <w:rStyle w:val="Hipercze"/>
            <w:sz w:val="16"/>
          </w:rPr>
          <w:t>https://www2.deloitte.com/content/dam/insights/us/articles/APAC_63550_Winning-in-the-cell-and-gene-therapies/DI_China_CGT_white_paper.pdf</w:t>
        </w:r>
      </w:hyperlink>
      <w:r w:rsidR="00E36720">
        <w:t xml:space="preserve"> [Accessed July 2022]</w:t>
      </w:r>
    </w:p>
  </w:footnote>
  <w:footnote w:id="222">
    <w:p w14:paraId="54E3FD2A" w14:textId="4438ED46" w:rsidR="00971937" w:rsidRDefault="00971937">
      <w:pPr>
        <w:pStyle w:val="Tekstprzypisudolnego"/>
      </w:pPr>
      <w:r>
        <w:rPr>
          <w:rStyle w:val="Odwoanieprzypisudolnego"/>
        </w:rPr>
        <w:footnoteRef/>
      </w:r>
      <w:r>
        <w:t xml:space="preserve"> </w:t>
      </w:r>
      <w:r>
        <w:tab/>
        <w:t xml:space="preserve">EFPIA (2022) The pharmaceutical industry in figures 2022. Available at: </w:t>
      </w:r>
      <w:hyperlink r:id="rId163" w:history="1">
        <w:r w:rsidRPr="00A160AA">
          <w:rPr>
            <w:rStyle w:val="Hipercze"/>
            <w:sz w:val="16"/>
          </w:rPr>
          <w:t>https://www.efpia.eu/media/637143/the-pharmaceutical-industry-in-figures-2022.pdf</w:t>
        </w:r>
      </w:hyperlink>
      <w:r>
        <w:t xml:space="preserve"> [Accessed July 2022]</w:t>
      </w:r>
    </w:p>
  </w:footnote>
  <w:footnote w:id="223">
    <w:p w14:paraId="72F04196" w14:textId="501A8EE3" w:rsidR="00A151B7" w:rsidRDefault="00A151B7">
      <w:pPr>
        <w:pStyle w:val="Tekstprzypisudolnego"/>
      </w:pPr>
      <w:r>
        <w:rPr>
          <w:rStyle w:val="Odwoanieprzypisudolnego"/>
        </w:rPr>
        <w:footnoteRef/>
      </w:r>
      <w:r>
        <w:t xml:space="preserve"> </w:t>
      </w:r>
      <w:r>
        <w:tab/>
        <w:t xml:space="preserve">Eger, S. and Mahlich, J. C. (2014) </w:t>
      </w:r>
      <w:r w:rsidRPr="00A151B7">
        <w:t>Pharmaceutical regulation in Europe and its impact on corporate R&amp;D</w:t>
      </w:r>
      <w:r>
        <w:t xml:space="preserve">. </w:t>
      </w:r>
      <w:r w:rsidRPr="00D53D69">
        <w:rPr>
          <w:i/>
          <w:iCs/>
        </w:rPr>
        <w:t>Health Econ Rev</w:t>
      </w:r>
      <w:r w:rsidR="00FF6D13">
        <w:t>.</w:t>
      </w:r>
      <w:r w:rsidRPr="00A151B7">
        <w:t xml:space="preserve"> 4: 23</w:t>
      </w:r>
      <w:r>
        <w:t>.</w:t>
      </w:r>
    </w:p>
  </w:footnote>
  <w:footnote w:id="224">
    <w:p w14:paraId="3E578B04" w14:textId="25E86B9D" w:rsidR="000F5144" w:rsidRDefault="000F5144">
      <w:pPr>
        <w:pStyle w:val="Tekstprzypisudolnego"/>
      </w:pPr>
      <w:r>
        <w:rPr>
          <w:rStyle w:val="Odwoanieprzypisudolnego"/>
        </w:rPr>
        <w:footnoteRef/>
      </w:r>
      <w:r w:rsidRPr="000A2E03">
        <w:rPr>
          <w:lang w:val="it-IT"/>
        </w:rPr>
        <w:t xml:space="preserve"> </w:t>
      </w:r>
      <w:r w:rsidRPr="000A2E03">
        <w:rPr>
          <w:lang w:val="it-IT"/>
        </w:rPr>
        <w:tab/>
      </w:r>
      <w:r w:rsidR="008F6F53" w:rsidRPr="000A2E03">
        <w:rPr>
          <w:lang w:val="it-IT"/>
        </w:rPr>
        <w:t xml:space="preserve">Iglesias-Lopez, C. et al. </w:t>
      </w:r>
      <w:r w:rsidR="008F6F53">
        <w:t xml:space="preserve">(2021) </w:t>
      </w:r>
      <w:r w:rsidR="009516F7" w:rsidRPr="009516F7">
        <w:t>Comparison of regulatory pathways for the approval of advanced therapies in the European Union and the United States</w:t>
      </w:r>
      <w:r w:rsidR="009516F7">
        <w:t xml:space="preserve">. </w:t>
      </w:r>
      <w:r w:rsidR="007C3627" w:rsidRPr="00CD11A3">
        <w:rPr>
          <w:i/>
          <w:iCs/>
        </w:rPr>
        <w:t>Cytotherapy</w:t>
      </w:r>
      <w:r w:rsidR="007C3627">
        <w:t>. 23(3): 261</w:t>
      </w:r>
      <w:r w:rsidR="008B0E14">
        <w:t>–</w:t>
      </w:r>
      <w:r w:rsidR="006B46A4">
        <w:t>274.</w:t>
      </w:r>
    </w:p>
  </w:footnote>
  <w:footnote w:id="225">
    <w:p w14:paraId="27F987DA" w14:textId="40C500DB" w:rsidR="00AB7593" w:rsidRDefault="00AB7593" w:rsidP="00CE4939">
      <w:pPr>
        <w:pStyle w:val="Tekstprzypisudolnego"/>
      </w:pPr>
      <w:r>
        <w:rPr>
          <w:rStyle w:val="Odwoanieprzypisudolnego"/>
        </w:rPr>
        <w:footnoteRef/>
      </w:r>
      <w:r>
        <w:t xml:space="preserve"> </w:t>
      </w:r>
      <w:r>
        <w:tab/>
      </w:r>
      <w:r w:rsidR="002B520B">
        <w:t xml:space="preserve">Van </w:t>
      </w:r>
      <w:r>
        <w:t>Norm</w:t>
      </w:r>
      <w:r w:rsidR="002B520B">
        <w:t xml:space="preserve">an, G. A. (2016) </w:t>
      </w:r>
      <w:r w:rsidR="00C62729" w:rsidRPr="00C62729">
        <w:t>Drugs and Devices: Comparison of European and U.S. Approval Processes</w:t>
      </w:r>
      <w:r w:rsidR="00C62729">
        <w:t xml:space="preserve">. </w:t>
      </w:r>
      <w:r w:rsidR="00CE4939" w:rsidRPr="002823BC">
        <w:rPr>
          <w:i/>
          <w:iCs/>
        </w:rPr>
        <w:t>JACC Basic Transl Sci</w:t>
      </w:r>
      <w:r w:rsidR="004A285E">
        <w:t xml:space="preserve">. </w:t>
      </w:r>
      <w:r w:rsidR="004764F1">
        <w:t>1(5):</w:t>
      </w:r>
      <w:r w:rsidR="00BE2581">
        <w:t>399-412.</w:t>
      </w:r>
    </w:p>
  </w:footnote>
  <w:footnote w:id="226">
    <w:p w14:paraId="2ABB10A9" w14:textId="0B7F78CD" w:rsidR="00026019" w:rsidRDefault="00026019">
      <w:pPr>
        <w:pStyle w:val="Tekstprzypisudolnego"/>
      </w:pPr>
      <w:r>
        <w:rPr>
          <w:rStyle w:val="Odwoanieprzypisudolnego"/>
        </w:rPr>
        <w:footnoteRef/>
      </w:r>
      <w:r>
        <w:t xml:space="preserve"> </w:t>
      </w:r>
      <w:r>
        <w:tab/>
        <w:t xml:space="preserve">European Commission </w:t>
      </w:r>
      <w:r w:rsidR="00F01759">
        <w:t>(2020)</w:t>
      </w:r>
      <w:r>
        <w:t xml:space="preserve"> Pharmaceutical Strategy for Europe. </w:t>
      </w:r>
      <w:r w:rsidR="000860D9">
        <w:t xml:space="preserve">Available at: </w:t>
      </w:r>
      <w:hyperlink r:id="rId164" w:history="1">
        <w:r w:rsidRPr="00A160AA">
          <w:rPr>
            <w:rStyle w:val="Hipercze"/>
            <w:sz w:val="16"/>
          </w:rPr>
          <w:t>https://health.ec.europa.eu/system/files/2021-02/pharma-strategy_report_en_0.pdf</w:t>
        </w:r>
      </w:hyperlink>
      <w:r>
        <w:t xml:space="preserve"> [Accessed September 2022]</w:t>
      </w:r>
    </w:p>
  </w:footnote>
  <w:footnote w:id="227">
    <w:p w14:paraId="6EB1E36C" w14:textId="12A7805D" w:rsidR="006957D2" w:rsidRDefault="006957D2">
      <w:pPr>
        <w:pStyle w:val="Tekstprzypisudolnego"/>
      </w:pPr>
      <w:r>
        <w:rPr>
          <w:rStyle w:val="Odwoanieprzypisudolnego"/>
        </w:rPr>
        <w:footnoteRef/>
      </w:r>
      <w:r>
        <w:t xml:space="preserve"> </w:t>
      </w:r>
      <w:r>
        <w:tab/>
        <w:t xml:space="preserve">European Commission (2021) </w:t>
      </w:r>
      <w:r w:rsidR="00752074" w:rsidRPr="00752074">
        <w:t>Evaluation and revision of the general pharmaceutical legislation</w:t>
      </w:r>
      <w:r w:rsidR="00752074">
        <w:t xml:space="preserve">: Inception Impact Assessment. Available at: </w:t>
      </w:r>
      <w:hyperlink r:id="rId165" w:history="1">
        <w:r w:rsidR="00D01F47" w:rsidRPr="00E57483">
          <w:rPr>
            <w:rStyle w:val="Hipercze"/>
            <w:sz w:val="16"/>
          </w:rPr>
          <w:t>https://ec.europa.eu/info/law/better-regulation/have-your-say/initiatives/12963-Revision-of-the-EU-general-pharmaceuticals-legislation_en</w:t>
        </w:r>
      </w:hyperlink>
      <w:r w:rsidR="00D01F47">
        <w:t xml:space="preserve"> [Accessed September 2022]</w:t>
      </w:r>
    </w:p>
  </w:footnote>
  <w:footnote w:id="228">
    <w:p w14:paraId="2B773391" w14:textId="344A199B" w:rsidR="006F1EEF" w:rsidRDefault="006F1EEF">
      <w:pPr>
        <w:pStyle w:val="Tekstprzypisudolnego"/>
      </w:pPr>
      <w:r>
        <w:rPr>
          <w:rStyle w:val="Odwoanieprzypisudolnego"/>
        </w:rPr>
        <w:footnoteRef/>
      </w:r>
      <w:r>
        <w:t xml:space="preserve"> </w:t>
      </w:r>
      <w:r>
        <w:tab/>
        <w:t>Information from interview programme with pharmaceutical company representatives, June</w:t>
      </w:r>
      <w:r w:rsidR="008B0E14">
        <w:t>–</w:t>
      </w:r>
      <w:r>
        <w:t>July 2022.</w:t>
      </w:r>
    </w:p>
  </w:footnote>
  <w:footnote w:id="229">
    <w:p w14:paraId="7626CF57" w14:textId="4EB177AA" w:rsidR="009326F7" w:rsidRDefault="009326F7">
      <w:pPr>
        <w:pStyle w:val="Tekstprzypisudolnego"/>
      </w:pPr>
      <w:r>
        <w:rPr>
          <w:rStyle w:val="Odwoanieprzypisudolnego"/>
        </w:rPr>
        <w:footnoteRef/>
      </w:r>
      <w:r>
        <w:t xml:space="preserve"> </w:t>
      </w:r>
      <w:r>
        <w:tab/>
      </w:r>
      <w:hyperlink r:id="rId166" w:history="1">
        <w:r w:rsidRPr="00A160AA">
          <w:rPr>
            <w:rStyle w:val="Hipercze"/>
            <w:sz w:val="16"/>
          </w:rPr>
          <w:t>https://theprint.in/tech/ai-helped-moderna-speed-up-covid-vaccine-development-now-it-can-help-climate-too/955061/</w:t>
        </w:r>
      </w:hyperlink>
      <w:r>
        <w:t xml:space="preserve"> [Accessed July 2022]</w:t>
      </w:r>
    </w:p>
  </w:footnote>
  <w:footnote w:id="230">
    <w:p w14:paraId="24131BDD" w14:textId="19C50D94" w:rsidR="002A4D00" w:rsidRDefault="002A4D00">
      <w:pPr>
        <w:pStyle w:val="Tekstprzypisudolnego"/>
      </w:pPr>
      <w:r>
        <w:rPr>
          <w:rStyle w:val="Odwoanieprzypisudolnego"/>
        </w:rPr>
        <w:footnoteRef/>
      </w:r>
      <w:r>
        <w:t xml:space="preserve"> </w:t>
      </w:r>
      <w:r>
        <w:tab/>
        <w:t xml:space="preserve">Information from interview programme with pharmaceutical company representatives, </w:t>
      </w:r>
      <w:r w:rsidR="001A0813">
        <w:t>June–</w:t>
      </w:r>
      <w:r>
        <w:t>July 2022.</w:t>
      </w:r>
    </w:p>
  </w:footnote>
  <w:footnote w:id="231">
    <w:p w14:paraId="757F9E71" w14:textId="0D403817" w:rsidR="002F1A3E" w:rsidRDefault="002F1A3E">
      <w:pPr>
        <w:pStyle w:val="Tekstprzypisudolnego"/>
      </w:pPr>
      <w:r>
        <w:rPr>
          <w:rStyle w:val="Odwoanieprzypisudolnego"/>
        </w:rPr>
        <w:footnoteRef/>
      </w:r>
      <w:r>
        <w:t xml:space="preserve"> </w:t>
      </w:r>
      <w:r>
        <w:tab/>
      </w:r>
      <w:hyperlink r:id="rId167" w:history="1">
        <w:r w:rsidRPr="00BE420C">
          <w:rPr>
            <w:rStyle w:val="Hipercze"/>
            <w:sz w:val="16"/>
          </w:rPr>
          <w:t>https://www.imd.org/news/updates/China-US-pursuing-markedly-different-but-equally-competitive-digital-transformations-WCC/</w:t>
        </w:r>
      </w:hyperlink>
      <w:r>
        <w:t xml:space="preserve"> [Accessed July 2022]</w:t>
      </w:r>
    </w:p>
  </w:footnote>
  <w:footnote w:id="232">
    <w:p w14:paraId="553FA814" w14:textId="73121AAE" w:rsidR="00F14631" w:rsidRDefault="00F14631">
      <w:pPr>
        <w:pStyle w:val="Tekstprzypisudolnego"/>
      </w:pPr>
      <w:r>
        <w:rPr>
          <w:rStyle w:val="Odwoanieprzypisudolnego"/>
        </w:rPr>
        <w:footnoteRef/>
      </w:r>
      <w:r>
        <w:t xml:space="preserve"> </w:t>
      </w:r>
      <w:r>
        <w:tab/>
        <w:t>Information from interview programme with pharmaceutical company representative, June 2022.</w:t>
      </w:r>
    </w:p>
  </w:footnote>
  <w:footnote w:id="233">
    <w:p w14:paraId="7007D3C7" w14:textId="3FD7C58F" w:rsidR="005E22F5" w:rsidRDefault="005E22F5">
      <w:pPr>
        <w:pStyle w:val="Tekstprzypisudolnego"/>
      </w:pPr>
      <w:r>
        <w:rPr>
          <w:rStyle w:val="Odwoanieprzypisudolnego"/>
        </w:rPr>
        <w:footnoteRef/>
      </w:r>
      <w:r>
        <w:t xml:space="preserve"> </w:t>
      </w:r>
      <w:r>
        <w:tab/>
      </w:r>
      <w:hyperlink r:id="rId168" w:history="1">
        <w:r w:rsidRPr="00A160AA">
          <w:rPr>
            <w:rStyle w:val="Hipercze"/>
            <w:sz w:val="16"/>
          </w:rPr>
          <w:t>https://www.modernatx.com/en-US/media-center/all-media/blogs/moderna-launches-ai-academy-all-employees</w:t>
        </w:r>
      </w:hyperlink>
      <w:r>
        <w:t xml:space="preserve"> [Accessed July 2022]</w:t>
      </w:r>
    </w:p>
  </w:footnote>
  <w:footnote w:id="234">
    <w:p w14:paraId="6CD89B95" w14:textId="6957CEED" w:rsidR="007C5D88" w:rsidRDefault="007C5D88">
      <w:pPr>
        <w:pStyle w:val="Tekstprzypisudolnego"/>
      </w:pPr>
      <w:r>
        <w:rPr>
          <w:rStyle w:val="Odwoanieprzypisudolnego"/>
        </w:rPr>
        <w:footnoteRef/>
      </w:r>
      <w:r>
        <w:t xml:space="preserve"> </w:t>
      </w:r>
      <w:r>
        <w:tab/>
      </w:r>
      <w:hyperlink r:id="rId169" w:history="1">
        <w:r w:rsidRPr="00BE420C">
          <w:rPr>
            <w:rStyle w:val="Hipercze"/>
            <w:sz w:val="16"/>
          </w:rPr>
          <w:t>https://healthcare-in-europe.com/en/news/the-usa-s-digital-healthcare-revolution.html</w:t>
        </w:r>
      </w:hyperlink>
      <w:r>
        <w:t xml:space="preserve"> [Accessed July 2022]</w:t>
      </w:r>
    </w:p>
  </w:footnote>
  <w:footnote w:id="235">
    <w:p w14:paraId="23809B3D" w14:textId="37A69812" w:rsidR="00355250" w:rsidRDefault="00355250">
      <w:pPr>
        <w:pStyle w:val="Tekstprzypisudolnego"/>
      </w:pPr>
      <w:r>
        <w:rPr>
          <w:rStyle w:val="Odwoanieprzypisudolnego"/>
        </w:rPr>
        <w:footnoteRef/>
      </w:r>
      <w:r>
        <w:t xml:space="preserve"> </w:t>
      </w:r>
      <w:r>
        <w:tab/>
        <w:t xml:space="preserve">European Commission (2020) Pharmaceutical Strategy for Europe. </w:t>
      </w:r>
      <w:r w:rsidR="000860D9">
        <w:t xml:space="preserve">Available at: </w:t>
      </w:r>
      <w:hyperlink r:id="rId170" w:history="1">
        <w:r w:rsidRPr="00A160AA">
          <w:rPr>
            <w:rStyle w:val="Hipercze"/>
            <w:sz w:val="16"/>
          </w:rPr>
          <w:t>https://health.ec.europa.eu/system/files/2021-02/pharma-strategy_report_en_0.pdf</w:t>
        </w:r>
      </w:hyperlink>
      <w:r>
        <w:t xml:space="preserve"> [Accessed July 2022]</w:t>
      </w:r>
    </w:p>
  </w:footnote>
  <w:footnote w:id="236">
    <w:p w14:paraId="0AE04980" w14:textId="0D24B1F3" w:rsidR="005E4838" w:rsidRDefault="005E4838" w:rsidP="005E4838">
      <w:pPr>
        <w:pStyle w:val="Tekstprzypisudolnego"/>
      </w:pPr>
      <w:r>
        <w:rPr>
          <w:rStyle w:val="Odwoanieprzypisudolnego"/>
        </w:rPr>
        <w:footnoteRef/>
      </w:r>
      <w:r>
        <w:t xml:space="preserve"> </w:t>
      </w:r>
      <w:r>
        <w:tab/>
        <w:t xml:space="preserve">IQVIA (2022) </w:t>
      </w:r>
      <w:r w:rsidRPr="004039B2">
        <w:t>Global Trends in R&amp;D 2022</w:t>
      </w:r>
      <w:r w:rsidR="004F6218">
        <w:t>. Available</w:t>
      </w:r>
      <w:r>
        <w:t xml:space="preserve"> at: </w:t>
      </w:r>
      <w:hyperlink r:id="rId171" w:history="1">
        <w:r w:rsidRPr="00982DB6">
          <w:rPr>
            <w:rStyle w:val="Hipercze"/>
            <w:sz w:val="16"/>
          </w:rPr>
          <w:t>https://www.iqvia.com/insights/the-iqvia-institute/reports/global-trends-in-r-and-d-2022</w:t>
        </w:r>
      </w:hyperlink>
      <w:r>
        <w:t xml:space="preserve"> [Accessed July 2022] </w:t>
      </w:r>
    </w:p>
  </w:footnote>
  <w:footnote w:id="237">
    <w:p w14:paraId="67D395F6" w14:textId="77777777" w:rsidR="008F14F7" w:rsidRDefault="008F14F7" w:rsidP="008F14F7">
      <w:pPr>
        <w:pStyle w:val="Tekstprzypisudolnego"/>
      </w:pPr>
      <w:r>
        <w:rPr>
          <w:rStyle w:val="Odwoanieprzypisudolnego"/>
        </w:rPr>
        <w:footnoteRef/>
      </w:r>
      <w:r>
        <w:t xml:space="preserve"> </w:t>
      </w:r>
      <w:r>
        <w:tab/>
      </w:r>
      <w:hyperlink r:id="rId172" w:history="1">
        <w:r w:rsidRPr="00A160AA">
          <w:rPr>
            <w:rStyle w:val="Hipercze"/>
            <w:sz w:val="16"/>
          </w:rPr>
          <w:t>https://www.apmhealtheurope.com/story.php?objet=80563</w:t>
        </w:r>
      </w:hyperlink>
      <w:r>
        <w:t xml:space="preserve"> [Accessed July 2022]</w:t>
      </w:r>
    </w:p>
  </w:footnote>
  <w:footnote w:id="238">
    <w:p w14:paraId="1F52FF3C" w14:textId="77777777" w:rsidR="008F14F7" w:rsidRDefault="008F14F7" w:rsidP="008F14F7">
      <w:pPr>
        <w:pStyle w:val="Tekstprzypisudolnego"/>
      </w:pPr>
      <w:r>
        <w:rPr>
          <w:rStyle w:val="Odwoanieprzypisudolnego"/>
        </w:rPr>
        <w:footnoteRef/>
      </w:r>
      <w:r>
        <w:t xml:space="preserve"> </w:t>
      </w:r>
      <w:r>
        <w:tab/>
      </w:r>
      <w:hyperlink r:id="rId173" w:history="1">
        <w:r w:rsidRPr="00A160AA">
          <w:rPr>
            <w:rStyle w:val="Hipercze"/>
            <w:sz w:val="16"/>
          </w:rPr>
          <w:t>https://www.apmhealtheurope.com/story.php?objet=80563</w:t>
        </w:r>
      </w:hyperlink>
      <w:r>
        <w:t xml:space="preserve"> [Accessed July 2022]</w:t>
      </w:r>
    </w:p>
  </w:footnote>
  <w:footnote w:id="239">
    <w:p w14:paraId="4F8D0112" w14:textId="25938BA2" w:rsidR="00684EEF" w:rsidRDefault="00684EEF" w:rsidP="00684EEF">
      <w:pPr>
        <w:pStyle w:val="Tekstprzypisudolnego"/>
      </w:pPr>
      <w:r>
        <w:rPr>
          <w:rStyle w:val="Odwoanieprzypisudolnego"/>
        </w:rPr>
        <w:footnoteRef/>
      </w:r>
      <w:r>
        <w:t xml:space="preserve"> </w:t>
      </w:r>
      <w:r>
        <w:tab/>
      </w:r>
      <w:r w:rsidR="007A1DF1">
        <w:t xml:space="preserve">López-Toro et al. (2021) </w:t>
      </w:r>
      <w:r w:rsidR="007A1DF1" w:rsidRPr="007A1DF1">
        <w:t>Influence of ESGC Indicators on Financial Performance of Listed Pharmaceutical Companies</w:t>
      </w:r>
      <w:r w:rsidR="007A1DF1">
        <w:t xml:space="preserve">. </w:t>
      </w:r>
      <w:r w:rsidR="0011598C" w:rsidRPr="007255C5">
        <w:rPr>
          <w:i/>
          <w:iCs/>
        </w:rPr>
        <w:t>Int J Environ Res Public Health</w:t>
      </w:r>
      <w:r w:rsidR="0011598C" w:rsidRPr="0011598C">
        <w:t>. 18(9): 4556</w:t>
      </w:r>
    </w:p>
  </w:footnote>
  <w:footnote w:id="240">
    <w:p w14:paraId="6F6EF1EB" w14:textId="486B87E1" w:rsidR="00684EEF" w:rsidRDefault="00684EEF" w:rsidP="00684EEF">
      <w:pPr>
        <w:pStyle w:val="Tekstprzypisudolnego"/>
      </w:pPr>
      <w:r>
        <w:rPr>
          <w:rStyle w:val="Odwoanieprzypisudolnego"/>
        </w:rPr>
        <w:footnoteRef/>
      </w:r>
      <w:r>
        <w:t xml:space="preserve"> </w:t>
      </w:r>
      <w:r>
        <w:tab/>
      </w:r>
      <w:hyperlink r:id="rId174" w:history="1">
        <w:r w:rsidR="00540E3A" w:rsidRPr="00BE420C">
          <w:rPr>
            <w:rStyle w:val="Hipercze"/>
            <w:sz w:val="16"/>
          </w:rPr>
          <w:t>https://www.accesstomedicineindex.org/amr-benchmark/research-areas/responsible-manufacturing#</w:t>
        </w:r>
      </w:hyperlink>
      <w:r w:rsidR="00540E3A">
        <w:t xml:space="preserve"> [Accessed July 2022]</w:t>
      </w:r>
    </w:p>
  </w:footnote>
  <w:footnote w:id="241">
    <w:p w14:paraId="0E43B12C" w14:textId="0281F237" w:rsidR="00684EEF" w:rsidRDefault="00684EEF" w:rsidP="00684EEF">
      <w:pPr>
        <w:pStyle w:val="Tekstprzypisudolnego"/>
      </w:pPr>
      <w:r>
        <w:rPr>
          <w:rStyle w:val="Odwoanieprzypisudolnego"/>
        </w:rPr>
        <w:footnoteRef/>
      </w:r>
      <w:r>
        <w:t xml:space="preserve"> </w:t>
      </w:r>
      <w:r>
        <w:tab/>
      </w:r>
      <w:r w:rsidR="00880BC2">
        <w:t xml:space="preserve">Leonard, J. (2022) </w:t>
      </w:r>
      <w:r w:rsidR="00880BC2" w:rsidRPr="00880BC2">
        <w:t>New Rules for U.S. Investments in China Face Fresh Hurdle: Biden’s Team</w:t>
      </w:r>
      <w:r w:rsidR="00880BC2">
        <w:t xml:space="preserve">. Available at: </w:t>
      </w:r>
      <w:hyperlink r:id="rId175" w:history="1">
        <w:r w:rsidR="00880BC2" w:rsidRPr="00880BC2">
          <w:rPr>
            <w:rStyle w:val="Hipercze"/>
            <w:sz w:val="16"/>
          </w:rPr>
          <w:t>https://www.bloomberg.com/news/articles/2022-04-29/biden-team-splits-on-new-rules-for-u-s-investments-in-china</w:t>
        </w:r>
      </w:hyperlink>
      <w:r w:rsidR="00540E3A">
        <w:t xml:space="preserve"> [Accessed July 2022]</w:t>
      </w:r>
    </w:p>
  </w:footnote>
  <w:footnote w:id="242">
    <w:p w14:paraId="55F08E92" w14:textId="18A2E17B" w:rsidR="00684EEF" w:rsidRDefault="00684EEF" w:rsidP="00684EEF">
      <w:pPr>
        <w:pStyle w:val="Tekstprzypisudolnego"/>
      </w:pPr>
      <w:r>
        <w:rPr>
          <w:rStyle w:val="Odwoanieprzypisudolnego"/>
        </w:rPr>
        <w:footnoteRef/>
      </w:r>
      <w:r>
        <w:t xml:space="preserve"> </w:t>
      </w:r>
      <w:r>
        <w:tab/>
      </w:r>
      <w:r w:rsidR="00564A4B">
        <w:t xml:space="preserve">Bottomley, K. (2022) </w:t>
      </w:r>
      <w:r w:rsidR="00C9426E" w:rsidRPr="00C9426E">
        <w:t>The growing impact of Environmental, Social, and Governance (“ESG”) on pharmaceutical supply chains</w:t>
      </w:r>
      <w:r w:rsidR="00C9426E">
        <w:t xml:space="preserve">. Available at: </w:t>
      </w:r>
      <w:hyperlink r:id="rId176" w:history="1">
        <w:r w:rsidR="00C9426E" w:rsidRPr="00BE420C">
          <w:rPr>
            <w:rStyle w:val="Hipercze"/>
            <w:sz w:val="16"/>
          </w:rPr>
          <w:t>https://resultsig.com/the-growing-impact-of-environmental-social-and-governance-esg-on-pharmaceutical-supply-chains/</w:t>
        </w:r>
      </w:hyperlink>
      <w:r w:rsidR="00C9426E">
        <w:t xml:space="preserve"> [Accessed July 2022]</w:t>
      </w:r>
    </w:p>
  </w:footnote>
  <w:footnote w:id="243">
    <w:p w14:paraId="089A499D" w14:textId="4F953410" w:rsidR="00684EEF" w:rsidRDefault="00684EEF" w:rsidP="00684EEF">
      <w:pPr>
        <w:pStyle w:val="Tekstprzypisudolnego"/>
      </w:pPr>
      <w:r>
        <w:rPr>
          <w:rStyle w:val="Odwoanieprzypisudolnego"/>
        </w:rPr>
        <w:footnoteRef/>
      </w:r>
      <w:r>
        <w:t xml:space="preserve"> </w:t>
      </w:r>
      <w:r>
        <w:tab/>
      </w:r>
      <w:r w:rsidR="007F6D78">
        <w:t xml:space="preserve">Black, M. (2022) </w:t>
      </w:r>
      <w:r w:rsidR="00271522" w:rsidRPr="00271522">
        <w:t>ESG and supply chains: assessing the growing risks</w:t>
      </w:r>
      <w:r w:rsidR="00271522">
        <w:t xml:space="preserve">. Available at: </w:t>
      </w:r>
      <w:hyperlink r:id="rId177" w:history="1">
        <w:r w:rsidR="00271522" w:rsidRPr="00BE420C">
          <w:rPr>
            <w:rStyle w:val="Hipercze"/>
            <w:sz w:val="16"/>
          </w:rPr>
          <w:t>https://global.lockton.com/gb/en/news-insights/addressing-growing-supply-chain-risks-from-an-esg-perspective</w:t>
        </w:r>
      </w:hyperlink>
      <w:r w:rsidR="00271522">
        <w:t xml:space="preserve"> [Accessed July 2022]</w:t>
      </w:r>
    </w:p>
  </w:footnote>
  <w:footnote w:id="244">
    <w:p w14:paraId="4BC12BEE" w14:textId="53CB6EB9" w:rsidR="009641A3" w:rsidRDefault="009641A3">
      <w:pPr>
        <w:pStyle w:val="Tekstprzypisudolnego"/>
      </w:pPr>
      <w:r>
        <w:rPr>
          <w:rStyle w:val="Odwoanieprzypisudolnego"/>
        </w:rPr>
        <w:footnoteRef/>
      </w:r>
      <w:r>
        <w:t xml:space="preserve"> </w:t>
      </w:r>
      <w:r w:rsidR="00697F10">
        <w:tab/>
        <w:t xml:space="preserve">European Commission </w:t>
      </w:r>
      <w:r w:rsidR="00697F10" w:rsidRPr="00697F10">
        <w:t>Legal framework governing medicinal products for human use in the EU</w:t>
      </w:r>
      <w:r w:rsidR="009E2B28">
        <w:t xml:space="preserve">. Available at: </w:t>
      </w:r>
      <w:hyperlink r:id="rId178" w:history="1">
        <w:r w:rsidR="00AB74BA" w:rsidRPr="00AB74BA">
          <w:rPr>
            <w:rStyle w:val="Hipercze"/>
            <w:sz w:val="16"/>
          </w:rPr>
          <w:t>https://health.ec.europa.eu/medicinal-products/legal-framework-governing-medicinal-products-human-use-eu_en#</w:t>
        </w:r>
      </w:hyperlink>
      <w:r w:rsidR="00261ABE" w:rsidRPr="00261ABE">
        <w:t>.</w:t>
      </w:r>
      <w:r w:rsidR="00261ABE">
        <w:t xml:space="preserve"> [Accessed July 2022]</w:t>
      </w:r>
    </w:p>
  </w:footnote>
  <w:footnote w:id="245">
    <w:p w14:paraId="79579C98" w14:textId="3E6398EE" w:rsidR="00780046" w:rsidRDefault="00780046" w:rsidP="007D4C10">
      <w:pPr>
        <w:pStyle w:val="Tekstprzypisudolnego"/>
        <w:spacing w:before="0" w:after="0"/>
      </w:pPr>
      <w:r>
        <w:rPr>
          <w:rStyle w:val="Odwoanieprzypisudolnego"/>
        </w:rPr>
        <w:footnoteRef/>
      </w:r>
      <w:r>
        <w:t xml:space="preserve"> </w:t>
      </w:r>
      <w:r>
        <w:tab/>
      </w:r>
      <w:r w:rsidR="00D34428">
        <w:t>Available at:</w:t>
      </w:r>
      <w:r>
        <w:t xml:space="preserve"> </w:t>
      </w:r>
      <w:hyperlink r:id="rId179" w:history="1">
        <w:r w:rsidRPr="00A8083E">
          <w:rPr>
            <w:rStyle w:val="Hipercze"/>
            <w:sz w:val="16"/>
          </w:rPr>
          <w:t>https://www.kearney.com/foreign-direct-investment-confidence-index</w:t>
        </w:r>
      </w:hyperlink>
      <w:r>
        <w:t xml:space="preserve"> [Accessed June 2022]</w:t>
      </w:r>
    </w:p>
  </w:footnote>
  <w:footnote w:id="246">
    <w:p w14:paraId="4055038F" w14:textId="0DEEC79E"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0" w:history="1">
        <w:r w:rsidRPr="00634F60">
          <w:rPr>
            <w:rStyle w:val="Hipercze"/>
            <w:sz w:val="16"/>
          </w:rPr>
          <w:t>https://www.biopharmadive.com/news/roche-to-spend-32b-on-massive-rd-cluster-in-basel/326244/</w:t>
        </w:r>
      </w:hyperlink>
      <w:r>
        <w:t xml:space="preserve"> [Accessed June 2022]</w:t>
      </w:r>
    </w:p>
  </w:footnote>
  <w:footnote w:id="247">
    <w:p w14:paraId="1876519B" w14:textId="1C6CB41E"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1" w:history="1">
        <w:r w:rsidRPr="00634F60">
          <w:rPr>
            <w:rStyle w:val="Hipercze"/>
            <w:sz w:val="16"/>
          </w:rPr>
          <w:t>https://impactcee.com/2018/05/09/roche-sees-the-potential-in-it/</w:t>
        </w:r>
      </w:hyperlink>
      <w:r>
        <w:t xml:space="preserve"> [Accessed June 2022]</w:t>
      </w:r>
    </w:p>
  </w:footnote>
  <w:footnote w:id="248">
    <w:p w14:paraId="0E2553D2" w14:textId="1146B3D3" w:rsidR="005870D5" w:rsidRDefault="005870D5" w:rsidP="000A2E03">
      <w:pPr>
        <w:pStyle w:val="Tekstprzypisudolnego"/>
      </w:pPr>
      <w:r>
        <w:rPr>
          <w:rStyle w:val="Odwoanieprzypisudolnego"/>
        </w:rPr>
        <w:footnoteRef/>
      </w:r>
      <w:r>
        <w:t xml:space="preserve"> </w:t>
      </w:r>
      <w:r>
        <w:tab/>
      </w:r>
      <w:r w:rsidR="00D34428">
        <w:t>Available at:</w:t>
      </w:r>
      <w:r>
        <w:t xml:space="preserve"> </w:t>
      </w:r>
      <w:hyperlink r:id="rId182" w:history="1">
        <w:r w:rsidRPr="00634F60">
          <w:rPr>
            <w:rStyle w:val="Hipercze"/>
            <w:sz w:val="16"/>
          </w:rPr>
          <w:t>https://www.fiercepharma.com/manufacturing/merck-kgaa-antes-up-eu250m-to-bridge-r-d-manufacturing</w:t>
        </w:r>
      </w:hyperlink>
      <w:r>
        <w:t xml:space="preserve"> [Accessed June 2022]</w:t>
      </w:r>
    </w:p>
  </w:footnote>
  <w:footnote w:id="249">
    <w:p w14:paraId="490D4EB8" w14:textId="606D5FB8"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3" w:history="1">
        <w:r w:rsidRPr="00634F60">
          <w:rPr>
            <w:rStyle w:val="Hipercze"/>
            <w:sz w:val="16"/>
          </w:rPr>
          <w:t>https://www.msd.com/stories/our-new-london-discovery-research-center-site/</w:t>
        </w:r>
      </w:hyperlink>
      <w:r>
        <w:t xml:space="preserve"> [Accessed June 2022]</w:t>
      </w:r>
    </w:p>
  </w:footnote>
  <w:footnote w:id="250">
    <w:p w14:paraId="2F3926F7" w14:textId="5EFE0D47" w:rsidR="00334EC4" w:rsidRDefault="00334EC4" w:rsidP="009560C5">
      <w:pPr>
        <w:pStyle w:val="Tekstprzypisudolnego"/>
      </w:pPr>
      <w:r>
        <w:rPr>
          <w:rStyle w:val="Odwoanieprzypisudolnego"/>
        </w:rPr>
        <w:footnoteRef/>
      </w:r>
      <w:r>
        <w:t xml:space="preserve"> </w:t>
      </w:r>
      <w:r>
        <w:tab/>
      </w:r>
      <w:r w:rsidR="00D34428">
        <w:t>Available at:</w:t>
      </w:r>
      <w:r>
        <w:t xml:space="preserve"> </w:t>
      </w:r>
      <w:hyperlink r:id="rId184" w:history="1">
        <w:r w:rsidRPr="00A160AA">
          <w:rPr>
            <w:rStyle w:val="Hipercze"/>
            <w:sz w:val="16"/>
          </w:rPr>
          <w:t>https://www.gov.uk/government/news/moderna-to-open-vaccine-research-and-manufacturing-centre-in-uk</w:t>
        </w:r>
      </w:hyperlink>
      <w:r>
        <w:t xml:space="preserve"> [Accessed July 2022]</w:t>
      </w:r>
    </w:p>
  </w:footnote>
  <w:footnote w:id="251">
    <w:p w14:paraId="1E91C1DC" w14:textId="53504B29"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5" w:history="1">
        <w:r w:rsidRPr="00634F60">
          <w:rPr>
            <w:rStyle w:val="Hipercze"/>
            <w:sz w:val="16"/>
          </w:rPr>
          <w:t>https://investor.lilly.com/news-releases/news-release-details/lilly-announces-institute-genetic-medicine-and-700-million</w:t>
        </w:r>
      </w:hyperlink>
      <w:r>
        <w:t xml:space="preserve"> [Accessed June 2022]</w:t>
      </w:r>
    </w:p>
  </w:footnote>
  <w:footnote w:id="252">
    <w:p w14:paraId="58C6E6AB" w14:textId="4A605316"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6" w:history="1">
        <w:r w:rsidRPr="00634F60">
          <w:rPr>
            <w:rStyle w:val="Hipercze"/>
            <w:sz w:val="16"/>
          </w:rPr>
          <w:t>https://investor.lilly.com/news-releases/news-release-details/lilly-announces-institute-genetic-medicine-and-700-million</w:t>
        </w:r>
      </w:hyperlink>
      <w:r>
        <w:t xml:space="preserve"> [Accessed June 2022]</w:t>
      </w:r>
    </w:p>
  </w:footnote>
  <w:footnote w:id="253">
    <w:p w14:paraId="618C0E7A" w14:textId="2852DD17"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7" w:history="1">
        <w:r w:rsidR="00330922" w:rsidRPr="00A160AA">
          <w:rPr>
            <w:rStyle w:val="Hipercze"/>
            <w:sz w:val="16"/>
          </w:rPr>
          <w:t>https://www.yicaiglobal.com/news/sanofi-unveils-first-global-research-institute-in-china-to-develop-innovative-drugs</w:t>
        </w:r>
      </w:hyperlink>
      <w:r w:rsidR="00BD4C5B">
        <w:t xml:space="preserve"> </w:t>
      </w:r>
      <w:r>
        <w:t>[Accessed June 2022]</w:t>
      </w:r>
    </w:p>
  </w:footnote>
  <w:footnote w:id="254">
    <w:p w14:paraId="55144EC9" w14:textId="0DF87C2C"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8" w:history="1">
        <w:r w:rsidRPr="00634F60">
          <w:rPr>
            <w:rStyle w:val="Hipercze"/>
            <w:sz w:val="16"/>
          </w:rPr>
          <w:t>https://www.menarini.com/en-us/news/news-detail/menarini-invests-150-million-euros-in-a-new-pharmaceutical-plant-in-italy</w:t>
        </w:r>
      </w:hyperlink>
      <w:r>
        <w:t xml:space="preserve"> [Accessed June 2022]</w:t>
      </w:r>
    </w:p>
  </w:footnote>
  <w:footnote w:id="255">
    <w:p w14:paraId="071F6784" w14:textId="10C05C09" w:rsidR="005870D5" w:rsidRDefault="005870D5" w:rsidP="000A2E03">
      <w:pPr>
        <w:pStyle w:val="Tekstprzypisudolnego"/>
        <w:jc w:val="left"/>
      </w:pPr>
      <w:r>
        <w:rPr>
          <w:rStyle w:val="Odwoanieprzypisudolnego"/>
        </w:rPr>
        <w:footnoteRef/>
      </w:r>
      <w:r>
        <w:t xml:space="preserve"> </w:t>
      </w:r>
      <w:r>
        <w:tab/>
      </w:r>
      <w:r w:rsidR="00D34428">
        <w:t>Available at:</w:t>
      </w:r>
      <w:r>
        <w:t xml:space="preserve"> </w:t>
      </w:r>
      <w:hyperlink r:id="rId189" w:history="1">
        <w:r w:rsidRPr="00634F60">
          <w:rPr>
            <w:rStyle w:val="Hipercze"/>
            <w:sz w:val="16"/>
          </w:rPr>
          <w:t>https://www.ucb.com/stories-media/Press-Releases/article/UCB-expands-innovation-footprint-with-new-state-of-the-art-gene-therapy-facility</w:t>
        </w:r>
      </w:hyperlink>
      <w:r>
        <w:t xml:space="preserve"> [Accessed June 2022]</w:t>
      </w:r>
    </w:p>
  </w:footnote>
  <w:footnote w:id="256">
    <w:p w14:paraId="118239C0" w14:textId="3E9773A7" w:rsidR="00B168CD" w:rsidRDefault="00B168CD">
      <w:pPr>
        <w:pStyle w:val="Tekstprzypisudolnego"/>
      </w:pPr>
      <w:r>
        <w:rPr>
          <w:rStyle w:val="Odwoanieprzypisudolnego"/>
        </w:rPr>
        <w:footnoteRef/>
      </w:r>
      <w:r>
        <w:t xml:space="preserve"> </w:t>
      </w:r>
      <w:r>
        <w:tab/>
      </w:r>
      <w:r w:rsidR="00D34428">
        <w:t>Available at:</w:t>
      </w:r>
      <w:r>
        <w:t xml:space="preserve"> </w:t>
      </w:r>
      <w:hyperlink r:id="rId190" w:history="1">
        <w:r w:rsidRPr="00B168CD">
          <w:rPr>
            <w:rStyle w:val="Hipercze"/>
            <w:sz w:val="16"/>
          </w:rPr>
          <w:t>https://www.bayer.com/media/bayers-bluerock-therapeutics-establishes-european-site-for-cell-therapy-innovation/</w:t>
        </w:r>
      </w:hyperlink>
      <w:r>
        <w:t xml:space="preserve"> [Accessed June 2022]</w:t>
      </w:r>
    </w:p>
  </w:footnote>
  <w:footnote w:id="257">
    <w:p w14:paraId="5AD2D50B" w14:textId="533C91DA" w:rsidR="00FF499D" w:rsidRDefault="00FF499D" w:rsidP="000A2E03">
      <w:pPr>
        <w:pStyle w:val="Tekstprzypisudolnego"/>
        <w:jc w:val="left"/>
      </w:pPr>
      <w:r>
        <w:rPr>
          <w:rStyle w:val="Odwoanieprzypisudolnego"/>
        </w:rPr>
        <w:footnoteRef/>
      </w:r>
      <w:r>
        <w:t xml:space="preserve"> </w:t>
      </w:r>
      <w:r>
        <w:tab/>
      </w:r>
      <w:r w:rsidR="00D34428">
        <w:t>Available at:</w:t>
      </w:r>
      <w:r>
        <w:t xml:space="preserve"> </w:t>
      </w:r>
      <w:hyperlink r:id="rId191" w:history="1">
        <w:r w:rsidRPr="00634F60">
          <w:rPr>
            <w:rStyle w:val="Hipercze"/>
            <w:sz w:val="16"/>
          </w:rPr>
          <w:t>https://www.gesundheitsindustrie-bw.de/en/article/news/industry-40-pfizer-opens-continuous-manufacturing-plant-in-freiburg</w:t>
        </w:r>
      </w:hyperlink>
      <w:r>
        <w:t xml:space="preserve"> [Accessed June 2022]</w:t>
      </w:r>
    </w:p>
  </w:footnote>
  <w:footnote w:id="258">
    <w:p w14:paraId="6543F9A2" w14:textId="55B43D46" w:rsidR="00FF499D" w:rsidRDefault="00FF499D" w:rsidP="000A2E03">
      <w:pPr>
        <w:pStyle w:val="Tekstprzypisudolnego"/>
        <w:jc w:val="left"/>
      </w:pPr>
      <w:r>
        <w:rPr>
          <w:rStyle w:val="Odwoanieprzypisudolnego"/>
        </w:rPr>
        <w:footnoteRef/>
      </w:r>
      <w:r>
        <w:t xml:space="preserve"> </w:t>
      </w:r>
      <w:r>
        <w:tab/>
      </w:r>
      <w:r w:rsidR="00D34428">
        <w:t>Available at:</w:t>
      </w:r>
      <w:r>
        <w:t xml:space="preserve"> </w:t>
      </w:r>
      <w:hyperlink r:id="rId192" w:history="1">
        <w:r w:rsidRPr="00634F60">
          <w:rPr>
            <w:rStyle w:val="Hipercze"/>
            <w:sz w:val="16"/>
          </w:rPr>
          <w:t>https://www.irishtimes.com/business/health-pharma/wuxi-biologics-ireland-in-679-6m-gain-after-restructuring-1.4699274</w:t>
        </w:r>
      </w:hyperlink>
      <w:r>
        <w:t xml:space="preserve"> [Accessed June 2022]</w:t>
      </w:r>
    </w:p>
  </w:footnote>
  <w:footnote w:id="259">
    <w:p w14:paraId="7BCCB89B" w14:textId="7E9F818A" w:rsidR="00FF499D" w:rsidRDefault="00FF499D" w:rsidP="000A2E03">
      <w:pPr>
        <w:pStyle w:val="Tekstprzypisudolnego"/>
        <w:jc w:val="left"/>
      </w:pPr>
      <w:r>
        <w:rPr>
          <w:rStyle w:val="Odwoanieprzypisudolnego"/>
        </w:rPr>
        <w:footnoteRef/>
      </w:r>
      <w:r>
        <w:t xml:space="preserve"> </w:t>
      </w:r>
      <w:r>
        <w:tab/>
      </w:r>
      <w:r w:rsidR="00D34428">
        <w:t>Available at:</w:t>
      </w:r>
      <w:r>
        <w:t xml:space="preserve"> </w:t>
      </w:r>
      <w:hyperlink r:id="rId193" w:history="1">
        <w:r w:rsidRPr="00634F60">
          <w:rPr>
            <w:rStyle w:val="Hipercze"/>
            <w:sz w:val="16"/>
          </w:rPr>
          <w:t>https://www.takeda.com/newsroom/featured-topics/takeda-breaks-ground-on-commercial-cell-therapy-manufacturing-facility-in-lexington-massachusetts/</w:t>
        </w:r>
      </w:hyperlink>
      <w:r>
        <w:t xml:space="preserve"> [Accessed June 2022]</w:t>
      </w:r>
    </w:p>
  </w:footnote>
  <w:footnote w:id="260">
    <w:p w14:paraId="77D2FCB4" w14:textId="4839868A" w:rsidR="00FF499D" w:rsidRDefault="00FF499D" w:rsidP="000A2E03">
      <w:pPr>
        <w:pStyle w:val="Tekstprzypisudolnego"/>
        <w:jc w:val="left"/>
      </w:pPr>
      <w:r>
        <w:rPr>
          <w:rStyle w:val="Odwoanieprzypisudolnego"/>
        </w:rPr>
        <w:footnoteRef/>
      </w:r>
      <w:r>
        <w:t xml:space="preserve"> </w:t>
      </w:r>
      <w:r>
        <w:tab/>
      </w:r>
      <w:r w:rsidR="00D34428">
        <w:t>Available at:</w:t>
      </w:r>
      <w:r>
        <w:t xml:space="preserve"> </w:t>
      </w:r>
      <w:hyperlink r:id="rId194" w:history="1">
        <w:r w:rsidRPr="00634F60">
          <w:rPr>
            <w:rStyle w:val="Hipercze"/>
            <w:sz w:val="16"/>
          </w:rPr>
          <w:t>https://investors.biogen.com/news-releases/news-release-details/biogen-announces-plans-build-new-state-art-gene-therapy</w:t>
        </w:r>
      </w:hyperlink>
      <w:r>
        <w:t xml:space="preserve"> [Accessed June 2022]</w:t>
      </w:r>
    </w:p>
  </w:footnote>
  <w:footnote w:id="261">
    <w:p w14:paraId="118F4864" w14:textId="61EB3C44" w:rsidR="00FF499D" w:rsidRDefault="00FF499D">
      <w:pPr>
        <w:pStyle w:val="Tekstprzypisudolnego"/>
      </w:pPr>
      <w:r>
        <w:rPr>
          <w:rStyle w:val="Odwoanieprzypisudolnego"/>
        </w:rPr>
        <w:footnoteRef/>
      </w:r>
      <w:r>
        <w:t xml:space="preserve"> </w:t>
      </w:r>
      <w:r>
        <w:tab/>
      </w:r>
      <w:r w:rsidR="00D34428">
        <w:t>Available at:</w:t>
      </w:r>
      <w:r>
        <w:t xml:space="preserve"> </w:t>
      </w:r>
      <w:hyperlink r:id="rId195" w:history="1">
        <w:r w:rsidRPr="00183AA6">
          <w:rPr>
            <w:rStyle w:val="Hipercze"/>
            <w:sz w:val="16"/>
          </w:rPr>
          <w:t>https://ir.ptcbio.com/news-releases/news-release-details/ptc-therapeutics-receives-positive-chmp-opinion-upstazatm</w:t>
        </w:r>
      </w:hyperlink>
      <w:r>
        <w:t xml:space="preserve"> [Accessed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8A50" w14:textId="74646168" w:rsidR="00755EF2" w:rsidRDefault="00D53D69" w:rsidP="00755EF2">
    <w:pPr>
      <w:pStyle w:val="Nagwek"/>
      <w:tabs>
        <w:tab w:val="clear" w:pos="7938"/>
        <w:tab w:val="clear" w:pos="13860"/>
        <w:tab w:val="right" w:pos="8280"/>
      </w:tabs>
    </w:pPr>
    <w:r w:rsidRPr="00D53D69">
      <w:t>Factors affecting location of biopharmaceutical investments and implications for European policy</w:t>
    </w:r>
  </w:p>
  <w:p w14:paraId="107D411D" w14:textId="77777777" w:rsidR="007A6373" w:rsidRDefault="007A6373" w:rsidP="007A6373">
    <w:pPr>
      <w:pStyle w:val="Nagwek"/>
      <w:pBdr>
        <w:bottom w:val="single" w:sz="6" w:space="0" w:color="808080"/>
      </w:pBdr>
      <w:tabs>
        <w:tab w:val="clear" w:pos="7938"/>
        <w:tab w:val="clear" w:pos="13860"/>
        <w:tab w:val="right" w:pos="8280"/>
      </w:tabs>
    </w:pPr>
    <w:r>
      <w:tab/>
    </w:r>
  </w:p>
  <w:p w14:paraId="3037ABEF" w14:textId="3D2D5CB6" w:rsidR="007A6373" w:rsidRDefault="00377E03" w:rsidP="007A6373">
    <w:pPr>
      <w:pStyle w:val="Nagwek"/>
      <w:pBdr>
        <w:bottom w:val="single" w:sz="6" w:space="0" w:color="808080"/>
      </w:pBdr>
      <w:tabs>
        <w:tab w:val="clear" w:pos="7938"/>
        <w:tab w:val="clear" w:pos="13860"/>
        <w:tab w:val="right" w:pos="7920"/>
      </w:tabs>
    </w:pPr>
    <w:r>
      <w:fldChar w:fldCharType="begin"/>
    </w:r>
    <w:r>
      <w:instrText xml:space="preserve"> DATE \@ "MMMM yy" </w:instrText>
    </w:r>
    <w:r>
      <w:fldChar w:fldCharType="separate"/>
    </w:r>
    <w:r w:rsidR="000F0501">
      <w:rPr>
        <w:noProof/>
      </w:rPr>
      <w:t>November 22</w:t>
    </w:r>
    <w:r>
      <w:fldChar w:fldCharType="end"/>
    </w:r>
    <w:r w:rsidR="007A6373">
      <w:tab/>
      <w:t>Charles River Associates</w:t>
    </w:r>
  </w:p>
  <w:p w14:paraId="62CBC4B7" w14:textId="77777777" w:rsidR="007A6373" w:rsidRDefault="007A6373" w:rsidP="007A6373">
    <w:pPr>
      <w:pStyle w:val="Nagwek"/>
      <w:jc w:val="center"/>
    </w:pPr>
  </w:p>
  <w:p w14:paraId="3E4698F7" w14:textId="77777777" w:rsidR="007A6373" w:rsidRDefault="007A6373" w:rsidP="007A6373">
    <w:pPr>
      <w:pStyle w:val="Nagwek"/>
    </w:pPr>
  </w:p>
  <w:p w14:paraId="35671891" w14:textId="77777777" w:rsidR="007A6373" w:rsidRDefault="007A637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054E" w14:textId="1D52D9D8" w:rsidR="009C2CD4" w:rsidRDefault="009C2CD4" w:rsidP="003E19AA">
    <w:pPr>
      <w:pStyle w:val="Nagwek"/>
      <w:ind w:left="0"/>
      <w:jc w:val="left"/>
    </w:pPr>
    <w:r w:rsidRPr="000A2E03">
      <w:rPr>
        <w:noProof/>
        <w:lang w:val="en-US"/>
      </w:rPr>
      <w:drawing>
        <wp:anchor distT="0" distB="0" distL="114300" distR="114300" simplePos="0" relativeHeight="251658240" behindDoc="0" locked="1" layoutInCell="1" allowOverlap="1" wp14:anchorId="48389E00" wp14:editId="20781B1C">
          <wp:simplePos x="0" y="0"/>
          <wp:positionH relativeFrom="column">
            <wp:posOffset>-18415</wp:posOffset>
          </wp:positionH>
          <wp:positionV relativeFrom="paragraph">
            <wp:posOffset>457200</wp:posOffset>
          </wp:positionV>
          <wp:extent cx="1771650" cy="323850"/>
          <wp:effectExtent l="0" t="0" r="0" b="0"/>
          <wp:wrapNone/>
          <wp:docPr id="29" name="Picture 29" descr="CharlesRiver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lesRiver_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BEFC" w14:textId="77777777" w:rsidR="009C2CD4" w:rsidRDefault="00607541">
    <w:pPr>
      <w:pStyle w:val="Nagwek"/>
    </w:pPr>
    <w:fldSimple w:instr=" DOCPROPERTY &quot;Project&quot;  \* MERGEFORMAT ">
      <w:r w:rsidR="006B314B">
        <w:t>Enter Project Title in Properties</w:t>
      </w:r>
    </w:fldSimple>
    <w:r w:rsidR="009C2CD4">
      <w:tab/>
      <w:t>Charles</w:t>
    </w:r>
  </w:p>
  <w:p w14:paraId="14FFABB5" w14:textId="77777777" w:rsidR="009C2CD4" w:rsidRDefault="009C2CD4">
    <w:pPr>
      <w:pStyle w:val="Nagwek"/>
    </w:pPr>
    <w:r>
      <w:tab/>
      <w:t>River</w:t>
    </w:r>
  </w:p>
  <w:p w14:paraId="2F6AF048" w14:textId="77777777" w:rsidR="009C2CD4" w:rsidRDefault="00607541">
    <w:pPr>
      <w:pStyle w:val="Nagwek"/>
    </w:pPr>
    <w:fldSimple w:instr=" DOCPROPERTY &quot;Date&quot;  \* MERGEFORMAT ">
      <w:r w:rsidR="006B314B">
        <w:t>Enter Date in Properties</w:t>
      </w:r>
    </w:fldSimple>
    <w:r w:rsidR="009C2CD4">
      <w:tab/>
      <w:t>Associates</w:t>
    </w:r>
  </w:p>
  <w:p w14:paraId="3490D678" w14:textId="77777777" w:rsidR="009C2CD4" w:rsidRDefault="009C2CD4">
    <w:pPr>
      <w:pStyle w:val="Nagwek"/>
      <w:pBdr>
        <w:top w:val="single" w:sz="6" w:space="1" w:color="568A9E"/>
      </w:pBdr>
    </w:pPr>
  </w:p>
  <w:p w14:paraId="33808B0B" w14:textId="77777777" w:rsidR="009C2CD4" w:rsidRDefault="009C2CD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7496" w14:textId="030A2EFF" w:rsidR="008020F1" w:rsidRDefault="00390574" w:rsidP="008020F1">
    <w:pPr>
      <w:pStyle w:val="Nagwek"/>
      <w:tabs>
        <w:tab w:val="clear" w:pos="7938"/>
        <w:tab w:val="clear" w:pos="13860"/>
        <w:tab w:val="right" w:pos="8280"/>
      </w:tabs>
    </w:pPr>
    <w:r w:rsidRPr="00390574">
      <w:t>Factors affecting location of biopharmaceutical investments and implications for European policy</w:t>
    </w:r>
  </w:p>
  <w:p w14:paraId="4D673F99" w14:textId="77777777" w:rsidR="009C2CD4" w:rsidRDefault="009C2CD4">
    <w:pPr>
      <w:pStyle w:val="Nagwek"/>
      <w:pBdr>
        <w:bottom w:val="single" w:sz="6" w:space="1" w:color="808080"/>
      </w:pBdr>
      <w:tabs>
        <w:tab w:val="clear" w:pos="7938"/>
        <w:tab w:val="right" w:pos="8222"/>
      </w:tabs>
    </w:pPr>
  </w:p>
  <w:p w14:paraId="0CFFB8A9" w14:textId="37E3016A" w:rsidR="009C2CD4" w:rsidRDefault="00377E03" w:rsidP="009C2CD4">
    <w:pPr>
      <w:pStyle w:val="Nagwek"/>
      <w:pBdr>
        <w:bottom w:val="single" w:sz="6" w:space="1" w:color="808080"/>
      </w:pBdr>
      <w:tabs>
        <w:tab w:val="clear" w:pos="7938"/>
        <w:tab w:val="right" w:pos="7920"/>
      </w:tabs>
    </w:pPr>
    <w:r>
      <w:fldChar w:fldCharType="begin"/>
    </w:r>
    <w:r>
      <w:instrText xml:space="preserve"> DATE \@ "MMMM yy" </w:instrText>
    </w:r>
    <w:r>
      <w:fldChar w:fldCharType="separate"/>
    </w:r>
    <w:r w:rsidR="000F0501">
      <w:rPr>
        <w:noProof/>
      </w:rPr>
      <w:t>November 22</w:t>
    </w:r>
    <w:r>
      <w:fldChar w:fldCharType="end"/>
    </w:r>
    <w:r w:rsidR="009C2CD4">
      <w:tab/>
      <w:t>Charles River Associates</w:t>
    </w:r>
  </w:p>
  <w:p w14:paraId="495BEA56" w14:textId="77777777" w:rsidR="009C2CD4" w:rsidRDefault="009C2CD4">
    <w:pPr>
      <w:pStyle w:val="Nagwek"/>
    </w:pPr>
  </w:p>
  <w:p w14:paraId="6639AEE5" w14:textId="77777777" w:rsidR="009C2CD4" w:rsidRDefault="009C2CD4">
    <w:pPr>
      <w:pStyle w:val="Nagwek"/>
    </w:pPr>
  </w:p>
  <w:p w14:paraId="4DF7763C" w14:textId="77777777" w:rsidR="009C2CD4" w:rsidRDefault="009C2CD4">
    <w:pPr>
      <w:pStyle w:val="Nagwek"/>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9FEF" w14:textId="47BBBD9C" w:rsidR="009C2CD4" w:rsidRDefault="00607541">
    <w:pPr>
      <w:pStyle w:val="Nagwek"/>
    </w:pPr>
    <w:fldSimple w:instr=" DOCPROPERTY &quot;Project&quot;  \* MERGEFORMAT ">
      <w:r w:rsidR="006B314B">
        <w:t>Enter Project Title in Properties</w:t>
      </w:r>
    </w:fldSimple>
    <w:r w:rsidR="009C2CD4">
      <w:tab/>
      <w:t>Charles</w:t>
    </w:r>
  </w:p>
  <w:p w14:paraId="20EA6DBE" w14:textId="77777777" w:rsidR="009C2CD4" w:rsidRDefault="009C2CD4">
    <w:pPr>
      <w:pStyle w:val="Nagwek"/>
    </w:pPr>
    <w:r>
      <w:tab/>
      <w:t>River</w:t>
    </w:r>
  </w:p>
  <w:p w14:paraId="5C80C44D" w14:textId="77777777" w:rsidR="009C2CD4" w:rsidRDefault="00607541">
    <w:pPr>
      <w:pStyle w:val="Nagwek"/>
    </w:pPr>
    <w:fldSimple w:instr=" DOCPROPERTY &quot;Date&quot;  \* MERGEFORMAT ">
      <w:r w:rsidR="006B314B">
        <w:t>Enter Date in Properties</w:t>
      </w:r>
    </w:fldSimple>
    <w:r w:rsidR="009C2CD4">
      <w:tab/>
      <w:t>Associates</w:t>
    </w:r>
  </w:p>
  <w:p w14:paraId="52F7933D" w14:textId="77777777" w:rsidR="009C2CD4" w:rsidRDefault="009C2CD4">
    <w:pPr>
      <w:pStyle w:val="Nagwek"/>
      <w:pBdr>
        <w:top w:val="single" w:sz="6" w:space="1" w:color="568A9E"/>
      </w:pBdr>
    </w:pPr>
  </w:p>
  <w:p w14:paraId="7ED8801F" w14:textId="77777777" w:rsidR="009C2CD4" w:rsidRDefault="009C2CD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3C9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322B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B451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B649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405C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2676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9627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FB"/>
    <w:multiLevelType w:val="multilevel"/>
    <w:tmpl w:val="1BF4E228"/>
    <w:lvl w:ilvl="0">
      <w:start w:val="1"/>
      <w:numFmt w:val="decimal"/>
      <w:pStyle w:val="Nagwek1"/>
      <w:lvlText w:val="%1."/>
      <w:lvlJc w:val="left"/>
      <w:pPr>
        <w:ind w:left="720" w:hanging="708"/>
      </w:pPr>
      <w:rPr>
        <w:rFonts w:hint="default"/>
      </w:rPr>
    </w:lvl>
    <w:lvl w:ilvl="1">
      <w:start w:val="1"/>
      <w:numFmt w:val="decimal"/>
      <w:pStyle w:val="Nagwek2"/>
      <w:lvlText w:val="%1.%2."/>
      <w:lvlJc w:val="left"/>
      <w:pPr>
        <w:ind w:left="720" w:hanging="708"/>
      </w:pPr>
      <w:rPr>
        <w:rFonts w:hint="default"/>
      </w:rPr>
    </w:lvl>
    <w:lvl w:ilvl="2">
      <w:start w:val="1"/>
      <w:numFmt w:val="decimal"/>
      <w:pStyle w:val="Nagwek3"/>
      <w:lvlText w:val="%1.%2.%3."/>
      <w:lvlJc w:val="left"/>
      <w:pPr>
        <w:ind w:left="708" w:hanging="708"/>
      </w:pPr>
      <w:rPr>
        <w:rFonts w:hint="default"/>
      </w:rPr>
    </w:lvl>
    <w:lvl w:ilvl="3">
      <w:start w:val="1"/>
      <w:numFmt w:val="none"/>
      <w:suff w:val="nothing"/>
      <w:lvlText w:val=""/>
      <w:lvlJc w:val="left"/>
      <w:pPr>
        <w:ind w:left="1440" w:hanging="708"/>
      </w:pPr>
      <w:rPr>
        <w:rFonts w:hint="default"/>
      </w:rPr>
    </w:lvl>
    <w:lvl w:ilvl="4">
      <w:start w:val="1"/>
      <w:numFmt w:val="decimal"/>
      <w:pStyle w:val="Nagwek5"/>
      <w:lvlText w:val="%5."/>
      <w:lvlJc w:val="left"/>
      <w:pPr>
        <w:ind w:left="3540" w:hanging="708"/>
      </w:pPr>
      <w:rPr>
        <w:rFonts w:hint="default"/>
      </w:rPr>
    </w:lvl>
    <w:lvl w:ilvl="5">
      <w:start w:val="1"/>
      <w:numFmt w:val="decimal"/>
      <w:pStyle w:val="Nagwek6"/>
      <w:lvlText w:val="%5.%6."/>
      <w:lvlJc w:val="left"/>
      <w:pPr>
        <w:ind w:left="4248" w:hanging="708"/>
      </w:pPr>
      <w:rPr>
        <w:rFonts w:hint="default"/>
      </w:rPr>
    </w:lvl>
    <w:lvl w:ilvl="6">
      <w:start w:val="1"/>
      <w:numFmt w:val="decimal"/>
      <w:pStyle w:val="Nagwek7"/>
      <w:lvlText w:val="%5.%6.%7."/>
      <w:lvlJc w:val="left"/>
      <w:pPr>
        <w:ind w:left="4956" w:hanging="708"/>
      </w:pPr>
      <w:rPr>
        <w:rFonts w:hint="default"/>
      </w:rPr>
    </w:lvl>
    <w:lvl w:ilvl="7">
      <w:start w:val="1"/>
      <w:numFmt w:val="decimal"/>
      <w:pStyle w:val="Nagwek8"/>
      <w:lvlText w:val="%5.%6.%7.%8."/>
      <w:lvlJc w:val="left"/>
      <w:pPr>
        <w:ind w:left="5664" w:hanging="708"/>
      </w:pPr>
      <w:rPr>
        <w:rFonts w:hint="default"/>
      </w:rPr>
    </w:lvl>
    <w:lvl w:ilvl="8">
      <w:start w:val="1"/>
      <w:numFmt w:val="decimal"/>
      <w:pStyle w:val="Nagwek9"/>
      <w:lvlText w:val="%5.%6.%7.%8.%9."/>
      <w:lvlJc w:val="left"/>
      <w:pPr>
        <w:ind w:left="6372" w:hanging="708"/>
      </w:pPr>
      <w:rPr>
        <w:rFonts w:hint="default"/>
      </w:rPr>
    </w:lvl>
  </w:abstractNum>
  <w:abstractNum w:abstractNumId="8" w15:restartNumberingAfterBreak="0">
    <w:nsid w:val="00515BB1"/>
    <w:multiLevelType w:val="hybridMultilevel"/>
    <w:tmpl w:val="3DD6AF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2036574"/>
    <w:multiLevelType w:val="hybridMultilevel"/>
    <w:tmpl w:val="D374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51328"/>
    <w:multiLevelType w:val="hybridMultilevel"/>
    <w:tmpl w:val="399C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352492"/>
    <w:multiLevelType w:val="hybridMultilevel"/>
    <w:tmpl w:val="4D06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F07ABA"/>
    <w:multiLevelType w:val="hybridMultilevel"/>
    <w:tmpl w:val="F084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44F3F"/>
    <w:multiLevelType w:val="hybridMultilevel"/>
    <w:tmpl w:val="3FD0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DF2457"/>
    <w:multiLevelType w:val="hybridMultilevel"/>
    <w:tmpl w:val="8C3A2A64"/>
    <w:lvl w:ilvl="0" w:tplc="F82A0014">
      <w:start w:val="1"/>
      <w:numFmt w:val="decimal"/>
      <w:lvlText w:val="%1."/>
      <w:lvlJc w:val="left"/>
      <w:pPr>
        <w:ind w:left="11"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2659CC"/>
    <w:multiLevelType w:val="hybridMultilevel"/>
    <w:tmpl w:val="63AC2202"/>
    <w:lvl w:ilvl="0" w:tplc="19DEDC80">
      <w:start w:val="1"/>
      <w:numFmt w:val="bullet"/>
      <w:lvlText w:val="•"/>
      <w:lvlJc w:val="left"/>
      <w:pPr>
        <w:tabs>
          <w:tab w:val="num" w:pos="720"/>
        </w:tabs>
        <w:ind w:left="720" w:hanging="360"/>
      </w:pPr>
      <w:rPr>
        <w:rFonts w:ascii="Arial" w:hAnsi="Arial" w:hint="default"/>
      </w:rPr>
    </w:lvl>
    <w:lvl w:ilvl="1" w:tplc="BEAC68E6">
      <w:start w:val="1"/>
      <w:numFmt w:val="bullet"/>
      <w:lvlText w:val="•"/>
      <w:lvlJc w:val="left"/>
      <w:pPr>
        <w:tabs>
          <w:tab w:val="num" w:pos="1440"/>
        </w:tabs>
        <w:ind w:left="1440" w:hanging="360"/>
      </w:pPr>
      <w:rPr>
        <w:rFonts w:ascii="Arial" w:hAnsi="Arial" w:hint="default"/>
      </w:rPr>
    </w:lvl>
    <w:lvl w:ilvl="2" w:tplc="D694ABC8" w:tentative="1">
      <w:start w:val="1"/>
      <w:numFmt w:val="bullet"/>
      <w:lvlText w:val="•"/>
      <w:lvlJc w:val="left"/>
      <w:pPr>
        <w:tabs>
          <w:tab w:val="num" w:pos="2160"/>
        </w:tabs>
        <w:ind w:left="2160" w:hanging="360"/>
      </w:pPr>
      <w:rPr>
        <w:rFonts w:ascii="Arial" w:hAnsi="Arial" w:hint="default"/>
      </w:rPr>
    </w:lvl>
    <w:lvl w:ilvl="3" w:tplc="BC08F90E" w:tentative="1">
      <w:start w:val="1"/>
      <w:numFmt w:val="bullet"/>
      <w:lvlText w:val="•"/>
      <w:lvlJc w:val="left"/>
      <w:pPr>
        <w:tabs>
          <w:tab w:val="num" w:pos="2880"/>
        </w:tabs>
        <w:ind w:left="2880" w:hanging="360"/>
      </w:pPr>
      <w:rPr>
        <w:rFonts w:ascii="Arial" w:hAnsi="Arial" w:hint="default"/>
      </w:rPr>
    </w:lvl>
    <w:lvl w:ilvl="4" w:tplc="569290A4" w:tentative="1">
      <w:start w:val="1"/>
      <w:numFmt w:val="bullet"/>
      <w:lvlText w:val="•"/>
      <w:lvlJc w:val="left"/>
      <w:pPr>
        <w:tabs>
          <w:tab w:val="num" w:pos="3600"/>
        </w:tabs>
        <w:ind w:left="3600" w:hanging="360"/>
      </w:pPr>
      <w:rPr>
        <w:rFonts w:ascii="Arial" w:hAnsi="Arial" w:hint="default"/>
      </w:rPr>
    </w:lvl>
    <w:lvl w:ilvl="5" w:tplc="7D709C98" w:tentative="1">
      <w:start w:val="1"/>
      <w:numFmt w:val="bullet"/>
      <w:lvlText w:val="•"/>
      <w:lvlJc w:val="left"/>
      <w:pPr>
        <w:tabs>
          <w:tab w:val="num" w:pos="4320"/>
        </w:tabs>
        <w:ind w:left="4320" w:hanging="360"/>
      </w:pPr>
      <w:rPr>
        <w:rFonts w:ascii="Arial" w:hAnsi="Arial" w:hint="default"/>
      </w:rPr>
    </w:lvl>
    <w:lvl w:ilvl="6" w:tplc="0E425D54" w:tentative="1">
      <w:start w:val="1"/>
      <w:numFmt w:val="bullet"/>
      <w:lvlText w:val="•"/>
      <w:lvlJc w:val="left"/>
      <w:pPr>
        <w:tabs>
          <w:tab w:val="num" w:pos="5040"/>
        </w:tabs>
        <w:ind w:left="5040" w:hanging="360"/>
      </w:pPr>
      <w:rPr>
        <w:rFonts w:ascii="Arial" w:hAnsi="Arial" w:hint="default"/>
      </w:rPr>
    </w:lvl>
    <w:lvl w:ilvl="7" w:tplc="C470AD1E" w:tentative="1">
      <w:start w:val="1"/>
      <w:numFmt w:val="bullet"/>
      <w:lvlText w:val="•"/>
      <w:lvlJc w:val="left"/>
      <w:pPr>
        <w:tabs>
          <w:tab w:val="num" w:pos="5760"/>
        </w:tabs>
        <w:ind w:left="5760" w:hanging="360"/>
      </w:pPr>
      <w:rPr>
        <w:rFonts w:ascii="Arial" w:hAnsi="Arial" w:hint="default"/>
      </w:rPr>
    </w:lvl>
    <w:lvl w:ilvl="8" w:tplc="087031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391878"/>
    <w:multiLevelType w:val="hybridMultilevel"/>
    <w:tmpl w:val="E2C651F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87F2DB9"/>
    <w:multiLevelType w:val="hybridMultilevel"/>
    <w:tmpl w:val="8214AE84"/>
    <w:lvl w:ilvl="0" w:tplc="EA044548">
      <w:start w:val="1"/>
      <w:numFmt w:val="decimal"/>
      <w:lvlText w:val="%1."/>
      <w:lvlJc w:val="left"/>
      <w:pPr>
        <w:ind w:left="720" w:hanging="360"/>
      </w:pPr>
      <w:rPr>
        <w:rFonts w:hint="default"/>
        <w:b/>
        <w:color w:val="0073AE"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9E4A6B"/>
    <w:multiLevelType w:val="hybridMultilevel"/>
    <w:tmpl w:val="77EA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C2AD2"/>
    <w:multiLevelType w:val="hybridMultilevel"/>
    <w:tmpl w:val="E380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347308"/>
    <w:multiLevelType w:val="hybridMultilevel"/>
    <w:tmpl w:val="86A86FFC"/>
    <w:lvl w:ilvl="0" w:tplc="8180971E">
      <w:start w:val="4"/>
      <w:numFmt w:val="decimal"/>
      <w:lvlText w:val="%1."/>
      <w:lvlJc w:val="left"/>
      <w:pPr>
        <w:tabs>
          <w:tab w:val="num" w:pos="720"/>
        </w:tabs>
        <w:ind w:left="720" w:hanging="360"/>
      </w:pPr>
    </w:lvl>
    <w:lvl w:ilvl="1" w:tplc="D9529F34" w:tentative="1">
      <w:start w:val="1"/>
      <w:numFmt w:val="decimal"/>
      <w:lvlText w:val="%2."/>
      <w:lvlJc w:val="left"/>
      <w:pPr>
        <w:tabs>
          <w:tab w:val="num" w:pos="1440"/>
        </w:tabs>
        <w:ind w:left="1440" w:hanging="360"/>
      </w:pPr>
    </w:lvl>
    <w:lvl w:ilvl="2" w:tplc="05341D12" w:tentative="1">
      <w:start w:val="1"/>
      <w:numFmt w:val="decimal"/>
      <w:lvlText w:val="%3."/>
      <w:lvlJc w:val="left"/>
      <w:pPr>
        <w:tabs>
          <w:tab w:val="num" w:pos="2160"/>
        </w:tabs>
        <w:ind w:left="2160" w:hanging="360"/>
      </w:pPr>
    </w:lvl>
    <w:lvl w:ilvl="3" w:tplc="C17EB1A6" w:tentative="1">
      <w:start w:val="1"/>
      <w:numFmt w:val="decimal"/>
      <w:lvlText w:val="%4."/>
      <w:lvlJc w:val="left"/>
      <w:pPr>
        <w:tabs>
          <w:tab w:val="num" w:pos="2880"/>
        </w:tabs>
        <w:ind w:left="2880" w:hanging="360"/>
      </w:pPr>
    </w:lvl>
    <w:lvl w:ilvl="4" w:tplc="C31E05DE" w:tentative="1">
      <w:start w:val="1"/>
      <w:numFmt w:val="decimal"/>
      <w:lvlText w:val="%5."/>
      <w:lvlJc w:val="left"/>
      <w:pPr>
        <w:tabs>
          <w:tab w:val="num" w:pos="3600"/>
        </w:tabs>
        <w:ind w:left="3600" w:hanging="360"/>
      </w:pPr>
    </w:lvl>
    <w:lvl w:ilvl="5" w:tplc="64E4015E" w:tentative="1">
      <w:start w:val="1"/>
      <w:numFmt w:val="decimal"/>
      <w:lvlText w:val="%6."/>
      <w:lvlJc w:val="left"/>
      <w:pPr>
        <w:tabs>
          <w:tab w:val="num" w:pos="4320"/>
        </w:tabs>
        <w:ind w:left="4320" w:hanging="360"/>
      </w:pPr>
    </w:lvl>
    <w:lvl w:ilvl="6" w:tplc="AA6EC3B0" w:tentative="1">
      <w:start w:val="1"/>
      <w:numFmt w:val="decimal"/>
      <w:lvlText w:val="%7."/>
      <w:lvlJc w:val="left"/>
      <w:pPr>
        <w:tabs>
          <w:tab w:val="num" w:pos="5040"/>
        </w:tabs>
        <w:ind w:left="5040" w:hanging="360"/>
      </w:pPr>
    </w:lvl>
    <w:lvl w:ilvl="7" w:tplc="B5A28EE8" w:tentative="1">
      <w:start w:val="1"/>
      <w:numFmt w:val="decimal"/>
      <w:lvlText w:val="%8."/>
      <w:lvlJc w:val="left"/>
      <w:pPr>
        <w:tabs>
          <w:tab w:val="num" w:pos="5760"/>
        </w:tabs>
        <w:ind w:left="5760" w:hanging="360"/>
      </w:pPr>
    </w:lvl>
    <w:lvl w:ilvl="8" w:tplc="EDD6C082" w:tentative="1">
      <w:start w:val="1"/>
      <w:numFmt w:val="decimal"/>
      <w:lvlText w:val="%9."/>
      <w:lvlJc w:val="left"/>
      <w:pPr>
        <w:tabs>
          <w:tab w:val="num" w:pos="6480"/>
        </w:tabs>
        <w:ind w:left="6480" w:hanging="360"/>
      </w:pPr>
    </w:lvl>
  </w:abstractNum>
  <w:abstractNum w:abstractNumId="21" w15:restartNumberingAfterBreak="0">
    <w:nsid w:val="0C584F4D"/>
    <w:multiLevelType w:val="hybridMultilevel"/>
    <w:tmpl w:val="08064ADC"/>
    <w:lvl w:ilvl="0" w:tplc="5A32A3D6">
      <w:start w:val="1"/>
      <w:numFmt w:val="bullet"/>
      <w:lvlText w:val="•"/>
      <w:lvlJc w:val="left"/>
      <w:pPr>
        <w:tabs>
          <w:tab w:val="num" w:pos="720"/>
        </w:tabs>
        <w:ind w:left="720" w:hanging="360"/>
      </w:pPr>
      <w:rPr>
        <w:rFonts w:ascii="Arial" w:hAnsi="Arial" w:hint="default"/>
      </w:rPr>
    </w:lvl>
    <w:lvl w:ilvl="1" w:tplc="B8A05478" w:tentative="1">
      <w:start w:val="1"/>
      <w:numFmt w:val="bullet"/>
      <w:lvlText w:val="•"/>
      <w:lvlJc w:val="left"/>
      <w:pPr>
        <w:tabs>
          <w:tab w:val="num" w:pos="1440"/>
        </w:tabs>
        <w:ind w:left="1440" w:hanging="360"/>
      </w:pPr>
      <w:rPr>
        <w:rFonts w:ascii="Arial" w:hAnsi="Arial" w:hint="default"/>
      </w:rPr>
    </w:lvl>
    <w:lvl w:ilvl="2" w:tplc="1A4C2770" w:tentative="1">
      <w:start w:val="1"/>
      <w:numFmt w:val="bullet"/>
      <w:lvlText w:val="•"/>
      <w:lvlJc w:val="left"/>
      <w:pPr>
        <w:tabs>
          <w:tab w:val="num" w:pos="2160"/>
        </w:tabs>
        <w:ind w:left="2160" w:hanging="360"/>
      </w:pPr>
      <w:rPr>
        <w:rFonts w:ascii="Arial" w:hAnsi="Arial" w:hint="default"/>
      </w:rPr>
    </w:lvl>
    <w:lvl w:ilvl="3" w:tplc="74626030" w:tentative="1">
      <w:start w:val="1"/>
      <w:numFmt w:val="bullet"/>
      <w:lvlText w:val="•"/>
      <w:lvlJc w:val="left"/>
      <w:pPr>
        <w:tabs>
          <w:tab w:val="num" w:pos="2880"/>
        </w:tabs>
        <w:ind w:left="2880" w:hanging="360"/>
      </w:pPr>
      <w:rPr>
        <w:rFonts w:ascii="Arial" w:hAnsi="Arial" w:hint="default"/>
      </w:rPr>
    </w:lvl>
    <w:lvl w:ilvl="4" w:tplc="A6965B26" w:tentative="1">
      <w:start w:val="1"/>
      <w:numFmt w:val="bullet"/>
      <w:lvlText w:val="•"/>
      <w:lvlJc w:val="left"/>
      <w:pPr>
        <w:tabs>
          <w:tab w:val="num" w:pos="3600"/>
        </w:tabs>
        <w:ind w:left="3600" w:hanging="360"/>
      </w:pPr>
      <w:rPr>
        <w:rFonts w:ascii="Arial" w:hAnsi="Arial" w:hint="default"/>
      </w:rPr>
    </w:lvl>
    <w:lvl w:ilvl="5" w:tplc="52B68DA6" w:tentative="1">
      <w:start w:val="1"/>
      <w:numFmt w:val="bullet"/>
      <w:lvlText w:val="•"/>
      <w:lvlJc w:val="left"/>
      <w:pPr>
        <w:tabs>
          <w:tab w:val="num" w:pos="4320"/>
        </w:tabs>
        <w:ind w:left="4320" w:hanging="360"/>
      </w:pPr>
      <w:rPr>
        <w:rFonts w:ascii="Arial" w:hAnsi="Arial" w:hint="default"/>
      </w:rPr>
    </w:lvl>
    <w:lvl w:ilvl="6" w:tplc="85E04774" w:tentative="1">
      <w:start w:val="1"/>
      <w:numFmt w:val="bullet"/>
      <w:lvlText w:val="•"/>
      <w:lvlJc w:val="left"/>
      <w:pPr>
        <w:tabs>
          <w:tab w:val="num" w:pos="5040"/>
        </w:tabs>
        <w:ind w:left="5040" w:hanging="360"/>
      </w:pPr>
      <w:rPr>
        <w:rFonts w:ascii="Arial" w:hAnsi="Arial" w:hint="default"/>
      </w:rPr>
    </w:lvl>
    <w:lvl w:ilvl="7" w:tplc="8CCCF250" w:tentative="1">
      <w:start w:val="1"/>
      <w:numFmt w:val="bullet"/>
      <w:lvlText w:val="•"/>
      <w:lvlJc w:val="left"/>
      <w:pPr>
        <w:tabs>
          <w:tab w:val="num" w:pos="5760"/>
        </w:tabs>
        <w:ind w:left="5760" w:hanging="360"/>
      </w:pPr>
      <w:rPr>
        <w:rFonts w:ascii="Arial" w:hAnsi="Arial" w:hint="default"/>
      </w:rPr>
    </w:lvl>
    <w:lvl w:ilvl="8" w:tplc="9CA4E6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D3E285A"/>
    <w:multiLevelType w:val="hybridMultilevel"/>
    <w:tmpl w:val="7C1E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7C75F5"/>
    <w:multiLevelType w:val="hybridMultilevel"/>
    <w:tmpl w:val="FD8EC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062A2B"/>
    <w:multiLevelType w:val="hybridMultilevel"/>
    <w:tmpl w:val="C79A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DA0025"/>
    <w:multiLevelType w:val="hybridMultilevel"/>
    <w:tmpl w:val="6890F00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0EE40595"/>
    <w:multiLevelType w:val="hybridMultilevel"/>
    <w:tmpl w:val="2BEC86C6"/>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EEA570E"/>
    <w:multiLevelType w:val="hybridMultilevel"/>
    <w:tmpl w:val="18B8CE50"/>
    <w:lvl w:ilvl="0" w:tplc="4A341C00">
      <w:start w:val="2"/>
      <w:numFmt w:val="decimal"/>
      <w:lvlText w:val="%1."/>
      <w:lvlJc w:val="left"/>
      <w:pPr>
        <w:tabs>
          <w:tab w:val="num" w:pos="720"/>
        </w:tabs>
        <w:ind w:left="720" w:hanging="360"/>
      </w:pPr>
    </w:lvl>
    <w:lvl w:ilvl="1" w:tplc="9574F260" w:tentative="1">
      <w:start w:val="1"/>
      <w:numFmt w:val="decimal"/>
      <w:lvlText w:val="%2."/>
      <w:lvlJc w:val="left"/>
      <w:pPr>
        <w:tabs>
          <w:tab w:val="num" w:pos="1440"/>
        </w:tabs>
        <w:ind w:left="1440" w:hanging="360"/>
      </w:pPr>
    </w:lvl>
    <w:lvl w:ilvl="2" w:tplc="EB54AD00" w:tentative="1">
      <w:start w:val="1"/>
      <w:numFmt w:val="decimal"/>
      <w:lvlText w:val="%3."/>
      <w:lvlJc w:val="left"/>
      <w:pPr>
        <w:tabs>
          <w:tab w:val="num" w:pos="2160"/>
        </w:tabs>
        <w:ind w:left="2160" w:hanging="360"/>
      </w:pPr>
    </w:lvl>
    <w:lvl w:ilvl="3" w:tplc="755E3522" w:tentative="1">
      <w:start w:val="1"/>
      <w:numFmt w:val="decimal"/>
      <w:lvlText w:val="%4."/>
      <w:lvlJc w:val="left"/>
      <w:pPr>
        <w:tabs>
          <w:tab w:val="num" w:pos="2880"/>
        </w:tabs>
        <w:ind w:left="2880" w:hanging="360"/>
      </w:pPr>
    </w:lvl>
    <w:lvl w:ilvl="4" w:tplc="C8C6E160" w:tentative="1">
      <w:start w:val="1"/>
      <w:numFmt w:val="decimal"/>
      <w:lvlText w:val="%5."/>
      <w:lvlJc w:val="left"/>
      <w:pPr>
        <w:tabs>
          <w:tab w:val="num" w:pos="3600"/>
        </w:tabs>
        <w:ind w:left="3600" w:hanging="360"/>
      </w:pPr>
    </w:lvl>
    <w:lvl w:ilvl="5" w:tplc="CA9A1E18" w:tentative="1">
      <w:start w:val="1"/>
      <w:numFmt w:val="decimal"/>
      <w:lvlText w:val="%6."/>
      <w:lvlJc w:val="left"/>
      <w:pPr>
        <w:tabs>
          <w:tab w:val="num" w:pos="4320"/>
        </w:tabs>
        <w:ind w:left="4320" w:hanging="360"/>
      </w:pPr>
    </w:lvl>
    <w:lvl w:ilvl="6" w:tplc="E5E052FA" w:tentative="1">
      <w:start w:val="1"/>
      <w:numFmt w:val="decimal"/>
      <w:lvlText w:val="%7."/>
      <w:lvlJc w:val="left"/>
      <w:pPr>
        <w:tabs>
          <w:tab w:val="num" w:pos="5040"/>
        </w:tabs>
        <w:ind w:left="5040" w:hanging="360"/>
      </w:pPr>
    </w:lvl>
    <w:lvl w:ilvl="7" w:tplc="97B4796A" w:tentative="1">
      <w:start w:val="1"/>
      <w:numFmt w:val="decimal"/>
      <w:lvlText w:val="%8."/>
      <w:lvlJc w:val="left"/>
      <w:pPr>
        <w:tabs>
          <w:tab w:val="num" w:pos="5760"/>
        </w:tabs>
        <w:ind w:left="5760" w:hanging="360"/>
      </w:pPr>
    </w:lvl>
    <w:lvl w:ilvl="8" w:tplc="4E2445EC" w:tentative="1">
      <w:start w:val="1"/>
      <w:numFmt w:val="decimal"/>
      <w:lvlText w:val="%9."/>
      <w:lvlJc w:val="left"/>
      <w:pPr>
        <w:tabs>
          <w:tab w:val="num" w:pos="6480"/>
        </w:tabs>
        <w:ind w:left="6480" w:hanging="360"/>
      </w:pPr>
    </w:lvl>
  </w:abstractNum>
  <w:abstractNum w:abstractNumId="28" w15:restartNumberingAfterBreak="0">
    <w:nsid w:val="10F66F91"/>
    <w:multiLevelType w:val="hybridMultilevel"/>
    <w:tmpl w:val="97C2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550C0"/>
    <w:multiLevelType w:val="hybridMultilevel"/>
    <w:tmpl w:val="136E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503E77"/>
    <w:multiLevelType w:val="hybridMultilevel"/>
    <w:tmpl w:val="F2683850"/>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12DA7007"/>
    <w:multiLevelType w:val="hybridMultilevel"/>
    <w:tmpl w:val="F78A01F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133F022F"/>
    <w:multiLevelType w:val="hybridMultilevel"/>
    <w:tmpl w:val="E8BE4E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16DC2BE0"/>
    <w:multiLevelType w:val="hybridMultilevel"/>
    <w:tmpl w:val="F820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E33CAB"/>
    <w:multiLevelType w:val="hybridMultilevel"/>
    <w:tmpl w:val="3E30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33229F"/>
    <w:multiLevelType w:val="hybridMultilevel"/>
    <w:tmpl w:val="E51E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B50D74"/>
    <w:multiLevelType w:val="hybridMultilevel"/>
    <w:tmpl w:val="BCEC4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3541C2"/>
    <w:multiLevelType w:val="hybridMultilevel"/>
    <w:tmpl w:val="237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D655565"/>
    <w:multiLevelType w:val="hybridMultilevel"/>
    <w:tmpl w:val="0F88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1906A1"/>
    <w:multiLevelType w:val="hybridMultilevel"/>
    <w:tmpl w:val="EED4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A9640F"/>
    <w:multiLevelType w:val="hybridMultilevel"/>
    <w:tmpl w:val="C5E2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FE14EA"/>
    <w:multiLevelType w:val="hybridMultilevel"/>
    <w:tmpl w:val="2EFE53E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234541EA"/>
    <w:multiLevelType w:val="hybridMultilevel"/>
    <w:tmpl w:val="FBD4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E42AE3"/>
    <w:multiLevelType w:val="hybridMultilevel"/>
    <w:tmpl w:val="476C50F0"/>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43B1171"/>
    <w:multiLevelType w:val="hybridMultilevel"/>
    <w:tmpl w:val="98F8E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494FC3"/>
    <w:multiLevelType w:val="hybridMultilevel"/>
    <w:tmpl w:val="73201D68"/>
    <w:lvl w:ilvl="0" w:tplc="82A8CE9A">
      <w:start w:val="1"/>
      <w:numFmt w:val="decimal"/>
      <w:lvlText w:val="%1."/>
      <w:lvlJc w:val="left"/>
      <w:pPr>
        <w:tabs>
          <w:tab w:val="num" w:pos="720"/>
        </w:tabs>
        <w:ind w:left="720" w:hanging="360"/>
      </w:pPr>
    </w:lvl>
    <w:lvl w:ilvl="1" w:tplc="77C4F798" w:tentative="1">
      <w:start w:val="1"/>
      <w:numFmt w:val="decimal"/>
      <w:lvlText w:val="%2."/>
      <w:lvlJc w:val="left"/>
      <w:pPr>
        <w:tabs>
          <w:tab w:val="num" w:pos="1440"/>
        </w:tabs>
        <w:ind w:left="1440" w:hanging="360"/>
      </w:pPr>
    </w:lvl>
    <w:lvl w:ilvl="2" w:tplc="187CD33E" w:tentative="1">
      <w:start w:val="1"/>
      <w:numFmt w:val="decimal"/>
      <w:lvlText w:val="%3."/>
      <w:lvlJc w:val="left"/>
      <w:pPr>
        <w:tabs>
          <w:tab w:val="num" w:pos="2160"/>
        </w:tabs>
        <w:ind w:left="2160" w:hanging="360"/>
      </w:pPr>
    </w:lvl>
    <w:lvl w:ilvl="3" w:tplc="8A345BDC" w:tentative="1">
      <w:start w:val="1"/>
      <w:numFmt w:val="decimal"/>
      <w:lvlText w:val="%4."/>
      <w:lvlJc w:val="left"/>
      <w:pPr>
        <w:tabs>
          <w:tab w:val="num" w:pos="2880"/>
        </w:tabs>
        <w:ind w:left="2880" w:hanging="360"/>
      </w:pPr>
    </w:lvl>
    <w:lvl w:ilvl="4" w:tplc="6B064C74" w:tentative="1">
      <w:start w:val="1"/>
      <w:numFmt w:val="decimal"/>
      <w:lvlText w:val="%5."/>
      <w:lvlJc w:val="left"/>
      <w:pPr>
        <w:tabs>
          <w:tab w:val="num" w:pos="3600"/>
        </w:tabs>
        <w:ind w:left="3600" w:hanging="360"/>
      </w:pPr>
    </w:lvl>
    <w:lvl w:ilvl="5" w:tplc="6DE2F7FA" w:tentative="1">
      <w:start w:val="1"/>
      <w:numFmt w:val="decimal"/>
      <w:lvlText w:val="%6."/>
      <w:lvlJc w:val="left"/>
      <w:pPr>
        <w:tabs>
          <w:tab w:val="num" w:pos="4320"/>
        </w:tabs>
        <w:ind w:left="4320" w:hanging="360"/>
      </w:pPr>
    </w:lvl>
    <w:lvl w:ilvl="6" w:tplc="FA9E1A20" w:tentative="1">
      <w:start w:val="1"/>
      <w:numFmt w:val="decimal"/>
      <w:lvlText w:val="%7."/>
      <w:lvlJc w:val="left"/>
      <w:pPr>
        <w:tabs>
          <w:tab w:val="num" w:pos="5040"/>
        </w:tabs>
        <w:ind w:left="5040" w:hanging="360"/>
      </w:pPr>
    </w:lvl>
    <w:lvl w:ilvl="7" w:tplc="9712103A" w:tentative="1">
      <w:start w:val="1"/>
      <w:numFmt w:val="decimal"/>
      <w:lvlText w:val="%8."/>
      <w:lvlJc w:val="left"/>
      <w:pPr>
        <w:tabs>
          <w:tab w:val="num" w:pos="5760"/>
        </w:tabs>
        <w:ind w:left="5760" w:hanging="360"/>
      </w:pPr>
    </w:lvl>
    <w:lvl w:ilvl="8" w:tplc="02E8BC36" w:tentative="1">
      <w:start w:val="1"/>
      <w:numFmt w:val="decimal"/>
      <w:lvlText w:val="%9."/>
      <w:lvlJc w:val="left"/>
      <w:pPr>
        <w:tabs>
          <w:tab w:val="num" w:pos="6480"/>
        </w:tabs>
        <w:ind w:left="6480" w:hanging="360"/>
      </w:pPr>
    </w:lvl>
  </w:abstractNum>
  <w:abstractNum w:abstractNumId="46" w15:restartNumberingAfterBreak="0">
    <w:nsid w:val="25CD7598"/>
    <w:multiLevelType w:val="hybridMultilevel"/>
    <w:tmpl w:val="1F54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693D2B"/>
    <w:multiLevelType w:val="hybridMultilevel"/>
    <w:tmpl w:val="C47E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CF3DD0"/>
    <w:multiLevelType w:val="hybridMultilevel"/>
    <w:tmpl w:val="04906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06734E"/>
    <w:multiLevelType w:val="hybridMultilevel"/>
    <w:tmpl w:val="7FF4258A"/>
    <w:lvl w:ilvl="0" w:tplc="751AFDD6">
      <w:start w:val="1"/>
      <w:numFmt w:val="bullet"/>
      <w:lvlText w:val="-"/>
      <w:lvlJc w:val="left"/>
      <w:pPr>
        <w:tabs>
          <w:tab w:val="num" w:pos="360"/>
        </w:tabs>
        <w:ind w:left="36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9155110"/>
    <w:multiLevelType w:val="hybridMultilevel"/>
    <w:tmpl w:val="685600B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2AE8385A"/>
    <w:multiLevelType w:val="hybridMultilevel"/>
    <w:tmpl w:val="41B06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B047E09"/>
    <w:multiLevelType w:val="hybridMultilevel"/>
    <w:tmpl w:val="FE1C3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284E7F"/>
    <w:multiLevelType w:val="hybridMultilevel"/>
    <w:tmpl w:val="650C0F7A"/>
    <w:lvl w:ilvl="0" w:tplc="3ECC8F5E">
      <w:start w:val="1"/>
      <w:numFmt w:val="decimal"/>
      <w:lvlText w:val="%1."/>
      <w:lvlJc w:val="left"/>
      <w:pPr>
        <w:tabs>
          <w:tab w:val="num" w:pos="720"/>
        </w:tabs>
        <w:ind w:left="720" w:hanging="360"/>
      </w:pPr>
    </w:lvl>
    <w:lvl w:ilvl="1" w:tplc="A0404406" w:tentative="1">
      <w:start w:val="1"/>
      <w:numFmt w:val="decimal"/>
      <w:lvlText w:val="%2."/>
      <w:lvlJc w:val="left"/>
      <w:pPr>
        <w:tabs>
          <w:tab w:val="num" w:pos="1440"/>
        </w:tabs>
        <w:ind w:left="1440" w:hanging="360"/>
      </w:pPr>
    </w:lvl>
    <w:lvl w:ilvl="2" w:tplc="0FFA322C" w:tentative="1">
      <w:start w:val="1"/>
      <w:numFmt w:val="decimal"/>
      <w:lvlText w:val="%3."/>
      <w:lvlJc w:val="left"/>
      <w:pPr>
        <w:tabs>
          <w:tab w:val="num" w:pos="2160"/>
        </w:tabs>
        <w:ind w:left="2160" w:hanging="360"/>
      </w:pPr>
    </w:lvl>
    <w:lvl w:ilvl="3" w:tplc="47AC0C6E" w:tentative="1">
      <w:start w:val="1"/>
      <w:numFmt w:val="decimal"/>
      <w:lvlText w:val="%4."/>
      <w:lvlJc w:val="left"/>
      <w:pPr>
        <w:tabs>
          <w:tab w:val="num" w:pos="2880"/>
        </w:tabs>
        <w:ind w:left="2880" w:hanging="360"/>
      </w:pPr>
    </w:lvl>
    <w:lvl w:ilvl="4" w:tplc="58D8E960" w:tentative="1">
      <w:start w:val="1"/>
      <w:numFmt w:val="decimal"/>
      <w:lvlText w:val="%5."/>
      <w:lvlJc w:val="left"/>
      <w:pPr>
        <w:tabs>
          <w:tab w:val="num" w:pos="3600"/>
        </w:tabs>
        <w:ind w:left="3600" w:hanging="360"/>
      </w:pPr>
    </w:lvl>
    <w:lvl w:ilvl="5" w:tplc="BE508FA8" w:tentative="1">
      <w:start w:val="1"/>
      <w:numFmt w:val="decimal"/>
      <w:lvlText w:val="%6."/>
      <w:lvlJc w:val="left"/>
      <w:pPr>
        <w:tabs>
          <w:tab w:val="num" w:pos="4320"/>
        </w:tabs>
        <w:ind w:left="4320" w:hanging="360"/>
      </w:pPr>
    </w:lvl>
    <w:lvl w:ilvl="6" w:tplc="98B24A6E" w:tentative="1">
      <w:start w:val="1"/>
      <w:numFmt w:val="decimal"/>
      <w:lvlText w:val="%7."/>
      <w:lvlJc w:val="left"/>
      <w:pPr>
        <w:tabs>
          <w:tab w:val="num" w:pos="5040"/>
        </w:tabs>
        <w:ind w:left="5040" w:hanging="360"/>
      </w:pPr>
    </w:lvl>
    <w:lvl w:ilvl="7" w:tplc="C8A6021A" w:tentative="1">
      <w:start w:val="1"/>
      <w:numFmt w:val="decimal"/>
      <w:lvlText w:val="%8."/>
      <w:lvlJc w:val="left"/>
      <w:pPr>
        <w:tabs>
          <w:tab w:val="num" w:pos="5760"/>
        </w:tabs>
        <w:ind w:left="5760" w:hanging="360"/>
      </w:pPr>
    </w:lvl>
    <w:lvl w:ilvl="8" w:tplc="12303E32" w:tentative="1">
      <w:start w:val="1"/>
      <w:numFmt w:val="decimal"/>
      <w:lvlText w:val="%9."/>
      <w:lvlJc w:val="left"/>
      <w:pPr>
        <w:tabs>
          <w:tab w:val="num" w:pos="6480"/>
        </w:tabs>
        <w:ind w:left="6480" w:hanging="360"/>
      </w:pPr>
    </w:lvl>
  </w:abstractNum>
  <w:abstractNum w:abstractNumId="54" w15:restartNumberingAfterBreak="0">
    <w:nsid w:val="2CE62385"/>
    <w:multiLevelType w:val="hybridMultilevel"/>
    <w:tmpl w:val="7EC49EF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 w15:restartNumberingAfterBreak="0">
    <w:nsid w:val="2D525E86"/>
    <w:multiLevelType w:val="hybridMultilevel"/>
    <w:tmpl w:val="FE8267DA"/>
    <w:lvl w:ilvl="0" w:tplc="991C5D1E">
      <w:start w:val="2"/>
      <w:numFmt w:val="decimal"/>
      <w:lvlText w:val="%1."/>
      <w:lvlJc w:val="left"/>
      <w:pPr>
        <w:tabs>
          <w:tab w:val="num" w:pos="720"/>
        </w:tabs>
        <w:ind w:left="720" w:hanging="360"/>
      </w:pPr>
    </w:lvl>
    <w:lvl w:ilvl="1" w:tplc="A21ED52C" w:tentative="1">
      <w:start w:val="1"/>
      <w:numFmt w:val="decimal"/>
      <w:lvlText w:val="%2."/>
      <w:lvlJc w:val="left"/>
      <w:pPr>
        <w:tabs>
          <w:tab w:val="num" w:pos="1440"/>
        </w:tabs>
        <w:ind w:left="1440" w:hanging="360"/>
      </w:pPr>
    </w:lvl>
    <w:lvl w:ilvl="2" w:tplc="A2C29552" w:tentative="1">
      <w:start w:val="1"/>
      <w:numFmt w:val="decimal"/>
      <w:lvlText w:val="%3."/>
      <w:lvlJc w:val="left"/>
      <w:pPr>
        <w:tabs>
          <w:tab w:val="num" w:pos="2160"/>
        </w:tabs>
        <w:ind w:left="2160" w:hanging="360"/>
      </w:pPr>
    </w:lvl>
    <w:lvl w:ilvl="3" w:tplc="0FBE4C64" w:tentative="1">
      <w:start w:val="1"/>
      <w:numFmt w:val="decimal"/>
      <w:lvlText w:val="%4."/>
      <w:lvlJc w:val="left"/>
      <w:pPr>
        <w:tabs>
          <w:tab w:val="num" w:pos="2880"/>
        </w:tabs>
        <w:ind w:left="2880" w:hanging="360"/>
      </w:pPr>
    </w:lvl>
    <w:lvl w:ilvl="4" w:tplc="0914A352" w:tentative="1">
      <w:start w:val="1"/>
      <w:numFmt w:val="decimal"/>
      <w:lvlText w:val="%5."/>
      <w:lvlJc w:val="left"/>
      <w:pPr>
        <w:tabs>
          <w:tab w:val="num" w:pos="3600"/>
        </w:tabs>
        <w:ind w:left="3600" w:hanging="360"/>
      </w:pPr>
    </w:lvl>
    <w:lvl w:ilvl="5" w:tplc="E8581DEA" w:tentative="1">
      <w:start w:val="1"/>
      <w:numFmt w:val="decimal"/>
      <w:lvlText w:val="%6."/>
      <w:lvlJc w:val="left"/>
      <w:pPr>
        <w:tabs>
          <w:tab w:val="num" w:pos="4320"/>
        </w:tabs>
        <w:ind w:left="4320" w:hanging="360"/>
      </w:pPr>
    </w:lvl>
    <w:lvl w:ilvl="6" w:tplc="E6DAC5C6" w:tentative="1">
      <w:start w:val="1"/>
      <w:numFmt w:val="decimal"/>
      <w:lvlText w:val="%7."/>
      <w:lvlJc w:val="left"/>
      <w:pPr>
        <w:tabs>
          <w:tab w:val="num" w:pos="5040"/>
        </w:tabs>
        <w:ind w:left="5040" w:hanging="360"/>
      </w:pPr>
    </w:lvl>
    <w:lvl w:ilvl="7" w:tplc="B00671DE" w:tentative="1">
      <w:start w:val="1"/>
      <w:numFmt w:val="decimal"/>
      <w:lvlText w:val="%8."/>
      <w:lvlJc w:val="left"/>
      <w:pPr>
        <w:tabs>
          <w:tab w:val="num" w:pos="5760"/>
        </w:tabs>
        <w:ind w:left="5760" w:hanging="360"/>
      </w:pPr>
    </w:lvl>
    <w:lvl w:ilvl="8" w:tplc="ACBC4144" w:tentative="1">
      <w:start w:val="1"/>
      <w:numFmt w:val="decimal"/>
      <w:lvlText w:val="%9."/>
      <w:lvlJc w:val="left"/>
      <w:pPr>
        <w:tabs>
          <w:tab w:val="num" w:pos="6480"/>
        </w:tabs>
        <w:ind w:left="6480" w:hanging="360"/>
      </w:pPr>
    </w:lvl>
  </w:abstractNum>
  <w:abstractNum w:abstractNumId="56" w15:restartNumberingAfterBreak="0">
    <w:nsid w:val="2E885394"/>
    <w:multiLevelType w:val="hybridMultilevel"/>
    <w:tmpl w:val="5932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480A82"/>
    <w:multiLevelType w:val="hybridMultilevel"/>
    <w:tmpl w:val="71EE2F4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30863777"/>
    <w:multiLevelType w:val="hybridMultilevel"/>
    <w:tmpl w:val="6316B166"/>
    <w:lvl w:ilvl="0" w:tplc="23E8FB9A">
      <w:numFmt w:val="decimal"/>
      <w:lvlText w:val="%1."/>
      <w:lvlJc w:val="left"/>
      <w:pPr>
        <w:ind w:left="11"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9" w15:restartNumberingAfterBreak="0">
    <w:nsid w:val="30E923D8"/>
    <w:multiLevelType w:val="multilevel"/>
    <w:tmpl w:val="4C7A7A2C"/>
    <w:lvl w:ilvl="0">
      <w:numFmt w:val="none"/>
      <w:pStyle w:val="Appendix1"/>
      <w:lvlText w:val=""/>
      <w:lvlJc w:val="left"/>
      <w:pPr>
        <w:tabs>
          <w:tab w:val="num" w:pos="360"/>
        </w:tabs>
      </w:pPr>
    </w:lvl>
    <w:lvl w:ilvl="1">
      <w:numFmt w:val="decimal"/>
      <w:pStyle w:val="Appendix2"/>
      <w:lvlText w:val=""/>
      <w:lvlJc w:val="left"/>
    </w:lvl>
    <w:lvl w:ilvl="2">
      <w:numFmt w:val="decimal"/>
      <w:pStyle w:val="Appendix3"/>
      <w:lvlText w:val=""/>
      <w:lvlJc w:val="left"/>
    </w:lvl>
    <w:lvl w:ilvl="3">
      <w:numFmt w:val="decimal"/>
      <w:pStyle w:val="Appendix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0F44330"/>
    <w:multiLevelType w:val="hybridMultilevel"/>
    <w:tmpl w:val="84E0EFC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30F72837"/>
    <w:multiLevelType w:val="hybridMultilevel"/>
    <w:tmpl w:val="26C0FB1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31E676C0"/>
    <w:multiLevelType w:val="hybridMultilevel"/>
    <w:tmpl w:val="6A7EEF54"/>
    <w:lvl w:ilvl="0" w:tplc="04090001">
      <w:numFmt w:val="decimal"/>
      <w:lvlText w:val=""/>
      <w:lvlJc w:val="left"/>
    </w:lvl>
    <w:lvl w:ilvl="1" w:tplc="04090001">
      <w:numFmt w:val="decimal"/>
      <w:lvlText w:val=""/>
      <w:lvlJc w:val="left"/>
    </w:lvl>
    <w:lvl w:ilvl="2" w:tplc="04090005">
      <w:start w:val="1690867456"/>
      <w:numFmt w:val="decimal"/>
      <w:lvlText w:val=""/>
      <w:lvlJc w:val="center"/>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321B1247"/>
    <w:multiLevelType w:val="hybridMultilevel"/>
    <w:tmpl w:val="FFFFFFFF"/>
    <w:lvl w:ilvl="0" w:tplc="70E6BCD8">
      <w:start w:val="1"/>
      <w:numFmt w:val="bullet"/>
      <w:lvlText w:val=""/>
      <w:lvlJc w:val="left"/>
      <w:pPr>
        <w:ind w:left="720" w:hanging="360"/>
      </w:pPr>
      <w:rPr>
        <w:rFonts w:ascii="Symbol" w:hAnsi="Symbol" w:hint="default"/>
      </w:rPr>
    </w:lvl>
    <w:lvl w:ilvl="1" w:tplc="4B429748">
      <w:start w:val="1"/>
      <w:numFmt w:val="bullet"/>
      <w:lvlText w:val="o"/>
      <w:lvlJc w:val="left"/>
      <w:pPr>
        <w:ind w:left="1440" w:hanging="360"/>
      </w:pPr>
      <w:rPr>
        <w:rFonts w:ascii="Courier New" w:hAnsi="Courier New" w:hint="default"/>
      </w:rPr>
    </w:lvl>
    <w:lvl w:ilvl="2" w:tplc="3CCCDAB4">
      <w:start w:val="1"/>
      <w:numFmt w:val="bullet"/>
      <w:lvlText w:val=""/>
      <w:lvlJc w:val="left"/>
      <w:pPr>
        <w:ind w:left="2160" w:hanging="360"/>
      </w:pPr>
      <w:rPr>
        <w:rFonts w:ascii="Wingdings" w:hAnsi="Wingdings" w:hint="default"/>
      </w:rPr>
    </w:lvl>
    <w:lvl w:ilvl="3" w:tplc="AC548D8C">
      <w:start w:val="1"/>
      <w:numFmt w:val="bullet"/>
      <w:lvlText w:val=""/>
      <w:lvlJc w:val="left"/>
      <w:pPr>
        <w:ind w:left="2880" w:hanging="360"/>
      </w:pPr>
      <w:rPr>
        <w:rFonts w:ascii="Symbol" w:hAnsi="Symbol" w:hint="default"/>
      </w:rPr>
    </w:lvl>
    <w:lvl w:ilvl="4" w:tplc="DD48D442">
      <w:start w:val="1"/>
      <w:numFmt w:val="bullet"/>
      <w:lvlText w:val="o"/>
      <w:lvlJc w:val="left"/>
      <w:pPr>
        <w:ind w:left="3600" w:hanging="360"/>
      </w:pPr>
      <w:rPr>
        <w:rFonts w:ascii="Courier New" w:hAnsi="Courier New" w:hint="default"/>
      </w:rPr>
    </w:lvl>
    <w:lvl w:ilvl="5" w:tplc="6680C516">
      <w:start w:val="1"/>
      <w:numFmt w:val="bullet"/>
      <w:lvlText w:val=""/>
      <w:lvlJc w:val="left"/>
      <w:pPr>
        <w:ind w:left="4320" w:hanging="360"/>
      </w:pPr>
      <w:rPr>
        <w:rFonts w:ascii="Wingdings" w:hAnsi="Wingdings" w:hint="default"/>
      </w:rPr>
    </w:lvl>
    <w:lvl w:ilvl="6" w:tplc="75580B0E">
      <w:start w:val="1"/>
      <w:numFmt w:val="bullet"/>
      <w:lvlText w:val=""/>
      <w:lvlJc w:val="left"/>
      <w:pPr>
        <w:ind w:left="5040" w:hanging="360"/>
      </w:pPr>
      <w:rPr>
        <w:rFonts w:ascii="Symbol" w:hAnsi="Symbol" w:hint="default"/>
      </w:rPr>
    </w:lvl>
    <w:lvl w:ilvl="7" w:tplc="960248C4">
      <w:start w:val="1"/>
      <w:numFmt w:val="bullet"/>
      <w:lvlText w:val="o"/>
      <w:lvlJc w:val="left"/>
      <w:pPr>
        <w:ind w:left="5760" w:hanging="360"/>
      </w:pPr>
      <w:rPr>
        <w:rFonts w:ascii="Courier New" w:hAnsi="Courier New" w:hint="default"/>
      </w:rPr>
    </w:lvl>
    <w:lvl w:ilvl="8" w:tplc="03DA2CEC">
      <w:start w:val="1"/>
      <w:numFmt w:val="bullet"/>
      <w:lvlText w:val=""/>
      <w:lvlJc w:val="left"/>
      <w:pPr>
        <w:ind w:left="6480" w:hanging="360"/>
      </w:pPr>
      <w:rPr>
        <w:rFonts w:ascii="Wingdings" w:hAnsi="Wingdings" w:hint="default"/>
      </w:rPr>
    </w:lvl>
  </w:abstractNum>
  <w:abstractNum w:abstractNumId="64" w15:restartNumberingAfterBreak="0">
    <w:nsid w:val="3523452B"/>
    <w:multiLevelType w:val="hybridMultilevel"/>
    <w:tmpl w:val="AABEC1E0"/>
    <w:lvl w:ilvl="0" w:tplc="5D9EC946">
      <w:start w:val="2"/>
      <w:numFmt w:val="decimal"/>
      <w:lvlText w:val="%1."/>
      <w:lvlJc w:val="left"/>
      <w:pPr>
        <w:tabs>
          <w:tab w:val="num" w:pos="720"/>
        </w:tabs>
        <w:ind w:left="720" w:hanging="360"/>
      </w:pPr>
    </w:lvl>
    <w:lvl w:ilvl="1" w:tplc="1338C330" w:tentative="1">
      <w:start w:val="1"/>
      <w:numFmt w:val="decimal"/>
      <w:lvlText w:val="%2."/>
      <w:lvlJc w:val="left"/>
      <w:pPr>
        <w:tabs>
          <w:tab w:val="num" w:pos="1440"/>
        </w:tabs>
        <w:ind w:left="1440" w:hanging="360"/>
      </w:pPr>
    </w:lvl>
    <w:lvl w:ilvl="2" w:tplc="8D92C018" w:tentative="1">
      <w:start w:val="1"/>
      <w:numFmt w:val="decimal"/>
      <w:lvlText w:val="%3."/>
      <w:lvlJc w:val="left"/>
      <w:pPr>
        <w:tabs>
          <w:tab w:val="num" w:pos="2160"/>
        </w:tabs>
        <w:ind w:left="2160" w:hanging="360"/>
      </w:pPr>
    </w:lvl>
    <w:lvl w:ilvl="3" w:tplc="D5D6FF54" w:tentative="1">
      <w:start w:val="1"/>
      <w:numFmt w:val="decimal"/>
      <w:lvlText w:val="%4."/>
      <w:lvlJc w:val="left"/>
      <w:pPr>
        <w:tabs>
          <w:tab w:val="num" w:pos="2880"/>
        </w:tabs>
        <w:ind w:left="2880" w:hanging="360"/>
      </w:pPr>
    </w:lvl>
    <w:lvl w:ilvl="4" w:tplc="C5863E86" w:tentative="1">
      <w:start w:val="1"/>
      <w:numFmt w:val="decimal"/>
      <w:lvlText w:val="%5."/>
      <w:lvlJc w:val="left"/>
      <w:pPr>
        <w:tabs>
          <w:tab w:val="num" w:pos="3600"/>
        </w:tabs>
        <w:ind w:left="3600" w:hanging="360"/>
      </w:pPr>
    </w:lvl>
    <w:lvl w:ilvl="5" w:tplc="11CABF28" w:tentative="1">
      <w:start w:val="1"/>
      <w:numFmt w:val="decimal"/>
      <w:lvlText w:val="%6."/>
      <w:lvlJc w:val="left"/>
      <w:pPr>
        <w:tabs>
          <w:tab w:val="num" w:pos="4320"/>
        </w:tabs>
        <w:ind w:left="4320" w:hanging="360"/>
      </w:pPr>
    </w:lvl>
    <w:lvl w:ilvl="6" w:tplc="1BA4C33E" w:tentative="1">
      <w:start w:val="1"/>
      <w:numFmt w:val="decimal"/>
      <w:lvlText w:val="%7."/>
      <w:lvlJc w:val="left"/>
      <w:pPr>
        <w:tabs>
          <w:tab w:val="num" w:pos="5040"/>
        </w:tabs>
        <w:ind w:left="5040" w:hanging="360"/>
      </w:pPr>
    </w:lvl>
    <w:lvl w:ilvl="7" w:tplc="9BB4E6BC" w:tentative="1">
      <w:start w:val="1"/>
      <w:numFmt w:val="decimal"/>
      <w:lvlText w:val="%8."/>
      <w:lvlJc w:val="left"/>
      <w:pPr>
        <w:tabs>
          <w:tab w:val="num" w:pos="5760"/>
        </w:tabs>
        <w:ind w:left="5760" w:hanging="360"/>
      </w:pPr>
    </w:lvl>
    <w:lvl w:ilvl="8" w:tplc="4274E3AA" w:tentative="1">
      <w:start w:val="1"/>
      <w:numFmt w:val="decimal"/>
      <w:lvlText w:val="%9."/>
      <w:lvlJc w:val="left"/>
      <w:pPr>
        <w:tabs>
          <w:tab w:val="num" w:pos="6480"/>
        </w:tabs>
        <w:ind w:left="6480" w:hanging="360"/>
      </w:pPr>
    </w:lvl>
  </w:abstractNum>
  <w:abstractNum w:abstractNumId="65" w15:restartNumberingAfterBreak="0">
    <w:nsid w:val="35571A2E"/>
    <w:multiLevelType w:val="hybridMultilevel"/>
    <w:tmpl w:val="A06A7562"/>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37AA2B93"/>
    <w:multiLevelType w:val="hybridMultilevel"/>
    <w:tmpl w:val="D9866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37C239C0"/>
    <w:multiLevelType w:val="hybridMultilevel"/>
    <w:tmpl w:val="5D7240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8816F22"/>
    <w:multiLevelType w:val="hybridMultilevel"/>
    <w:tmpl w:val="8320F56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38E13E5C"/>
    <w:multiLevelType w:val="hybridMultilevel"/>
    <w:tmpl w:val="4092B39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901285F"/>
    <w:multiLevelType w:val="hybridMultilevel"/>
    <w:tmpl w:val="0F84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6B4F2D"/>
    <w:multiLevelType w:val="hybridMultilevel"/>
    <w:tmpl w:val="4F48E924"/>
    <w:lvl w:ilvl="0" w:tplc="A4A000B8">
      <w:start w:val="3"/>
      <w:numFmt w:val="decimal"/>
      <w:lvlText w:val="%1."/>
      <w:lvlJc w:val="left"/>
      <w:pPr>
        <w:tabs>
          <w:tab w:val="num" w:pos="720"/>
        </w:tabs>
        <w:ind w:left="720" w:hanging="360"/>
      </w:pPr>
    </w:lvl>
    <w:lvl w:ilvl="1" w:tplc="0C7EBDA4" w:tentative="1">
      <w:start w:val="1"/>
      <w:numFmt w:val="decimal"/>
      <w:lvlText w:val="%2."/>
      <w:lvlJc w:val="left"/>
      <w:pPr>
        <w:tabs>
          <w:tab w:val="num" w:pos="1440"/>
        </w:tabs>
        <w:ind w:left="1440" w:hanging="360"/>
      </w:pPr>
    </w:lvl>
    <w:lvl w:ilvl="2" w:tplc="B5A4EF8A" w:tentative="1">
      <w:start w:val="1"/>
      <w:numFmt w:val="decimal"/>
      <w:lvlText w:val="%3."/>
      <w:lvlJc w:val="left"/>
      <w:pPr>
        <w:tabs>
          <w:tab w:val="num" w:pos="2160"/>
        </w:tabs>
        <w:ind w:left="2160" w:hanging="360"/>
      </w:pPr>
    </w:lvl>
    <w:lvl w:ilvl="3" w:tplc="4AD8A220" w:tentative="1">
      <w:start w:val="1"/>
      <w:numFmt w:val="decimal"/>
      <w:lvlText w:val="%4."/>
      <w:lvlJc w:val="left"/>
      <w:pPr>
        <w:tabs>
          <w:tab w:val="num" w:pos="2880"/>
        </w:tabs>
        <w:ind w:left="2880" w:hanging="360"/>
      </w:pPr>
    </w:lvl>
    <w:lvl w:ilvl="4" w:tplc="0FBAB07E" w:tentative="1">
      <w:start w:val="1"/>
      <w:numFmt w:val="decimal"/>
      <w:lvlText w:val="%5."/>
      <w:lvlJc w:val="left"/>
      <w:pPr>
        <w:tabs>
          <w:tab w:val="num" w:pos="3600"/>
        </w:tabs>
        <w:ind w:left="3600" w:hanging="360"/>
      </w:pPr>
    </w:lvl>
    <w:lvl w:ilvl="5" w:tplc="83F0F7FA" w:tentative="1">
      <w:start w:val="1"/>
      <w:numFmt w:val="decimal"/>
      <w:lvlText w:val="%6."/>
      <w:lvlJc w:val="left"/>
      <w:pPr>
        <w:tabs>
          <w:tab w:val="num" w:pos="4320"/>
        </w:tabs>
        <w:ind w:left="4320" w:hanging="360"/>
      </w:pPr>
    </w:lvl>
    <w:lvl w:ilvl="6" w:tplc="DC7AF4F4" w:tentative="1">
      <w:start w:val="1"/>
      <w:numFmt w:val="decimal"/>
      <w:lvlText w:val="%7."/>
      <w:lvlJc w:val="left"/>
      <w:pPr>
        <w:tabs>
          <w:tab w:val="num" w:pos="5040"/>
        </w:tabs>
        <w:ind w:left="5040" w:hanging="360"/>
      </w:pPr>
    </w:lvl>
    <w:lvl w:ilvl="7" w:tplc="B74C64A6" w:tentative="1">
      <w:start w:val="1"/>
      <w:numFmt w:val="decimal"/>
      <w:lvlText w:val="%8."/>
      <w:lvlJc w:val="left"/>
      <w:pPr>
        <w:tabs>
          <w:tab w:val="num" w:pos="5760"/>
        </w:tabs>
        <w:ind w:left="5760" w:hanging="360"/>
      </w:pPr>
    </w:lvl>
    <w:lvl w:ilvl="8" w:tplc="A6C2FFC2" w:tentative="1">
      <w:start w:val="1"/>
      <w:numFmt w:val="decimal"/>
      <w:lvlText w:val="%9."/>
      <w:lvlJc w:val="left"/>
      <w:pPr>
        <w:tabs>
          <w:tab w:val="num" w:pos="6480"/>
        </w:tabs>
        <w:ind w:left="6480" w:hanging="360"/>
      </w:pPr>
    </w:lvl>
  </w:abstractNum>
  <w:abstractNum w:abstractNumId="72" w15:restartNumberingAfterBreak="0">
    <w:nsid w:val="3AF4728C"/>
    <w:multiLevelType w:val="hybridMultilevel"/>
    <w:tmpl w:val="7C9E1E8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15:restartNumberingAfterBreak="0">
    <w:nsid w:val="3B532A28"/>
    <w:multiLevelType w:val="hybridMultilevel"/>
    <w:tmpl w:val="FB8826E4"/>
    <w:lvl w:ilvl="0" w:tplc="4C70C870">
      <w:start w:val="1"/>
      <w:numFmt w:val="decimal"/>
      <w:lvlText w:val="%1."/>
      <w:lvlJc w:val="left"/>
      <w:pPr>
        <w:tabs>
          <w:tab w:val="num" w:pos="720"/>
        </w:tabs>
        <w:ind w:left="720" w:hanging="360"/>
      </w:pPr>
    </w:lvl>
    <w:lvl w:ilvl="1" w:tplc="06CE832A" w:tentative="1">
      <w:start w:val="1"/>
      <w:numFmt w:val="decimal"/>
      <w:lvlText w:val="%2."/>
      <w:lvlJc w:val="left"/>
      <w:pPr>
        <w:tabs>
          <w:tab w:val="num" w:pos="1440"/>
        </w:tabs>
        <w:ind w:left="1440" w:hanging="360"/>
      </w:pPr>
    </w:lvl>
    <w:lvl w:ilvl="2" w:tplc="734E0FFA" w:tentative="1">
      <w:start w:val="1"/>
      <w:numFmt w:val="decimal"/>
      <w:lvlText w:val="%3."/>
      <w:lvlJc w:val="left"/>
      <w:pPr>
        <w:tabs>
          <w:tab w:val="num" w:pos="2160"/>
        </w:tabs>
        <w:ind w:left="2160" w:hanging="360"/>
      </w:pPr>
    </w:lvl>
    <w:lvl w:ilvl="3" w:tplc="3998F9C4" w:tentative="1">
      <w:start w:val="1"/>
      <w:numFmt w:val="decimal"/>
      <w:lvlText w:val="%4."/>
      <w:lvlJc w:val="left"/>
      <w:pPr>
        <w:tabs>
          <w:tab w:val="num" w:pos="2880"/>
        </w:tabs>
        <w:ind w:left="2880" w:hanging="360"/>
      </w:pPr>
    </w:lvl>
    <w:lvl w:ilvl="4" w:tplc="748ED148" w:tentative="1">
      <w:start w:val="1"/>
      <w:numFmt w:val="decimal"/>
      <w:lvlText w:val="%5."/>
      <w:lvlJc w:val="left"/>
      <w:pPr>
        <w:tabs>
          <w:tab w:val="num" w:pos="3600"/>
        </w:tabs>
        <w:ind w:left="3600" w:hanging="360"/>
      </w:pPr>
    </w:lvl>
    <w:lvl w:ilvl="5" w:tplc="73FAC5E8" w:tentative="1">
      <w:start w:val="1"/>
      <w:numFmt w:val="decimal"/>
      <w:lvlText w:val="%6."/>
      <w:lvlJc w:val="left"/>
      <w:pPr>
        <w:tabs>
          <w:tab w:val="num" w:pos="4320"/>
        </w:tabs>
        <w:ind w:left="4320" w:hanging="360"/>
      </w:pPr>
    </w:lvl>
    <w:lvl w:ilvl="6" w:tplc="049E6DCE" w:tentative="1">
      <w:start w:val="1"/>
      <w:numFmt w:val="decimal"/>
      <w:lvlText w:val="%7."/>
      <w:lvlJc w:val="left"/>
      <w:pPr>
        <w:tabs>
          <w:tab w:val="num" w:pos="5040"/>
        </w:tabs>
        <w:ind w:left="5040" w:hanging="360"/>
      </w:pPr>
    </w:lvl>
    <w:lvl w:ilvl="7" w:tplc="E6C23F86" w:tentative="1">
      <w:start w:val="1"/>
      <w:numFmt w:val="decimal"/>
      <w:lvlText w:val="%8."/>
      <w:lvlJc w:val="left"/>
      <w:pPr>
        <w:tabs>
          <w:tab w:val="num" w:pos="5760"/>
        </w:tabs>
        <w:ind w:left="5760" w:hanging="360"/>
      </w:pPr>
    </w:lvl>
    <w:lvl w:ilvl="8" w:tplc="58341E82" w:tentative="1">
      <w:start w:val="1"/>
      <w:numFmt w:val="decimal"/>
      <w:lvlText w:val="%9."/>
      <w:lvlJc w:val="left"/>
      <w:pPr>
        <w:tabs>
          <w:tab w:val="num" w:pos="6480"/>
        </w:tabs>
        <w:ind w:left="6480" w:hanging="360"/>
      </w:pPr>
    </w:lvl>
  </w:abstractNum>
  <w:abstractNum w:abstractNumId="74" w15:restartNumberingAfterBreak="0">
    <w:nsid w:val="3B6D015C"/>
    <w:multiLevelType w:val="hybridMultilevel"/>
    <w:tmpl w:val="4A783CC8"/>
    <w:lvl w:ilvl="0" w:tplc="F82A001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5" w15:restartNumberingAfterBreak="0">
    <w:nsid w:val="3D2A4261"/>
    <w:multiLevelType w:val="hybridMultilevel"/>
    <w:tmpl w:val="7AE2B07A"/>
    <w:lvl w:ilvl="0" w:tplc="E1D2DCE0">
      <w:start w:val="1"/>
      <w:numFmt w:val="decimal"/>
      <w:lvlText w:val="%1."/>
      <w:lvlJc w:val="left"/>
      <w:pPr>
        <w:tabs>
          <w:tab w:val="num" w:pos="720"/>
        </w:tabs>
        <w:ind w:left="720" w:hanging="360"/>
      </w:pPr>
    </w:lvl>
    <w:lvl w:ilvl="1" w:tplc="272C1BCE" w:tentative="1">
      <w:start w:val="1"/>
      <w:numFmt w:val="decimal"/>
      <w:lvlText w:val="%2."/>
      <w:lvlJc w:val="left"/>
      <w:pPr>
        <w:tabs>
          <w:tab w:val="num" w:pos="1440"/>
        </w:tabs>
        <w:ind w:left="1440" w:hanging="360"/>
      </w:pPr>
    </w:lvl>
    <w:lvl w:ilvl="2" w:tplc="FC4A2512" w:tentative="1">
      <w:start w:val="1"/>
      <w:numFmt w:val="decimal"/>
      <w:lvlText w:val="%3."/>
      <w:lvlJc w:val="left"/>
      <w:pPr>
        <w:tabs>
          <w:tab w:val="num" w:pos="2160"/>
        </w:tabs>
        <w:ind w:left="2160" w:hanging="360"/>
      </w:pPr>
    </w:lvl>
    <w:lvl w:ilvl="3" w:tplc="9AC26EBC" w:tentative="1">
      <w:start w:val="1"/>
      <w:numFmt w:val="decimal"/>
      <w:lvlText w:val="%4."/>
      <w:lvlJc w:val="left"/>
      <w:pPr>
        <w:tabs>
          <w:tab w:val="num" w:pos="2880"/>
        </w:tabs>
        <w:ind w:left="2880" w:hanging="360"/>
      </w:pPr>
    </w:lvl>
    <w:lvl w:ilvl="4" w:tplc="935C99AC" w:tentative="1">
      <w:start w:val="1"/>
      <w:numFmt w:val="decimal"/>
      <w:lvlText w:val="%5."/>
      <w:lvlJc w:val="left"/>
      <w:pPr>
        <w:tabs>
          <w:tab w:val="num" w:pos="3600"/>
        </w:tabs>
        <w:ind w:left="3600" w:hanging="360"/>
      </w:pPr>
    </w:lvl>
    <w:lvl w:ilvl="5" w:tplc="C192992C" w:tentative="1">
      <w:start w:val="1"/>
      <w:numFmt w:val="decimal"/>
      <w:lvlText w:val="%6."/>
      <w:lvlJc w:val="left"/>
      <w:pPr>
        <w:tabs>
          <w:tab w:val="num" w:pos="4320"/>
        </w:tabs>
        <w:ind w:left="4320" w:hanging="360"/>
      </w:pPr>
    </w:lvl>
    <w:lvl w:ilvl="6" w:tplc="C5086A3E" w:tentative="1">
      <w:start w:val="1"/>
      <w:numFmt w:val="decimal"/>
      <w:lvlText w:val="%7."/>
      <w:lvlJc w:val="left"/>
      <w:pPr>
        <w:tabs>
          <w:tab w:val="num" w:pos="5040"/>
        </w:tabs>
        <w:ind w:left="5040" w:hanging="360"/>
      </w:pPr>
    </w:lvl>
    <w:lvl w:ilvl="7" w:tplc="52027746" w:tentative="1">
      <w:start w:val="1"/>
      <w:numFmt w:val="decimal"/>
      <w:lvlText w:val="%8."/>
      <w:lvlJc w:val="left"/>
      <w:pPr>
        <w:tabs>
          <w:tab w:val="num" w:pos="5760"/>
        </w:tabs>
        <w:ind w:left="5760" w:hanging="360"/>
      </w:pPr>
    </w:lvl>
    <w:lvl w:ilvl="8" w:tplc="53C2C61E" w:tentative="1">
      <w:start w:val="1"/>
      <w:numFmt w:val="decimal"/>
      <w:lvlText w:val="%9."/>
      <w:lvlJc w:val="left"/>
      <w:pPr>
        <w:tabs>
          <w:tab w:val="num" w:pos="6480"/>
        </w:tabs>
        <w:ind w:left="6480" w:hanging="360"/>
      </w:pPr>
    </w:lvl>
  </w:abstractNum>
  <w:abstractNum w:abstractNumId="76" w15:restartNumberingAfterBreak="0">
    <w:nsid w:val="3EC67114"/>
    <w:multiLevelType w:val="hybridMultilevel"/>
    <w:tmpl w:val="7304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1227A6"/>
    <w:multiLevelType w:val="hybridMultilevel"/>
    <w:tmpl w:val="79E2415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8" w15:restartNumberingAfterBreak="0">
    <w:nsid w:val="41FB7C3D"/>
    <w:multiLevelType w:val="hybridMultilevel"/>
    <w:tmpl w:val="4D840F2A"/>
    <w:lvl w:ilvl="0" w:tplc="04090001">
      <w:start w:val="1"/>
      <w:numFmt w:val="bullet"/>
      <w:lvlText w:val=""/>
      <w:lvlJc w:val="left"/>
      <w:rPr>
        <w:rFonts w:ascii="Symbol" w:hAnsi="Symbol"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9" w15:restartNumberingAfterBreak="0">
    <w:nsid w:val="433B64F9"/>
    <w:multiLevelType w:val="hybridMultilevel"/>
    <w:tmpl w:val="DE5043C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43C52BEE"/>
    <w:multiLevelType w:val="hybridMultilevel"/>
    <w:tmpl w:val="F39C474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44C75AE8"/>
    <w:multiLevelType w:val="hybridMultilevel"/>
    <w:tmpl w:val="7A42CBF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2" w15:restartNumberingAfterBreak="0">
    <w:nsid w:val="46021086"/>
    <w:multiLevelType w:val="hybridMultilevel"/>
    <w:tmpl w:val="3E28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0312AB"/>
    <w:multiLevelType w:val="hybridMultilevel"/>
    <w:tmpl w:val="6DF23852"/>
    <w:lvl w:ilvl="0" w:tplc="0409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48F815D0"/>
    <w:multiLevelType w:val="hybridMultilevel"/>
    <w:tmpl w:val="1D2ED5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5" w15:restartNumberingAfterBreak="0">
    <w:nsid w:val="4B886A90"/>
    <w:multiLevelType w:val="hybridMultilevel"/>
    <w:tmpl w:val="D910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1A5953"/>
    <w:multiLevelType w:val="hybridMultilevel"/>
    <w:tmpl w:val="2E82A59E"/>
    <w:lvl w:ilvl="0" w:tplc="0EC6237A">
      <w:start w:val="1"/>
      <w:numFmt w:val="decimal"/>
      <w:lvlText w:val="%1."/>
      <w:lvlJc w:val="left"/>
      <w:pPr>
        <w:tabs>
          <w:tab w:val="num" w:pos="720"/>
        </w:tabs>
        <w:ind w:left="720" w:hanging="360"/>
      </w:pPr>
    </w:lvl>
    <w:lvl w:ilvl="1" w:tplc="43BA8BD2" w:tentative="1">
      <w:start w:val="1"/>
      <w:numFmt w:val="decimal"/>
      <w:lvlText w:val="%2."/>
      <w:lvlJc w:val="left"/>
      <w:pPr>
        <w:tabs>
          <w:tab w:val="num" w:pos="1440"/>
        </w:tabs>
        <w:ind w:left="1440" w:hanging="360"/>
      </w:pPr>
    </w:lvl>
    <w:lvl w:ilvl="2" w:tplc="82E64928" w:tentative="1">
      <w:start w:val="1"/>
      <w:numFmt w:val="decimal"/>
      <w:lvlText w:val="%3."/>
      <w:lvlJc w:val="left"/>
      <w:pPr>
        <w:tabs>
          <w:tab w:val="num" w:pos="2160"/>
        </w:tabs>
        <w:ind w:left="2160" w:hanging="360"/>
      </w:pPr>
    </w:lvl>
    <w:lvl w:ilvl="3" w:tplc="EB8E250C" w:tentative="1">
      <w:start w:val="1"/>
      <w:numFmt w:val="decimal"/>
      <w:lvlText w:val="%4."/>
      <w:lvlJc w:val="left"/>
      <w:pPr>
        <w:tabs>
          <w:tab w:val="num" w:pos="2880"/>
        </w:tabs>
        <w:ind w:left="2880" w:hanging="360"/>
      </w:pPr>
    </w:lvl>
    <w:lvl w:ilvl="4" w:tplc="B694F988" w:tentative="1">
      <w:start w:val="1"/>
      <w:numFmt w:val="decimal"/>
      <w:lvlText w:val="%5."/>
      <w:lvlJc w:val="left"/>
      <w:pPr>
        <w:tabs>
          <w:tab w:val="num" w:pos="3600"/>
        </w:tabs>
        <w:ind w:left="3600" w:hanging="360"/>
      </w:pPr>
    </w:lvl>
    <w:lvl w:ilvl="5" w:tplc="7788332C" w:tentative="1">
      <w:start w:val="1"/>
      <w:numFmt w:val="decimal"/>
      <w:lvlText w:val="%6."/>
      <w:lvlJc w:val="left"/>
      <w:pPr>
        <w:tabs>
          <w:tab w:val="num" w:pos="4320"/>
        </w:tabs>
        <w:ind w:left="4320" w:hanging="360"/>
      </w:pPr>
    </w:lvl>
    <w:lvl w:ilvl="6" w:tplc="6A780B48" w:tentative="1">
      <w:start w:val="1"/>
      <w:numFmt w:val="decimal"/>
      <w:lvlText w:val="%7."/>
      <w:lvlJc w:val="left"/>
      <w:pPr>
        <w:tabs>
          <w:tab w:val="num" w:pos="5040"/>
        </w:tabs>
        <w:ind w:left="5040" w:hanging="360"/>
      </w:pPr>
    </w:lvl>
    <w:lvl w:ilvl="7" w:tplc="498CCD98" w:tentative="1">
      <w:start w:val="1"/>
      <w:numFmt w:val="decimal"/>
      <w:lvlText w:val="%8."/>
      <w:lvlJc w:val="left"/>
      <w:pPr>
        <w:tabs>
          <w:tab w:val="num" w:pos="5760"/>
        </w:tabs>
        <w:ind w:left="5760" w:hanging="360"/>
      </w:pPr>
    </w:lvl>
    <w:lvl w:ilvl="8" w:tplc="FA02DC32" w:tentative="1">
      <w:start w:val="1"/>
      <w:numFmt w:val="decimal"/>
      <w:lvlText w:val="%9."/>
      <w:lvlJc w:val="left"/>
      <w:pPr>
        <w:tabs>
          <w:tab w:val="num" w:pos="6480"/>
        </w:tabs>
        <w:ind w:left="6480" w:hanging="360"/>
      </w:pPr>
    </w:lvl>
  </w:abstractNum>
  <w:abstractNum w:abstractNumId="87" w15:restartNumberingAfterBreak="0">
    <w:nsid w:val="4C4F3007"/>
    <w:multiLevelType w:val="hybridMultilevel"/>
    <w:tmpl w:val="76507346"/>
    <w:lvl w:ilvl="0" w:tplc="C2FA9E82">
      <w:start w:val="2"/>
      <w:numFmt w:val="decimal"/>
      <w:lvlText w:val="%1."/>
      <w:lvlJc w:val="left"/>
      <w:pPr>
        <w:tabs>
          <w:tab w:val="num" w:pos="720"/>
        </w:tabs>
        <w:ind w:left="720" w:hanging="360"/>
      </w:pPr>
    </w:lvl>
    <w:lvl w:ilvl="1" w:tplc="8BCA2544" w:tentative="1">
      <w:start w:val="1"/>
      <w:numFmt w:val="decimal"/>
      <w:lvlText w:val="%2."/>
      <w:lvlJc w:val="left"/>
      <w:pPr>
        <w:tabs>
          <w:tab w:val="num" w:pos="1440"/>
        </w:tabs>
        <w:ind w:left="1440" w:hanging="360"/>
      </w:pPr>
    </w:lvl>
    <w:lvl w:ilvl="2" w:tplc="107014DE" w:tentative="1">
      <w:start w:val="1"/>
      <w:numFmt w:val="decimal"/>
      <w:lvlText w:val="%3."/>
      <w:lvlJc w:val="left"/>
      <w:pPr>
        <w:tabs>
          <w:tab w:val="num" w:pos="2160"/>
        </w:tabs>
        <w:ind w:left="2160" w:hanging="360"/>
      </w:pPr>
    </w:lvl>
    <w:lvl w:ilvl="3" w:tplc="E8A81402" w:tentative="1">
      <w:start w:val="1"/>
      <w:numFmt w:val="decimal"/>
      <w:lvlText w:val="%4."/>
      <w:lvlJc w:val="left"/>
      <w:pPr>
        <w:tabs>
          <w:tab w:val="num" w:pos="2880"/>
        </w:tabs>
        <w:ind w:left="2880" w:hanging="360"/>
      </w:pPr>
    </w:lvl>
    <w:lvl w:ilvl="4" w:tplc="14AC784A" w:tentative="1">
      <w:start w:val="1"/>
      <w:numFmt w:val="decimal"/>
      <w:lvlText w:val="%5."/>
      <w:lvlJc w:val="left"/>
      <w:pPr>
        <w:tabs>
          <w:tab w:val="num" w:pos="3600"/>
        </w:tabs>
        <w:ind w:left="3600" w:hanging="360"/>
      </w:pPr>
    </w:lvl>
    <w:lvl w:ilvl="5" w:tplc="34F4D82C" w:tentative="1">
      <w:start w:val="1"/>
      <w:numFmt w:val="decimal"/>
      <w:lvlText w:val="%6."/>
      <w:lvlJc w:val="left"/>
      <w:pPr>
        <w:tabs>
          <w:tab w:val="num" w:pos="4320"/>
        </w:tabs>
        <w:ind w:left="4320" w:hanging="360"/>
      </w:pPr>
    </w:lvl>
    <w:lvl w:ilvl="6" w:tplc="BD3401DE" w:tentative="1">
      <w:start w:val="1"/>
      <w:numFmt w:val="decimal"/>
      <w:lvlText w:val="%7."/>
      <w:lvlJc w:val="left"/>
      <w:pPr>
        <w:tabs>
          <w:tab w:val="num" w:pos="5040"/>
        </w:tabs>
        <w:ind w:left="5040" w:hanging="360"/>
      </w:pPr>
    </w:lvl>
    <w:lvl w:ilvl="7" w:tplc="F55689BA" w:tentative="1">
      <w:start w:val="1"/>
      <w:numFmt w:val="decimal"/>
      <w:lvlText w:val="%8."/>
      <w:lvlJc w:val="left"/>
      <w:pPr>
        <w:tabs>
          <w:tab w:val="num" w:pos="5760"/>
        </w:tabs>
        <w:ind w:left="5760" w:hanging="360"/>
      </w:pPr>
    </w:lvl>
    <w:lvl w:ilvl="8" w:tplc="1ECAA382" w:tentative="1">
      <w:start w:val="1"/>
      <w:numFmt w:val="decimal"/>
      <w:lvlText w:val="%9."/>
      <w:lvlJc w:val="left"/>
      <w:pPr>
        <w:tabs>
          <w:tab w:val="num" w:pos="6480"/>
        </w:tabs>
        <w:ind w:left="6480" w:hanging="360"/>
      </w:pPr>
    </w:lvl>
  </w:abstractNum>
  <w:abstractNum w:abstractNumId="88" w15:restartNumberingAfterBreak="0">
    <w:nsid w:val="4CCB5144"/>
    <w:multiLevelType w:val="hybridMultilevel"/>
    <w:tmpl w:val="D03E73B2"/>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9" w15:restartNumberingAfterBreak="0">
    <w:nsid w:val="4E3469BA"/>
    <w:multiLevelType w:val="hybridMultilevel"/>
    <w:tmpl w:val="A18C21D2"/>
    <w:lvl w:ilvl="0" w:tplc="F2EAB6D8">
      <w:start w:val="1"/>
      <w:numFmt w:val="decimal"/>
      <w:lvlText w:val="%1."/>
      <w:lvlJc w:val="left"/>
      <w:pPr>
        <w:tabs>
          <w:tab w:val="num" w:pos="720"/>
        </w:tabs>
        <w:ind w:left="720" w:hanging="360"/>
      </w:pPr>
    </w:lvl>
    <w:lvl w:ilvl="1" w:tplc="FEB040C4" w:tentative="1">
      <w:start w:val="1"/>
      <w:numFmt w:val="decimal"/>
      <w:lvlText w:val="%2."/>
      <w:lvlJc w:val="left"/>
      <w:pPr>
        <w:tabs>
          <w:tab w:val="num" w:pos="1440"/>
        </w:tabs>
        <w:ind w:left="1440" w:hanging="360"/>
      </w:pPr>
    </w:lvl>
    <w:lvl w:ilvl="2" w:tplc="F9B423FE" w:tentative="1">
      <w:start w:val="1"/>
      <w:numFmt w:val="decimal"/>
      <w:lvlText w:val="%3."/>
      <w:lvlJc w:val="left"/>
      <w:pPr>
        <w:tabs>
          <w:tab w:val="num" w:pos="2160"/>
        </w:tabs>
        <w:ind w:left="2160" w:hanging="360"/>
      </w:pPr>
    </w:lvl>
    <w:lvl w:ilvl="3" w:tplc="16E23280" w:tentative="1">
      <w:start w:val="1"/>
      <w:numFmt w:val="decimal"/>
      <w:lvlText w:val="%4."/>
      <w:lvlJc w:val="left"/>
      <w:pPr>
        <w:tabs>
          <w:tab w:val="num" w:pos="2880"/>
        </w:tabs>
        <w:ind w:left="2880" w:hanging="360"/>
      </w:pPr>
    </w:lvl>
    <w:lvl w:ilvl="4" w:tplc="DC3224CE" w:tentative="1">
      <w:start w:val="1"/>
      <w:numFmt w:val="decimal"/>
      <w:lvlText w:val="%5."/>
      <w:lvlJc w:val="left"/>
      <w:pPr>
        <w:tabs>
          <w:tab w:val="num" w:pos="3600"/>
        </w:tabs>
        <w:ind w:left="3600" w:hanging="360"/>
      </w:pPr>
    </w:lvl>
    <w:lvl w:ilvl="5" w:tplc="3FA283C2" w:tentative="1">
      <w:start w:val="1"/>
      <w:numFmt w:val="decimal"/>
      <w:lvlText w:val="%6."/>
      <w:lvlJc w:val="left"/>
      <w:pPr>
        <w:tabs>
          <w:tab w:val="num" w:pos="4320"/>
        </w:tabs>
        <w:ind w:left="4320" w:hanging="360"/>
      </w:pPr>
    </w:lvl>
    <w:lvl w:ilvl="6" w:tplc="1C4276E2" w:tentative="1">
      <w:start w:val="1"/>
      <w:numFmt w:val="decimal"/>
      <w:lvlText w:val="%7."/>
      <w:lvlJc w:val="left"/>
      <w:pPr>
        <w:tabs>
          <w:tab w:val="num" w:pos="5040"/>
        </w:tabs>
        <w:ind w:left="5040" w:hanging="360"/>
      </w:pPr>
    </w:lvl>
    <w:lvl w:ilvl="7" w:tplc="6226DC2E" w:tentative="1">
      <w:start w:val="1"/>
      <w:numFmt w:val="decimal"/>
      <w:lvlText w:val="%8."/>
      <w:lvlJc w:val="left"/>
      <w:pPr>
        <w:tabs>
          <w:tab w:val="num" w:pos="5760"/>
        </w:tabs>
        <w:ind w:left="5760" w:hanging="360"/>
      </w:pPr>
    </w:lvl>
    <w:lvl w:ilvl="8" w:tplc="6A2C802C" w:tentative="1">
      <w:start w:val="1"/>
      <w:numFmt w:val="decimal"/>
      <w:lvlText w:val="%9."/>
      <w:lvlJc w:val="left"/>
      <w:pPr>
        <w:tabs>
          <w:tab w:val="num" w:pos="6480"/>
        </w:tabs>
        <w:ind w:left="6480" w:hanging="360"/>
      </w:pPr>
    </w:lvl>
  </w:abstractNum>
  <w:abstractNum w:abstractNumId="90" w15:restartNumberingAfterBreak="0">
    <w:nsid w:val="4EFD1469"/>
    <w:multiLevelType w:val="hybridMultilevel"/>
    <w:tmpl w:val="4964D88C"/>
    <w:lvl w:ilvl="0" w:tplc="EA044548">
      <w:start w:val="1"/>
      <w:numFmt w:val="decimal"/>
      <w:lvlText w:val="%1."/>
      <w:lvlJc w:val="left"/>
      <w:pPr>
        <w:ind w:left="720" w:hanging="360"/>
      </w:pPr>
      <w:rPr>
        <w:rFonts w:hint="default"/>
        <w:b/>
        <w:color w:val="0073AE"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104A2C"/>
    <w:multiLevelType w:val="hybridMultilevel"/>
    <w:tmpl w:val="76DE8D2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50EB1BC1"/>
    <w:multiLevelType w:val="hybridMultilevel"/>
    <w:tmpl w:val="DA0CA988"/>
    <w:lvl w:ilvl="0" w:tplc="45BE10C4">
      <w:numFmt w:val="decimal"/>
      <w:lvlText w:val=""/>
      <w:lvlJc w:val="left"/>
    </w:lvl>
    <w:lvl w:ilvl="1" w:tplc="7DC0AED2">
      <w:numFmt w:val="decimal"/>
      <w:lvlText w:val=""/>
      <w:lvlJc w:val="left"/>
    </w:lvl>
    <w:lvl w:ilvl="2" w:tplc="35AC5F02">
      <w:numFmt w:val="decimal"/>
      <w:lvlText w:val=""/>
      <w:lvlJc w:val="left"/>
    </w:lvl>
    <w:lvl w:ilvl="3" w:tplc="5AA616CA">
      <w:numFmt w:val="decimal"/>
      <w:lvlText w:val=""/>
      <w:lvlJc w:val="left"/>
    </w:lvl>
    <w:lvl w:ilvl="4" w:tplc="C3C6FE80">
      <w:numFmt w:val="decimal"/>
      <w:lvlText w:val=""/>
      <w:lvlJc w:val="left"/>
    </w:lvl>
    <w:lvl w:ilvl="5" w:tplc="2252262C">
      <w:numFmt w:val="decimal"/>
      <w:lvlText w:val=""/>
      <w:lvlJc w:val="left"/>
    </w:lvl>
    <w:lvl w:ilvl="6" w:tplc="C20CE722">
      <w:numFmt w:val="decimal"/>
      <w:lvlText w:val=""/>
      <w:lvlJc w:val="left"/>
    </w:lvl>
    <w:lvl w:ilvl="7" w:tplc="AAC0236E">
      <w:numFmt w:val="decimal"/>
      <w:lvlText w:val=""/>
      <w:lvlJc w:val="left"/>
    </w:lvl>
    <w:lvl w:ilvl="8" w:tplc="94BC5F1C">
      <w:numFmt w:val="decimal"/>
      <w:lvlText w:val=""/>
      <w:lvlJc w:val="left"/>
    </w:lvl>
  </w:abstractNum>
  <w:abstractNum w:abstractNumId="93" w15:restartNumberingAfterBreak="0">
    <w:nsid w:val="51EF7290"/>
    <w:multiLevelType w:val="hybridMultilevel"/>
    <w:tmpl w:val="A0820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24314AC"/>
    <w:multiLevelType w:val="multilevel"/>
    <w:tmpl w:val="9782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6331C"/>
    <w:multiLevelType w:val="singleLevel"/>
    <w:tmpl w:val="BBEE1768"/>
    <w:lvl w:ilvl="0">
      <w:numFmt w:val="decimal"/>
      <w:pStyle w:val="Listanumerowana"/>
      <w:lvlText w:val=""/>
      <w:lvlJc w:val="left"/>
    </w:lvl>
  </w:abstractNum>
  <w:abstractNum w:abstractNumId="96" w15:restartNumberingAfterBreak="0">
    <w:nsid w:val="53733191"/>
    <w:multiLevelType w:val="hybridMultilevel"/>
    <w:tmpl w:val="983E2748"/>
    <w:lvl w:ilvl="0" w:tplc="6E788F80">
      <w:start w:val="2"/>
      <w:numFmt w:val="decimal"/>
      <w:lvlText w:val="%1."/>
      <w:lvlJc w:val="left"/>
      <w:pPr>
        <w:tabs>
          <w:tab w:val="num" w:pos="720"/>
        </w:tabs>
        <w:ind w:left="720" w:hanging="360"/>
      </w:pPr>
    </w:lvl>
    <w:lvl w:ilvl="1" w:tplc="C4265EBE" w:tentative="1">
      <w:start w:val="1"/>
      <w:numFmt w:val="decimal"/>
      <w:lvlText w:val="%2."/>
      <w:lvlJc w:val="left"/>
      <w:pPr>
        <w:tabs>
          <w:tab w:val="num" w:pos="1440"/>
        </w:tabs>
        <w:ind w:left="1440" w:hanging="360"/>
      </w:pPr>
    </w:lvl>
    <w:lvl w:ilvl="2" w:tplc="0F14B558" w:tentative="1">
      <w:start w:val="1"/>
      <w:numFmt w:val="decimal"/>
      <w:lvlText w:val="%3."/>
      <w:lvlJc w:val="left"/>
      <w:pPr>
        <w:tabs>
          <w:tab w:val="num" w:pos="2160"/>
        </w:tabs>
        <w:ind w:left="2160" w:hanging="360"/>
      </w:pPr>
    </w:lvl>
    <w:lvl w:ilvl="3" w:tplc="87EE3C8C" w:tentative="1">
      <w:start w:val="1"/>
      <w:numFmt w:val="decimal"/>
      <w:lvlText w:val="%4."/>
      <w:lvlJc w:val="left"/>
      <w:pPr>
        <w:tabs>
          <w:tab w:val="num" w:pos="2880"/>
        </w:tabs>
        <w:ind w:left="2880" w:hanging="360"/>
      </w:pPr>
    </w:lvl>
    <w:lvl w:ilvl="4" w:tplc="4BAEA8E0" w:tentative="1">
      <w:start w:val="1"/>
      <w:numFmt w:val="decimal"/>
      <w:lvlText w:val="%5."/>
      <w:lvlJc w:val="left"/>
      <w:pPr>
        <w:tabs>
          <w:tab w:val="num" w:pos="3600"/>
        </w:tabs>
        <w:ind w:left="3600" w:hanging="360"/>
      </w:pPr>
    </w:lvl>
    <w:lvl w:ilvl="5" w:tplc="4C40AB22" w:tentative="1">
      <w:start w:val="1"/>
      <w:numFmt w:val="decimal"/>
      <w:lvlText w:val="%6."/>
      <w:lvlJc w:val="left"/>
      <w:pPr>
        <w:tabs>
          <w:tab w:val="num" w:pos="4320"/>
        </w:tabs>
        <w:ind w:left="4320" w:hanging="360"/>
      </w:pPr>
    </w:lvl>
    <w:lvl w:ilvl="6" w:tplc="B17C612A" w:tentative="1">
      <w:start w:val="1"/>
      <w:numFmt w:val="decimal"/>
      <w:lvlText w:val="%7."/>
      <w:lvlJc w:val="left"/>
      <w:pPr>
        <w:tabs>
          <w:tab w:val="num" w:pos="5040"/>
        </w:tabs>
        <w:ind w:left="5040" w:hanging="360"/>
      </w:pPr>
    </w:lvl>
    <w:lvl w:ilvl="7" w:tplc="2814EA0A" w:tentative="1">
      <w:start w:val="1"/>
      <w:numFmt w:val="decimal"/>
      <w:lvlText w:val="%8."/>
      <w:lvlJc w:val="left"/>
      <w:pPr>
        <w:tabs>
          <w:tab w:val="num" w:pos="5760"/>
        </w:tabs>
        <w:ind w:left="5760" w:hanging="360"/>
      </w:pPr>
    </w:lvl>
    <w:lvl w:ilvl="8" w:tplc="2FBCBC22" w:tentative="1">
      <w:start w:val="1"/>
      <w:numFmt w:val="decimal"/>
      <w:lvlText w:val="%9."/>
      <w:lvlJc w:val="left"/>
      <w:pPr>
        <w:tabs>
          <w:tab w:val="num" w:pos="6480"/>
        </w:tabs>
        <w:ind w:left="6480" w:hanging="360"/>
      </w:pPr>
    </w:lvl>
  </w:abstractNum>
  <w:abstractNum w:abstractNumId="97" w15:restartNumberingAfterBreak="0">
    <w:nsid w:val="53A938BC"/>
    <w:multiLevelType w:val="hybridMultilevel"/>
    <w:tmpl w:val="88C0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091B39"/>
    <w:multiLevelType w:val="hybridMultilevel"/>
    <w:tmpl w:val="1836390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543C42B6"/>
    <w:multiLevelType w:val="hybridMultilevel"/>
    <w:tmpl w:val="02E69A1E"/>
    <w:lvl w:ilvl="0" w:tplc="DE809394">
      <w:start w:val="3"/>
      <w:numFmt w:val="decimal"/>
      <w:lvlText w:val="%1."/>
      <w:lvlJc w:val="left"/>
      <w:pPr>
        <w:tabs>
          <w:tab w:val="num" w:pos="720"/>
        </w:tabs>
        <w:ind w:left="720" w:hanging="360"/>
      </w:pPr>
    </w:lvl>
    <w:lvl w:ilvl="1" w:tplc="0C80E7C8" w:tentative="1">
      <w:start w:val="1"/>
      <w:numFmt w:val="decimal"/>
      <w:lvlText w:val="%2."/>
      <w:lvlJc w:val="left"/>
      <w:pPr>
        <w:tabs>
          <w:tab w:val="num" w:pos="1440"/>
        </w:tabs>
        <w:ind w:left="1440" w:hanging="360"/>
      </w:pPr>
    </w:lvl>
    <w:lvl w:ilvl="2" w:tplc="84C27360" w:tentative="1">
      <w:start w:val="1"/>
      <w:numFmt w:val="decimal"/>
      <w:lvlText w:val="%3."/>
      <w:lvlJc w:val="left"/>
      <w:pPr>
        <w:tabs>
          <w:tab w:val="num" w:pos="2160"/>
        </w:tabs>
        <w:ind w:left="2160" w:hanging="360"/>
      </w:pPr>
    </w:lvl>
    <w:lvl w:ilvl="3" w:tplc="91BA2B32" w:tentative="1">
      <w:start w:val="1"/>
      <w:numFmt w:val="decimal"/>
      <w:lvlText w:val="%4."/>
      <w:lvlJc w:val="left"/>
      <w:pPr>
        <w:tabs>
          <w:tab w:val="num" w:pos="2880"/>
        </w:tabs>
        <w:ind w:left="2880" w:hanging="360"/>
      </w:pPr>
    </w:lvl>
    <w:lvl w:ilvl="4" w:tplc="8CAC23C6" w:tentative="1">
      <w:start w:val="1"/>
      <w:numFmt w:val="decimal"/>
      <w:lvlText w:val="%5."/>
      <w:lvlJc w:val="left"/>
      <w:pPr>
        <w:tabs>
          <w:tab w:val="num" w:pos="3600"/>
        </w:tabs>
        <w:ind w:left="3600" w:hanging="360"/>
      </w:pPr>
    </w:lvl>
    <w:lvl w:ilvl="5" w:tplc="CD6ADAE8" w:tentative="1">
      <w:start w:val="1"/>
      <w:numFmt w:val="decimal"/>
      <w:lvlText w:val="%6."/>
      <w:lvlJc w:val="left"/>
      <w:pPr>
        <w:tabs>
          <w:tab w:val="num" w:pos="4320"/>
        </w:tabs>
        <w:ind w:left="4320" w:hanging="360"/>
      </w:pPr>
    </w:lvl>
    <w:lvl w:ilvl="6" w:tplc="8F5EA6AA" w:tentative="1">
      <w:start w:val="1"/>
      <w:numFmt w:val="decimal"/>
      <w:lvlText w:val="%7."/>
      <w:lvlJc w:val="left"/>
      <w:pPr>
        <w:tabs>
          <w:tab w:val="num" w:pos="5040"/>
        </w:tabs>
        <w:ind w:left="5040" w:hanging="360"/>
      </w:pPr>
    </w:lvl>
    <w:lvl w:ilvl="7" w:tplc="3B4A1A6A" w:tentative="1">
      <w:start w:val="1"/>
      <w:numFmt w:val="decimal"/>
      <w:lvlText w:val="%8."/>
      <w:lvlJc w:val="left"/>
      <w:pPr>
        <w:tabs>
          <w:tab w:val="num" w:pos="5760"/>
        </w:tabs>
        <w:ind w:left="5760" w:hanging="360"/>
      </w:pPr>
    </w:lvl>
    <w:lvl w:ilvl="8" w:tplc="B99641B4" w:tentative="1">
      <w:start w:val="1"/>
      <w:numFmt w:val="decimal"/>
      <w:lvlText w:val="%9."/>
      <w:lvlJc w:val="left"/>
      <w:pPr>
        <w:tabs>
          <w:tab w:val="num" w:pos="6480"/>
        </w:tabs>
        <w:ind w:left="6480" w:hanging="360"/>
      </w:pPr>
    </w:lvl>
  </w:abstractNum>
  <w:abstractNum w:abstractNumId="100" w15:restartNumberingAfterBreak="0">
    <w:nsid w:val="549E6AC0"/>
    <w:multiLevelType w:val="hybridMultilevel"/>
    <w:tmpl w:val="076AC706"/>
    <w:lvl w:ilvl="0" w:tplc="B66AAB48">
      <w:start w:val="3"/>
      <w:numFmt w:val="decimal"/>
      <w:lvlText w:val="%1."/>
      <w:lvlJc w:val="left"/>
      <w:pPr>
        <w:tabs>
          <w:tab w:val="num" w:pos="720"/>
        </w:tabs>
        <w:ind w:left="720" w:hanging="360"/>
      </w:pPr>
    </w:lvl>
    <w:lvl w:ilvl="1" w:tplc="761214F6" w:tentative="1">
      <w:start w:val="1"/>
      <w:numFmt w:val="decimal"/>
      <w:lvlText w:val="%2."/>
      <w:lvlJc w:val="left"/>
      <w:pPr>
        <w:tabs>
          <w:tab w:val="num" w:pos="1440"/>
        </w:tabs>
        <w:ind w:left="1440" w:hanging="360"/>
      </w:pPr>
    </w:lvl>
    <w:lvl w:ilvl="2" w:tplc="5E74E2E2" w:tentative="1">
      <w:start w:val="1"/>
      <w:numFmt w:val="decimal"/>
      <w:lvlText w:val="%3."/>
      <w:lvlJc w:val="left"/>
      <w:pPr>
        <w:tabs>
          <w:tab w:val="num" w:pos="2160"/>
        </w:tabs>
        <w:ind w:left="2160" w:hanging="360"/>
      </w:pPr>
    </w:lvl>
    <w:lvl w:ilvl="3" w:tplc="7AD24150" w:tentative="1">
      <w:start w:val="1"/>
      <w:numFmt w:val="decimal"/>
      <w:lvlText w:val="%4."/>
      <w:lvlJc w:val="left"/>
      <w:pPr>
        <w:tabs>
          <w:tab w:val="num" w:pos="2880"/>
        </w:tabs>
        <w:ind w:left="2880" w:hanging="360"/>
      </w:pPr>
    </w:lvl>
    <w:lvl w:ilvl="4" w:tplc="E8720A14" w:tentative="1">
      <w:start w:val="1"/>
      <w:numFmt w:val="decimal"/>
      <w:lvlText w:val="%5."/>
      <w:lvlJc w:val="left"/>
      <w:pPr>
        <w:tabs>
          <w:tab w:val="num" w:pos="3600"/>
        </w:tabs>
        <w:ind w:left="3600" w:hanging="360"/>
      </w:pPr>
    </w:lvl>
    <w:lvl w:ilvl="5" w:tplc="0B52CACA" w:tentative="1">
      <w:start w:val="1"/>
      <w:numFmt w:val="decimal"/>
      <w:lvlText w:val="%6."/>
      <w:lvlJc w:val="left"/>
      <w:pPr>
        <w:tabs>
          <w:tab w:val="num" w:pos="4320"/>
        </w:tabs>
        <w:ind w:left="4320" w:hanging="360"/>
      </w:pPr>
    </w:lvl>
    <w:lvl w:ilvl="6" w:tplc="668A343A" w:tentative="1">
      <w:start w:val="1"/>
      <w:numFmt w:val="decimal"/>
      <w:lvlText w:val="%7."/>
      <w:lvlJc w:val="left"/>
      <w:pPr>
        <w:tabs>
          <w:tab w:val="num" w:pos="5040"/>
        </w:tabs>
        <w:ind w:left="5040" w:hanging="360"/>
      </w:pPr>
    </w:lvl>
    <w:lvl w:ilvl="7" w:tplc="F0F215DA" w:tentative="1">
      <w:start w:val="1"/>
      <w:numFmt w:val="decimal"/>
      <w:lvlText w:val="%8."/>
      <w:lvlJc w:val="left"/>
      <w:pPr>
        <w:tabs>
          <w:tab w:val="num" w:pos="5760"/>
        </w:tabs>
        <w:ind w:left="5760" w:hanging="360"/>
      </w:pPr>
    </w:lvl>
    <w:lvl w:ilvl="8" w:tplc="9572C440" w:tentative="1">
      <w:start w:val="1"/>
      <w:numFmt w:val="decimal"/>
      <w:lvlText w:val="%9."/>
      <w:lvlJc w:val="left"/>
      <w:pPr>
        <w:tabs>
          <w:tab w:val="num" w:pos="6480"/>
        </w:tabs>
        <w:ind w:left="6480" w:hanging="360"/>
      </w:pPr>
    </w:lvl>
  </w:abstractNum>
  <w:abstractNum w:abstractNumId="101" w15:restartNumberingAfterBreak="0">
    <w:nsid w:val="55461B0C"/>
    <w:multiLevelType w:val="hybridMultilevel"/>
    <w:tmpl w:val="1E3E9DF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54B5F62"/>
    <w:multiLevelType w:val="hybridMultilevel"/>
    <w:tmpl w:val="ECCCE9E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3" w15:restartNumberingAfterBreak="0">
    <w:nsid w:val="55560E3A"/>
    <w:multiLevelType w:val="hybridMultilevel"/>
    <w:tmpl w:val="0A06E184"/>
    <w:lvl w:ilvl="0" w:tplc="0FD491F0">
      <w:start w:val="1"/>
      <w:numFmt w:val="decimal"/>
      <w:lvlText w:val="%1."/>
      <w:lvlJc w:val="left"/>
      <w:pPr>
        <w:tabs>
          <w:tab w:val="num" w:pos="720"/>
        </w:tabs>
        <w:ind w:left="720" w:hanging="360"/>
      </w:pPr>
    </w:lvl>
    <w:lvl w:ilvl="1" w:tplc="0CBA87E4" w:tentative="1">
      <w:start w:val="1"/>
      <w:numFmt w:val="decimal"/>
      <w:lvlText w:val="%2."/>
      <w:lvlJc w:val="left"/>
      <w:pPr>
        <w:tabs>
          <w:tab w:val="num" w:pos="1440"/>
        </w:tabs>
        <w:ind w:left="1440" w:hanging="360"/>
      </w:pPr>
    </w:lvl>
    <w:lvl w:ilvl="2" w:tplc="C8EC8BA2" w:tentative="1">
      <w:start w:val="1"/>
      <w:numFmt w:val="decimal"/>
      <w:lvlText w:val="%3."/>
      <w:lvlJc w:val="left"/>
      <w:pPr>
        <w:tabs>
          <w:tab w:val="num" w:pos="2160"/>
        </w:tabs>
        <w:ind w:left="2160" w:hanging="360"/>
      </w:pPr>
    </w:lvl>
    <w:lvl w:ilvl="3" w:tplc="55BEF212" w:tentative="1">
      <w:start w:val="1"/>
      <w:numFmt w:val="decimal"/>
      <w:lvlText w:val="%4."/>
      <w:lvlJc w:val="left"/>
      <w:pPr>
        <w:tabs>
          <w:tab w:val="num" w:pos="2880"/>
        </w:tabs>
        <w:ind w:left="2880" w:hanging="360"/>
      </w:pPr>
    </w:lvl>
    <w:lvl w:ilvl="4" w:tplc="2C6C8AC0" w:tentative="1">
      <w:start w:val="1"/>
      <w:numFmt w:val="decimal"/>
      <w:lvlText w:val="%5."/>
      <w:lvlJc w:val="left"/>
      <w:pPr>
        <w:tabs>
          <w:tab w:val="num" w:pos="3600"/>
        </w:tabs>
        <w:ind w:left="3600" w:hanging="360"/>
      </w:pPr>
    </w:lvl>
    <w:lvl w:ilvl="5" w:tplc="6446565A" w:tentative="1">
      <w:start w:val="1"/>
      <w:numFmt w:val="decimal"/>
      <w:lvlText w:val="%6."/>
      <w:lvlJc w:val="left"/>
      <w:pPr>
        <w:tabs>
          <w:tab w:val="num" w:pos="4320"/>
        </w:tabs>
        <w:ind w:left="4320" w:hanging="360"/>
      </w:pPr>
    </w:lvl>
    <w:lvl w:ilvl="6" w:tplc="3176F284" w:tentative="1">
      <w:start w:val="1"/>
      <w:numFmt w:val="decimal"/>
      <w:lvlText w:val="%7."/>
      <w:lvlJc w:val="left"/>
      <w:pPr>
        <w:tabs>
          <w:tab w:val="num" w:pos="5040"/>
        </w:tabs>
        <w:ind w:left="5040" w:hanging="360"/>
      </w:pPr>
    </w:lvl>
    <w:lvl w:ilvl="7" w:tplc="32AA1440" w:tentative="1">
      <w:start w:val="1"/>
      <w:numFmt w:val="decimal"/>
      <w:lvlText w:val="%8."/>
      <w:lvlJc w:val="left"/>
      <w:pPr>
        <w:tabs>
          <w:tab w:val="num" w:pos="5760"/>
        </w:tabs>
        <w:ind w:left="5760" w:hanging="360"/>
      </w:pPr>
    </w:lvl>
    <w:lvl w:ilvl="8" w:tplc="44B8BF8E" w:tentative="1">
      <w:start w:val="1"/>
      <w:numFmt w:val="decimal"/>
      <w:lvlText w:val="%9."/>
      <w:lvlJc w:val="left"/>
      <w:pPr>
        <w:tabs>
          <w:tab w:val="num" w:pos="6480"/>
        </w:tabs>
        <w:ind w:left="6480" w:hanging="360"/>
      </w:pPr>
    </w:lvl>
  </w:abstractNum>
  <w:abstractNum w:abstractNumId="104" w15:restartNumberingAfterBreak="0">
    <w:nsid w:val="557B1A96"/>
    <w:multiLevelType w:val="hybridMultilevel"/>
    <w:tmpl w:val="48F6747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55887EC6"/>
    <w:multiLevelType w:val="hybridMultilevel"/>
    <w:tmpl w:val="B636EADA"/>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6" w15:restartNumberingAfterBreak="0">
    <w:nsid w:val="55F56E6D"/>
    <w:multiLevelType w:val="hybridMultilevel"/>
    <w:tmpl w:val="12F4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1A605D"/>
    <w:multiLevelType w:val="hybridMultilevel"/>
    <w:tmpl w:val="82743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568028B1"/>
    <w:multiLevelType w:val="hybridMultilevel"/>
    <w:tmpl w:val="1AA0EFB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9" w15:restartNumberingAfterBreak="0">
    <w:nsid w:val="5753481E"/>
    <w:multiLevelType w:val="hybridMultilevel"/>
    <w:tmpl w:val="C8DE639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0" w15:restartNumberingAfterBreak="0">
    <w:nsid w:val="57C3148B"/>
    <w:multiLevelType w:val="hybridMultilevel"/>
    <w:tmpl w:val="B3AAF20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1" w15:restartNumberingAfterBreak="0">
    <w:nsid w:val="59D917ED"/>
    <w:multiLevelType w:val="hybridMultilevel"/>
    <w:tmpl w:val="2D4ABD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2" w15:restartNumberingAfterBreak="0">
    <w:nsid w:val="5A8F5C64"/>
    <w:multiLevelType w:val="hybridMultilevel"/>
    <w:tmpl w:val="6ED0A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BC797C"/>
    <w:multiLevelType w:val="hybridMultilevel"/>
    <w:tmpl w:val="C39A71E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4" w15:restartNumberingAfterBreak="0">
    <w:nsid w:val="5C172A03"/>
    <w:multiLevelType w:val="hybridMultilevel"/>
    <w:tmpl w:val="00DA24D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C4B69EC"/>
    <w:multiLevelType w:val="multilevel"/>
    <w:tmpl w:val="62946578"/>
    <w:lvl w:ilvl="0">
      <w:start w:val="1"/>
      <w:numFmt w:val="bullet"/>
      <w:lvlText w:val=""/>
      <w:lvlJc w:val="left"/>
      <w:pPr>
        <w:ind w:left="720" w:hanging="708"/>
      </w:pPr>
      <w:rPr>
        <w:rFonts w:ascii="Symbol" w:hAnsi="Symbol" w:hint="default"/>
      </w:rPr>
    </w:lvl>
    <w:lvl w:ilvl="1">
      <w:start w:val="1"/>
      <w:numFmt w:val="decimal"/>
      <w:lvlText w:val="%1.%2."/>
      <w:lvlJc w:val="left"/>
      <w:pPr>
        <w:ind w:left="720" w:hanging="708"/>
      </w:pPr>
      <w:rPr>
        <w:rFonts w:hint="default"/>
      </w:rPr>
    </w:lvl>
    <w:lvl w:ilvl="2">
      <w:start w:val="1"/>
      <w:numFmt w:val="decimal"/>
      <w:lvlText w:val="%1.%2.%3."/>
      <w:lvlJc w:val="left"/>
      <w:pPr>
        <w:ind w:left="708" w:hanging="708"/>
      </w:pPr>
      <w:rPr>
        <w:rFonts w:hint="default"/>
      </w:rPr>
    </w:lvl>
    <w:lvl w:ilvl="3">
      <w:start w:val="1"/>
      <w:numFmt w:val="none"/>
      <w:suff w:val="nothing"/>
      <w:lvlText w:val=""/>
      <w:lvlJc w:val="left"/>
      <w:pPr>
        <w:ind w:left="1440" w:hanging="708"/>
      </w:pPr>
      <w:rPr>
        <w:rFonts w:hint="default"/>
      </w:rPr>
    </w:lvl>
    <w:lvl w:ilvl="4">
      <w:start w:val="1"/>
      <w:numFmt w:val="decimal"/>
      <w:lvlText w:val="%5."/>
      <w:lvlJc w:val="left"/>
      <w:pPr>
        <w:ind w:left="3540" w:hanging="708"/>
      </w:pPr>
      <w:rPr>
        <w:rFonts w:hint="default"/>
      </w:rPr>
    </w:lvl>
    <w:lvl w:ilvl="5">
      <w:start w:val="1"/>
      <w:numFmt w:val="decimal"/>
      <w:lvlText w:val="%5.%6."/>
      <w:lvlJc w:val="left"/>
      <w:pPr>
        <w:ind w:left="4248" w:hanging="708"/>
      </w:pPr>
      <w:rPr>
        <w:rFonts w:hint="default"/>
      </w:rPr>
    </w:lvl>
    <w:lvl w:ilvl="6">
      <w:start w:val="1"/>
      <w:numFmt w:val="decimal"/>
      <w:lvlText w:val="%5.%6.%7."/>
      <w:lvlJc w:val="left"/>
      <w:pPr>
        <w:ind w:left="4956" w:hanging="708"/>
      </w:pPr>
      <w:rPr>
        <w:rFonts w:hint="default"/>
      </w:rPr>
    </w:lvl>
    <w:lvl w:ilvl="7">
      <w:start w:val="1"/>
      <w:numFmt w:val="decimal"/>
      <w:lvlText w:val="%5.%6.%7.%8."/>
      <w:lvlJc w:val="left"/>
      <w:pPr>
        <w:ind w:left="5664" w:hanging="708"/>
      </w:pPr>
      <w:rPr>
        <w:rFonts w:hint="default"/>
      </w:rPr>
    </w:lvl>
    <w:lvl w:ilvl="8">
      <w:start w:val="1"/>
      <w:numFmt w:val="decimal"/>
      <w:lvlText w:val="%5.%6.%7.%8.%9."/>
      <w:lvlJc w:val="left"/>
      <w:pPr>
        <w:ind w:left="6372" w:hanging="708"/>
      </w:pPr>
      <w:rPr>
        <w:rFonts w:hint="default"/>
      </w:rPr>
    </w:lvl>
  </w:abstractNum>
  <w:abstractNum w:abstractNumId="116" w15:restartNumberingAfterBreak="0">
    <w:nsid w:val="5C8A599B"/>
    <w:multiLevelType w:val="hybridMultilevel"/>
    <w:tmpl w:val="8E3E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917E3E"/>
    <w:multiLevelType w:val="hybridMultilevel"/>
    <w:tmpl w:val="DEDEA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576A4B"/>
    <w:multiLevelType w:val="hybridMultilevel"/>
    <w:tmpl w:val="4E6E6048"/>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EFD6569"/>
    <w:multiLevelType w:val="hybridMultilevel"/>
    <w:tmpl w:val="DD18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F0C14DD"/>
    <w:multiLevelType w:val="hybridMultilevel"/>
    <w:tmpl w:val="31B679B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1" w15:restartNumberingAfterBreak="0">
    <w:nsid w:val="5F0F16CD"/>
    <w:multiLevelType w:val="hybridMultilevel"/>
    <w:tmpl w:val="D8EA2A9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2" w15:restartNumberingAfterBreak="0">
    <w:nsid w:val="60F30403"/>
    <w:multiLevelType w:val="hybridMultilevel"/>
    <w:tmpl w:val="DCF2AC5C"/>
    <w:lvl w:ilvl="0" w:tplc="0409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610A00AE"/>
    <w:multiLevelType w:val="hybridMultilevel"/>
    <w:tmpl w:val="630891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4" w15:restartNumberingAfterBreak="0">
    <w:nsid w:val="620D5302"/>
    <w:multiLevelType w:val="hybridMultilevel"/>
    <w:tmpl w:val="07F0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2145B39"/>
    <w:multiLevelType w:val="hybridMultilevel"/>
    <w:tmpl w:val="C99A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977C83"/>
    <w:multiLevelType w:val="hybridMultilevel"/>
    <w:tmpl w:val="E328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F11570"/>
    <w:multiLevelType w:val="hybridMultilevel"/>
    <w:tmpl w:val="D99AA21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63033F4D"/>
    <w:multiLevelType w:val="hybridMultilevel"/>
    <w:tmpl w:val="72349F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9" w15:restartNumberingAfterBreak="0">
    <w:nsid w:val="64CB1891"/>
    <w:multiLevelType w:val="hybridMultilevel"/>
    <w:tmpl w:val="47EC8AD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0" w15:restartNumberingAfterBreak="0">
    <w:nsid w:val="654B2C52"/>
    <w:multiLevelType w:val="hybridMultilevel"/>
    <w:tmpl w:val="71E017B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65358C8"/>
    <w:multiLevelType w:val="hybridMultilevel"/>
    <w:tmpl w:val="5BF42DAC"/>
    <w:lvl w:ilvl="0" w:tplc="04090001">
      <w:numFmt w:val="decimal"/>
      <w:lvlText w:val=""/>
      <w:lvlJc w:val="left"/>
    </w:lvl>
    <w:lvl w:ilvl="1" w:tplc="04090003">
      <w:numFmt w:val="decimal"/>
      <w:lvlText w:val=""/>
      <w:lvlJc w:val="left"/>
    </w:lvl>
    <w:lvl w:ilvl="2" w:tplc="04090005">
      <w:numFmt w:val="decimal"/>
      <w:lvlText w:val="撹Ā夯昑䉲ᾯ Ҏx㠻昧擤嬶Ēð"/>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2" w15:restartNumberingAfterBreak="0">
    <w:nsid w:val="69761746"/>
    <w:multiLevelType w:val="hybridMultilevel"/>
    <w:tmpl w:val="217271E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3" w15:restartNumberingAfterBreak="0">
    <w:nsid w:val="69FE0F6B"/>
    <w:multiLevelType w:val="hybridMultilevel"/>
    <w:tmpl w:val="6CC2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742BD8"/>
    <w:multiLevelType w:val="hybridMultilevel"/>
    <w:tmpl w:val="85404D9C"/>
    <w:lvl w:ilvl="0" w:tplc="B016B28C">
      <w:start w:val="1"/>
      <w:numFmt w:val="decimal"/>
      <w:lvlText w:val="%1."/>
      <w:lvlJc w:val="left"/>
      <w:pPr>
        <w:tabs>
          <w:tab w:val="num" w:pos="720"/>
        </w:tabs>
        <w:ind w:left="720" w:hanging="360"/>
      </w:pPr>
    </w:lvl>
    <w:lvl w:ilvl="1" w:tplc="5380C086" w:tentative="1">
      <w:start w:val="1"/>
      <w:numFmt w:val="decimal"/>
      <w:lvlText w:val="%2."/>
      <w:lvlJc w:val="left"/>
      <w:pPr>
        <w:tabs>
          <w:tab w:val="num" w:pos="1440"/>
        </w:tabs>
        <w:ind w:left="1440" w:hanging="360"/>
      </w:pPr>
    </w:lvl>
    <w:lvl w:ilvl="2" w:tplc="5104940C" w:tentative="1">
      <w:start w:val="1"/>
      <w:numFmt w:val="decimal"/>
      <w:lvlText w:val="%3."/>
      <w:lvlJc w:val="left"/>
      <w:pPr>
        <w:tabs>
          <w:tab w:val="num" w:pos="2160"/>
        </w:tabs>
        <w:ind w:left="2160" w:hanging="360"/>
      </w:pPr>
    </w:lvl>
    <w:lvl w:ilvl="3" w:tplc="3F08AA48" w:tentative="1">
      <w:start w:val="1"/>
      <w:numFmt w:val="decimal"/>
      <w:lvlText w:val="%4."/>
      <w:lvlJc w:val="left"/>
      <w:pPr>
        <w:tabs>
          <w:tab w:val="num" w:pos="2880"/>
        </w:tabs>
        <w:ind w:left="2880" w:hanging="360"/>
      </w:pPr>
    </w:lvl>
    <w:lvl w:ilvl="4" w:tplc="3B92C362" w:tentative="1">
      <w:start w:val="1"/>
      <w:numFmt w:val="decimal"/>
      <w:lvlText w:val="%5."/>
      <w:lvlJc w:val="left"/>
      <w:pPr>
        <w:tabs>
          <w:tab w:val="num" w:pos="3600"/>
        </w:tabs>
        <w:ind w:left="3600" w:hanging="360"/>
      </w:pPr>
    </w:lvl>
    <w:lvl w:ilvl="5" w:tplc="11765564" w:tentative="1">
      <w:start w:val="1"/>
      <w:numFmt w:val="decimal"/>
      <w:lvlText w:val="%6."/>
      <w:lvlJc w:val="left"/>
      <w:pPr>
        <w:tabs>
          <w:tab w:val="num" w:pos="4320"/>
        </w:tabs>
        <w:ind w:left="4320" w:hanging="360"/>
      </w:pPr>
    </w:lvl>
    <w:lvl w:ilvl="6" w:tplc="4522B810" w:tentative="1">
      <w:start w:val="1"/>
      <w:numFmt w:val="decimal"/>
      <w:lvlText w:val="%7."/>
      <w:lvlJc w:val="left"/>
      <w:pPr>
        <w:tabs>
          <w:tab w:val="num" w:pos="5040"/>
        </w:tabs>
        <w:ind w:left="5040" w:hanging="360"/>
      </w:pPr>
    </w:lvl>
    <w:lvl w:ilvl="7" w:tplc="E416D0E0" w:tentative="1">
      <w:start w:val="1"/>
      <w:numFmt w:val="decimal"/>
      <w:lvlText w:val="%8."/>
      <w:lvlJc w:val="left"/>
      <w:pPr>
        <w:tabs>
          <w:tab w:val="num" w:pos="5760"/>
        </w:tabs>
        <w:ind w:left="5760" w:hanging="360"/>
      </w:pPr>
    </w:lvl>
    <w:lvl w:ilvl="8" w:tplc="C1BA7DE4" w:tentative="1">
      <w:start w:val="1"/>
      <w:numFmt w:val="decimal"/>
      <w:lvlText w:val="%9."/>
      <w:lvlJc w:val="left"/>
      <w:pPr>
        <w:tabs>
          <w:tab w:val="num" w:pos="6480"/>
        </w:tabs>
        <w:ind w:left="6480" w:hanging="360"/>
      </w:pPr>
    </w:lvl>
  </w:abstractNum>
  <w:abstractNum w:abstractNumId="135" w15:restartNumberingAfterBreak="0">
    <w:nsid w:val="6B5D1964"/>
    <w:multiLevelType w:val="hybridMultilevel"/>
    <w:tmpl w:val="9F282884"/>
    <w:lvl w:ilvl="0" w:tplc="B1BCE54A">
      <w:start w:val="3"/>
      <w:numFmt w:val="decimal"/>
      <w:lvlText w:val="%1."/>
      <w:lvlJc w:val="left"/>
      <w:pPr>
        <w:tabs>
          <w:tab w:val="num" w:pos="720"/>
        </w:tabs>
        <w:ind w:left="720" w:hanging="360"/>
      </w:pPr>
    </w:lvl>
    <w:lvl w:ilvl="1" w:tplc="D330672E" w:tentative="1">
      <w:start w:val="1"/>
      <w:numFmt w:val="decimal"/>
      <w:lvlText w:val="%2."/>
      <w:lvlJc w:val="left"/>
      <w:pPr>
        <w:tabs>
          <w:tab w:val="num" w:pos="1440"/>
        </w:tabs>
        <w:ind w:left="1440" w:hanging="360"/>
      </w:pPr>
    </w:lvl>
    <w:lvl w:ilvl="2" w:tplc="A596DB86" w:tentative="1">
      <w:start w:val="1"/>
      <w:numFmt w:val="decimal"/>
      <w:lvlText w:val="%3."/>
      <w:lvlJc w:val="left"/>
      <w:pPr>
        <w:tabs>
          <w:tab w:val="num" w:pos="2160"/>
        </w:tabs>
        <w:ind w:left="2160" w:hanging="360"/>
      </w:pPr>
    </w:lvl>
    <w:lvl w:ilvl="3" w:tplc="3E6892A0" w:tentative="1">
      <w:start w:val="1"/>
      <w:numFmt w:val="decimal"/>
      <w:lvlText w:val="%4."/>
      <w:lvlJc w:val="left"/>
      <w:pPr>
        <w:tabs>
          <w:tab w:val="num" w:pos="2880"/>
        </w:tabs>
        <w:ind w:left="2880" w:hanging="360"/>
      </w:pPr>
    </w:lvl>
    <w:lvl w:ilvl="4" w:tplc="70D4D62C" w:tentative="1">
      <w:start w:val="1"/>
      <w:numFmt w:val="decimal"/>
      <w:lvlText w:val="%5."/>
      <w:lvlJc w:val="left"/>
      <w:pPr>
        <w:tabs>
          <w:tab w:val="num" w:pos="3600"/>
        </w:tabs>
        <w:ind w:left="3600" w:hanging="360"/>
      </w:pPr>
    </w:lvl>
    <w:lvl w:ilvl="5" w:tplc="1540AD08" w:tentative="1">
      <w:start w:val="1"/>
      <w:numFmt w:val="decimal"/>
      <w:lvlText w:val="%6."/>
      <w:lvlJc w:val="left"/>
      <w:pPr>
        <w:tabs>
          <w:tab w:val="num" w:pos="4320"/>
        </w:tabs>
        <w:ind w:left="4320" w:hanging="360"/>
      </w:pPr>
    </w:lvl>
    <w:lvl w:ilvl="6" w:tplc="7DB27A8A" w:tentative="1">
      <w:start w:val="1"/>
      <w:numFmt w:val="decimal"/>
      <w:lvlText w:val="%7."/>
      <w:lvlJc w:val="left"/>
      <w:pPr>
        <w:tabs>
          <w:tab w:val="num" w:pos="5040"/>
        </w:tabs>
        <w:ind w:left="5040" w:hanging="360"/>
      </w:pPr>
    </w:lvl>
    <w:lvl w:ilvl="7" w:tplc="62D6212C" w:tentative="1">
      <w:start w:val="1"/>
      <w:numFmt w:val="decimal"/>
      <w:lvlText w:val="%8."/>
      <w:lvlJc w:val="left"/>
      <w:pPr>
        <w:tabs>
          <w:tab w:val="num" w:pos="5760"/>
        </w:tabs>
        <w:ind w:left="5760" w:hanging="360"/>
      </w:pPr>
    </w:lvl>
    <w:lvl w:ilvl="8" w:tplc="0CC08EE6" w:tentative="1">
      <w:start w:val="1"/>
      <w:numFmt w:val="decimal"/>
      <w:lvlText w:val="%9."/>
      <w:lvlJc w:val="left"/>
      <w:pPr>
        <w:tabs>
          <w:tab w:val="num" w:pos="6480"/>
        </w:tabs>
        <w:ind w:left="6480" w:hanging="360"/>
      </w:pPr>
    </w:lvl>
  </w:abstractNum>
  <w:abstractNum w:abstractNumId="136" w15:restartNumberingAfterBreak="0">
    <w:nsid w:val="6C9E334E"/>
    <w:multiLevelType w:val="hybridMultilevel"/>
    <w:tmpl w:val="D7021DE2"/>
    <w:lvl w:ilvl="0" w:tplc="C9DEEE8E">
      <w:start w:val="5"/>
      <w:numFmt w:val="decimal"/>
      <w:lvlText w:val="%1."/>
      <w:lvlJc w:val="left"/>
      <w:pPr>
        <w:tabs>
          <w:tab w:val="num" w:pos="720"/>
        </w:tabs>
        <w:ind w:left="720" w:hanging="360"/>
      </w:pPr>
    </w:lvl>
    <w:lvl w:ilvl="1" w:tplc="48740FFA" w:tentative="1">
      <w:start w:val="1"/>
      <w:numFmt w:val="decimal"/>
      <w:lvlText w:val="%2."/>
      <w:lvlJc w:val="left"/>
      <w:pPr>
        <w:tabs>
          <w:tab w:val="num" w:pos="1440"/>
        </w:tabs>
        <w:ind w:left="1440" w:hanging="360"/>
      </w:pPr>
    </w:lvl>
    <w:lvl w:ilvl="2" w:tplc="6E30B176" w:tentative="1">
      <w:start w:val="1"/>
      <w:numFmt w:val="decimal"/>
      <w:lvlText w:val="%3."/>
      <w:lvlJc w:val="left"/>
      <w:pPr>
        <w:tabs>
          <w:tab w:val="num" w:pos="2160"/>
        </w:tabs>
        <w:ind w:left="2160" w:hanging="360"/>
      </w:pPr>
    </w:lvl>
    <w:lvl w:ilvl="3" w:tplc="84BC8522" w:tentative="1">
      <w:start w:val="1"/>
      <w:numFmt w:val="decimal"/>
      <w:lvlText w:val="%4."/>
      <w:lvlJc w:val="left"/>
      <w:pPr>
        <w:tabs>
          <w:tab w:val="num" w:pos="2880"/>
        </w:tabs>
        <w:ind w:left="2880" w:hanging="360"/>
      </w:pPr>
    </w:lvl>
    <w:lvl w:ilvl="4" w:tplc="11ECDE46" w:tentative="1">
      <w:start w:val="1"/>
      <w:numFmt w:val="decimal"/>
      <w:lvlText w:val="%5."/>
      <w:lvlJc w:val="left"/>
      <w:pPr>
        <w:tabs>
          <w:tab w:val="num" w:pos="3600"/>
        </w:tabs>
        <w:ind w:left="3600" w:hanging="360"/>
      </w:pPr>
    </w:lvl>
    <w:lvl w:ilvl="5" w:tplc="CFD6E654" w:tentative="1">
      <w:start w:val="1"/>
      <w:numFmt w:val="decimal"/>
      <w:lvlText w:val="%6."/>
      <w:lvlJc w:val="left"/>
      <w:pPr>
        <w:tabs>
          <w:tab w:val="num" w:pos="4320"/>
        </w:tabs>
        <w:ind w:left="4320" w:hanging="360"/>
      </w:pPr>
    </w:lvl>
    <w:lvl w:ilvl="6" w:tplc="ACF6DD7A" w:tentative="1">
      <w:start w:val="1"/>
      <w:numFmt w:val="decimal"/>
      <w:lvlText w:val="%7."/>
      <w:lvlJc w:val="left"/>
      <w:pPr>
        <w:tabs>
          <w:tab w:val="num" w:pos="5040"/>
        </w:tabs>
        <w:ind w:left="5040" w:hanging="360"/>
      </w:pPr>
    </w:lvl>
    <w:lvl w:ilvl="7" w:tplc="13982476" w:tentative="1">
      <w:start w:val="1"/>
      <w:numFmt w:val="decimal"/>
      <w:lvlText w:val="%8."/>
      <w:lvlJc w:val="left"/>
      <w:pPr>
        <w:tabs>
          <w:tab w:val="num" w:pos="5760"/>
        </w:tabs>
        <w:ind w:left="5760" w:hanging="360"/>
      </w:pPr>
    </w:lvl>
    <w:lvl w:ilvl="8" w:tplc="1326D6C0" w:tentative="1">
      <w:start w:val="1"/>
      <w:numFmt w:val="decimal"/>
      <w:lvlText w:val="%9."/>
      <w:lvlJc w:val="left"/>
      <w:pPr>
        <w:tabs>
          <w:tab w:val="num" w:pos="6480"/>
        </w:tabs>
        <w:ind w:left="6480" w:hanging="360"/>
      </w:pPr>
    </w:lvl>
  </w:abstractNum>
  <w:abstractNum w:abstractNumId="137" w15:restartNumberingAfterBreak="0">
    <w:nsid w:val="6D2B503D"/>
    <w:multiLevelType w:val="hybridMultilevel"/>
    <w:tmpl w:val="019ADD98"/>
    <w:lvl w:ilvl="0" w:tplc="8976E97E">
      <w:start w:val="3"/>
      <w:numFmt w:val="decimal"/>
      <w:lvlText w:val="%1."/>
      <w:lvlJc w:val="left"/>
      <w:pPr>
        <w:tabs>
          <w:tab w:val="num" w:pos="720"/>
        </w:tabs>
        <w:ind w:left="720" w:hanging="360"/>
      </w:pPr>
    </w:lvl>
    <w:lvl w:ilvl="1" w:tplc="45146B42" w:tentative="1">
      <w:start w:val="1"/>
      <w:numFmt w:val="decimal"/>
      <w:lvlText w:val="%2."/>
      <w:lvlJc w:val="left"/>
      <w:pPr>
        <w:tabs>
          <w:tab w:val="num" w:pos="1440"/>
        </w:tabs>
        <w:ind w:left="1440" w:hanging="360"/>
      </w:pPr>
    </w:lvl>
    <w:lvl w:ilvl="2" w:tplc="64F443E2" w:tentative="1">
      <w:start w:val="1"/>
      <w:numFmt w:val="decimal"/>
      <w:lvlText w:val="%3."/>
      <w:lvlJc w:val="left"/>
      <w:pPr>
        <w:tabs>
          <w:tab w:val="num" w:pos="2160"/>
        </w:tabs>
        <w:ind w:left="2160" w:hanging="360"/>
      </w:pPr>
    </w:lvl>
    <w:lvl w:ilvl="3" w:tplc="7FD6CF22" w:tentative="1">
      <w:start w:val="1"/>
      <w:numFmt w:val="decimal"/>
      <w:lvlText w:val="%4."/>
      <w:lvlJc w:val="left"/>
      <w:pPr>
        <w:tabs>
          <w:tab w:val="num" w:pos="2880"/>
        </w:tabs>
        <w:ind w:left="2880" w:hanging="360"/>
      </w:pPr>
    </w:lvl>
    <w:lvl w:ilvl="4" w:tplc="C4D00868" w:tentative="1">
      <w:start w:val="1"/>
      <w:numFmt w:val="decimal"/>
      <w:lvlText w:val="%5."/>
      <w:lvlJc w:val="left"/>
      <w:pPr>
        <w:tabs>
          <w:tab w:val="num" w:pos="3600"/>
        </w:tabs>
        <w:ind w:left="3600" w:hanging="360"/>
      </w:pPr>
    </w:lvl>
    <w:lvl w:ilvl="5" w:tplc="BD784A3C" w:tentative="1">
      <w:start w:val="1"/>
      <w:numFmt w:val="decimal"/>
      <w:lvlText w:val="%6."/>
      <w:lvlJc w:val="left"/>
      <w:pPr>
        <w:tabs>
          <w:tab w:val="num" w:pos="4320"/>
        </w:tabs>
        <w:ind w:left="4320" w:hanging="360"/>
      </w:pPr>
    </w:lvl>
    <w:lvl w:ilvl="6" w:tplc="4A40F464" w:tentative="1">
      <w:start w:val="1"/>
      <w:numFmt w:val="decimal"/>
      <w:lvlText w:val="%7."/>
      <w:lvlJc w:val="left"/>
      <w:pPr>
        <w:tabs>
          <w:tab w:val="num" w:pos="5040"/>
        </w:tabs>
        <w:ind w:left="5040" w:hanging="360"/>
      </w:pPr>
    </w:lvl>
    <w:lvl w:ilvl="7" w:tplc="39668216" w:tentative="1">
      <w:start w:val="1"/>
      <w:numFmt w:val="decimal"/>
      <w:lvlText w:val="%8."/>
      <w:lvlJc w:val="left"/>
      <w:pPr>
        <w:tabs>
          <w:tab w:val="num" w:pos="5760"/>
        </w:tabs>
        <w:ind w:left="5760" w:hanging="360"/>
      </w:pPr>
    </w:lvl>
    <w:lvl w:ilvl="8" w:tplc="FB767E24" w:tentative="1">
      <w:start w:val="1"/>
      <w:numFmt w:val="decimal"/>
      <w:lvlText w:val="%9."/>
      <w:lvlJc w:val="left"/>
      <w:pPr>
        <w:tabs>
          <w:tab w:val="num" w:pos="6480"/>
        </w:tabs>
        <w:ind w:left="6480" w:hanging="360"/>
      </w:pPr>
    </w:lvl>
  </w:abstractNum>
  <w:abstractNum w:abstractNumId="138" w15:restartNumberingAfterBreak="0">
    <w:nsid w:val="6D790CB7"/>
    <w:multiLevelType w:val="hybridMultilevel"/>
    <w:tmpl w:val="15909DDA"/>
    <w:lvl w:ilvl="0" w:tplc="449C7EF8">
      <w:start w:val="3"/>
      <w:numFmt w:val="decimal"/>
      <w:lvlText w:val="%1."/>
      <w:lvlJc w:val="left"/>
      <w:pPr>
        <w:tabs>
          <w:tab w:val="num" w:pos="720"/>
        </w:tabs>
        <w:ind w:left="720" w:hanging="360"/>
      </w:pPr>
    </w:lvl>
    <w:lvl w:ilvl="1" w:tplc="80EEB2CC" w:tentative="1">
      <w:start w:val="1"/>
      <w:numFmt w:val="decimal"/>
      <w:lvlText w:val="%2."/>
      <w:lvlJc w:val="left"/>
      <w:pPr>
        <w:tabs>
          <w:tab w:val="num" w:pos="1440"/>
        </w:tabs>
        <w:ind w:left="1440" w:hanging="360"/>
      </w:pPr>
    </w:lvl>
    <w:lvl w:ilvl="2" w:tplc="C302D412" w:tentative="1">
      <w:start w:val="1"/>
      <w:numFmt w:val="decimal"/>
      <w:lvlText w:val="%3."/>
      <w:lvlJc w:val="left"/>
      <w:pPr>
        <w:tabs>
          <w:tab w:val="num" w:pos="2160"/>
        </w:tabs>
        <w:ind w:left="2160" w:hanging="360"/>
      </w:pPr>
    </w:lvl>
    <w:lvl w:ilvl="3" w:tplc="55B0C1E8" w:tentative="1">
      <w:start w:val="1"/>
      <w:numFmt w:val="decimal"/>
      <w:lvlText w:val="%4."/>
      <w:lvlJc w:val="left"/>
      <w:pPr>
        <w:tabs>
          <w:tab w:val="num" w:pos="2880"/>
        </w:tabs>
        <w:ind w:left="2880" w:hanging="360"/>
      </w:pPr>
    </w:lvl>
    <w:lvl w:ilvl="4" w:tplc="9974A7E2" w:tentative="1">
      <w:start w:val="1"/>
      <w:numFmt w:val="decimal"/>
      <w:lvlText w:val="%5."/>
      <w:lvlJc w:val="left"/>
      <w:pPr>
        <w:tabs>
          <w:tab w:val="num" w:pos="3600"/>
        </w:tabs>
        <w:ind w:left="3600" w:hanging="360"/>
      </w:pPr>
    </w:lvl>
    <w:lvl w:ilvl="5" w:tplc="0C88F92A" w:tentative="1">
      <w:start w:val="1"/>
      <w:numFmt w:val="decimal"/>
      <w:lvlText w:val="%6."/>
      <w:lvlJc w:val="left"/>
      <w:pPr>
        <w:tabs>
          <w:tab w:val="num" w:pos="4320"/>
        </w:tabs>
        <w:ind w:left="4320" w:hanging="360"/>
      </w:pPr>
    </w:lvl>
    <w:lvl w:ilvl="6" w:tplc="6FDE118E" w:tentative="1">
      <w:start w:val="1"/>
      <w:numFmt w:val="decimal"/>
      <w:lvlText w:val="%7."/>
      <w:lvlJc w:val="left"/>
      <w:pPr>
        <w:tabs>
          <w:tab w:val="num" w:pos="5040"/>
        </w:tabs>
        <w:ind w:left="5040" w:hanging="360"/>
      </w:pPr>
    </w:lvl>
    <w:lvl w:ilvl="7" w:tplc="CBE0E2C0" w:tentative="1">
      <w:start w:val="1"/>
      <w:numFmt w:val="decimal"/>
      <w:lvlText w:val="%8."/>
      <w:lvlJc w:val="left"/>
      <w:pPr>
        <w:tabs>
          <w:tab w:val="num" w:pos="5760"/>
        </w:tabs>
        <w:ind w:left="5760" w:hanging="360"/>
      </w:pPr>
    </w:lvl>
    <w:lvl w:ilvl="8" w:tplc="8004C228" w:tentative="1">
      <w:start w:val="1"/>
      <w:numFmt w:val="decimal"/>
      <w:lvlText w:val="%9."/>
      <w:lvlJc w:val="left"/>
      <w:pPr>
        <w:tabs>
          <w:tab w:val="num" w:pos="6480"/>
        </w:tabs>
        <w:ind w:left="6480" w:hanging="360"/>
      </w:pPr>
    </w:lvl>
  </w:abstractNum>
  <w:abstractNum w:abstractNumId="139" w15:restartNumberingAfterBreak="0">
    <w:nsid w:val="6DC15837"/>
    <w:multiLevelType w:val="hybridMultilevel"/>
    <w:tmpl w:val="0A9C660C"/>
    <w:lvl w:ilvl="0" w:tplc="603687EE">
      <w:numFmt w:val="decimal"/>
      <w:pStyle w:val="Listapunktowan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FA73C03"/>
    <w:multiLevelType w:val="singleLevel"/>
    <w:tmpl w:val="FB1C136E"/>
    <w:lvl w:ilvl="0">
      <w:numFmt w:val="decimal"/>
      <w:pStyle w:val="Listapunktowana"/>
      <w:lvlText w:val=""/>
      <w:lvlJc w:val="left"/>
    </w:lvl>
  </w:abstractNum>
  <w:abstractNum w:abstractNumId="141" w15:restartNumberingAfterBreak="0">
    <w:nsid w:val="6FC355E1"/>
    <w:multiLevelType w:val="hybridMultilevel"/>
    <w:tmpl w:val="CD782C5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16E4817"/>
    <w:multiLevelType w:val="hybridMultilevel"/>
    <w:tmpl w:val="D57EDC3C"/>
    <w:lvl w:ilvl="0" w:tplc="8C30976A">
      <w:start w:val="3"/>
      <w:numFmt w:val="decimal"/>
      <w:lvlText w:val="%1."/>
      <w:lvlJc w:val="left"/>
      <w:pPr>
        <w:tabs>
          <w:tab w:val="num" w:pos="720"/>
        </w:tabs>
        <w:ind w:left="720" w:hanging="360"/>
      </w:pPr>
    </w:lvl>
    <w:lvl w:ilvl="1" w:tplc="3CE44DD0" w:tentative="1">
      <w:start w:val="1"/>
      <w:numFmt w:val="decimal"/>
      <w:lvlText w:val="%2."/>
      <w:lvlJc w:val="left"/>
      <w:pPr>
        <w:tabs>
          <w:tab w:val="num" w:pos="1440"/>
        </w:tabs>
        <w:ind w:left="1440" w:hanging="360"/>
      </w:pPr>
    </w:lvl>
    <w:lvl w:ilvl="2" w:tplc="7A463A44" w:tentative="1">
      <w:start w:val="1"/>
      <w:numFmt w:val="decimal"/>
      <w:lvlText w:val="%3."/>
      <w:lvlJc w:val="left"/>
      <w:pPr>
        <w:tabs>
          <w:tab w:val="num" w:pos="2160"/>
        </w:tabs>
        <w:ind w:left="2160" w:hanging="360"/>
      </w:pPr>
    </w:lvl>
    <w:lvl w:ilvl="3" w:tplc="D2E66094" w:tentative="1">
      <w:start w:val="1"/>
      <w:numFmt w:val="decimal"/>
      <w:lvlText w:val="%4."/>
      <w:lvlJc w:val="left"/>
      <w:pPr>
        <w:tabs>
          <w:tab w:val="num" w:pos="2880"/>
        </w:tabs>
        <w:ind w:left="2880" w:hanging="360"/>
      </w:pPr>
    </w:lvl>
    <w:lvl w:ilvl="4" w:tplc="8CB699F6" w:tentative="1">
      <w:start w:val="1"/>
      <w:numFmt w:val="decimal"/>
      <w:lvlText w:val="%5."/>
      <w:lvlJc w:val="left"/>
      <w:pPr>
        <w:tabs>
          <w:tab w:val="num" w:pos="3600"/>
        </w:tabs>
        <w:ind w:left="3600" w:hanging="360"/>
      </w:pPr>
    </w:lvl>
    <w:lvl w:ilvl="5" w:tplc="219231E8" w:tentative="1">
      <w:start w:val="1"/>
      <w:numFmt w:val="decimal"/>
      <w:lvlText w:val="%6."/>
      <w:lvlJc w:val="left"/>
      <w:pPr>
        <w:tabs>
          <w:tab w:val="num" w:pos="4320"/>
        </w:tabs>
        <w:ind w:left="4320" w:hanging="360"/>
      </w:pPr>
    </w:lvl>
    <w:lvl w:ilvl="6" w:tplc="FA60FE88" w:tentative="1">
      <w:start w:val="1"/>
      <w:numFmt w:val="decimal"/>
      <w:lvlText w:val="%7."/>
      <w:lvlJc w:val="left"/>
      <w:pPr>
        <w:tabs>
          <w:tab w:val="num" w:pos="5040"/>
        </w:tabs>
        <w:ind w:left="5040" w:hanging="360"/>
      </w:pPr>
    </w:lvl>
    <w:lvl w:ilvl="7" w:tplc="6B341D86" w:tentative="1">
      <w:start w:val="1"/>
      <w:numFmt w:val="decimal"/>
      <w:lvlText w:val="%8."/>
      <w:lvlJc w:val="left"/>
      <w:pPr>
        <w:tabs>
          <w:tab w:val="num" w:pos="5760"/>
        </w:tabs>
        <w:ind w:left="5760" w:hanging="360"/>
      </w:pPr>
    </w:lvl>
    <w:lvl w:ilvl="8" w:tplc="01F467A2" w:tentative="1">
      <w:start w:val="1"/>
      <w:numFmt w:val="decimal"/>
      <w:lvlText w:val="%9."/>
      <w:lvlJc w:val="left"/>
      <w:pPr>
        <w:tabs>
          <w:tab w:val="num" w:pos="6480"/>
        </w:tabs>
        <w:ind w:left="6480" w:hanging="360"/>
      </w:pPr>
    </w:lvl>
  </w:abstractNum>
  <w:abstractNum w:abstractNumId="143" w15:restartNumberingAfterBreak="0">
    <w:nsid w:val="72353AA0"/>
    <w:multiLevelType w:val="hybridMultilevel"/>
    <w:tmpl w:val="8D4888F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4" w15:restartNumberingAfterBreak="0">
    <w:nsid w:val="7236528A"/>
    <w:multiLevelType w:val="hybridMultilevel"/>
    <w:tmpl w:val="7096B02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5" w15:restartNumberingAfterBreak="0">
    <w:nsid w:val="72446E37"/>
    <w:multiLevelType w:val="hybridMultilevel"/>
    <w:tmpl w:val="EE860EC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74397581"/>
    <w:multiLevelType w:val="hybridMultilevel"/>
    <w:tmpl w:val="2C4CDA10"/>
    <w:lvl w:ilvl="0" w:tplc="38684908">
      <w:start w:val="2"/>
      <w:numFmt w:val="decimal"/>
      <w:lvlText w:val="%1."/>
      <w:lvlJc w:val="left"/>
      <w:pPr>
        <w:tabs>
          <w:tab w:val="num" w:pos="720"/>
        </w:tabs>
        <w:ind w:left="720" w:hanging="360"/>
      </w:pPr>
    </w:lvl>
    <w:lvl w:ilvl="1" w:tplc="09AC5EF2" w:tentative="1">
      <w:start w:val="1"/>
      <w:numFmt w:val="decimal"/>
      <w:lvlText w:val="%2."/>
      <w:lvlJc w:val="left"/>
      <w:pPr>
        <w:tabs>
          <w:tab w:val="num" w:pos="1440"/>
        </w:tabs>
        <w:ind w:left="1440" w:hanging="360"/>
      </w:pPr>
    </w:lvl>
    <w:lvl w:ilvl="2" w:tplc="05E44776" w:tentative="1">
      <w:start w:val="1"/>
      <w:numFmt w:val="decimal"/>
      <w:lvlText w:val="%3."/>
      <w:lvlJc w:val="left"/>
      <w:pPr>
        <w:tabs>
          <w:tab w:val="num" w:pos="2160"/>
        </w:tabs>
        <w:ind w:left="2160" w:hanging="360"/>
      </w:pPr>
    </w:lvl>
    <w:lvl w:ilvl="3" w:tplc="FE905D42" w:tentative="1">
      <w:start w:val="1"/>
      <w:numFmt w:val="decimal"/>
      <w:lvlText w:val="%4."/>
      <w:lvlJc w:val="left"/>
      <w:pPr>
        <w:tabs>
          <w:tab w:val="num" w:pos="2880"/>
        </w:tabs>
        <w:ind w:left="2880" w:hanging="360"/>
      </w:pPr>
    </w:lvl>
    <w:lvl w:ilvl="4" w:tplc="36687B04" w:tentative="1">
      <w:start w:val="1"/>
      <w:numFmt w:val="decimal"/>
      <w:lvlText w:val="%5."/>
      <w:lvlJc w:val="left"/>
      <w:pPr>
        <w:tabs>
          <w:tab w:val="num" w:pos="3600"/>
        </w:tabs>
        <w:ind w:left="3600" w:hanging="360"/>
      </w:pPr>
    </w:lvl>
    <w:lvl w:ilvl="5" w:tplc="DF50A5AA" w:tentative="1">
      <w:start w:val="1"/>
      <w:numFmt w:val="decimal"/>
      <w:lvlText w:val="%6."/>
      <w:lvlJc w:val="left"/>
      <w:pPr>
        <w:tabs>
          <w:tab w:val="num" w:pos="4320"/>
        </w:tabs>
        <w:ind w:left="4320" w:hanging="360"/>
      </w:pPr>
    </w:lvl>
    <w:lvl w:ilvl="6" w:tplc="E618D1D2" w:tentative="1">
      <w:start w:val="1"/>
      <w:numFmt w:val="decimal"/>
      <w:lvlText w:val="%7."/>
      <w:lvlJc w:val="left"/>
      <w:pPr>
        <w:tabs>
          <w:tab w:val="num" w:pos="5040"/>
        </w:tabs>
        <w:ind w:left="5040" w:hanging="360"/>
      </w:pPr>
    </w:lvl>
    <w:lvl w:ilvl="7" w:tplc="F83CCA02" w:tentative="1">
      <w:start w:val="1"/>
      <w:numFmt w:val="decimal"/>
      <w:lvlText w:val="%8."/>
      <w:lvlJc w:val="left"/>
      <w:pPr>
        <w:tabs>
          <w:tab w:val="num" w:pos="5760"/>
        </w:tabs>
        <w:ind w:left="5760" w:hanging="360"/>
      </w:pPr>
    </w:lvl>
    <w:lvl w:ilvl="8" w:tplc="5B8C909E" w:tentative="1">
      <w:start w:val="1"/>
      <w:numFmt w:val="decimal"/>
      <w:lvlText w:val="%9."/>
      <w:lvlJc w:val="left"/>
      <w:pPr>
        <w:tabs>
          <w:tab w:val="num" w:pos="6480"/>
        </w:tabs>
        <w:ind w:left="6480" w:hanging="360"/>
      </w:pPr>
    </w:lvl>
  </w:abstractNum>
  <w:abstractNum w:abstractNumId="147" w15:restartNumberingAfterBreak="0">
    <w:nsid w:val="74A362F5"/>
    <w:multiLevelType w:val="hybridMultilevel"/>
    <w:tmpl w:val="3DCC078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553466C"/>
    <w:multiLevelType w:val="hybridMultilevel"/>
    <w:tmpl w:val="DFCAFB4A"/>
    <w:lvl w:ilvl="0" w:tplc="04FEEABE">
      <w:start w:val="3"/>
      <w:numFmt w:val="decimal"/>
      <w:lvlText w:val="%1."/>
      <w:lvlJc w:val="left"/>
      <w:pPr>
        <w:tabs>
          <w:tab w:val="num" w:pos="720"/>
        </w:tabs>
        <w:ind w:left="720" w:hanging="360"/>
      </w:pPr>
    </w:lvl>
    <w:lvl w:ilvl="1" w:tplc="3702A16E" w:tentative="1">
      <w:start w:val="1"/>
      <w:numFmt w:val="decimal"/>
      <w:lvlText w:val="%2."/>
      <w:lvlJc w:val="left"/>
      <w:pPr>
        <w:tabs>
          <w:tab w:val="num" w:pos="1440"/>
        </w:tabs>
        <w:ind w:left="1440" w:hanging="360"/>
      </w:pPr>
    </w:lvl>
    <w:lvl w:ilvl="2" w:tplc="60923B4C" w:tentative="1">
      <w:start w:val="1"/>
      <w:numFmt w:val="decimal"/>
      <w:lvlText w:val="%3."/>
      <w:lvlJc w:val="left"/>
      <w:pPr>
        <w:tabs>
          <w:tab w:val="num" w:pos="2160"/>
        </w:tabs>
        <w:ind w:left="2160" w:hanging="360"/>
      </w:pPr>
    </w:lvl>
    <w:lvl w:ilvl="3" w:tplc="47CA9BB0" w:tentative="1">
      <w:start w:val="1"/>
      <w:numFmt w:val="decimal"/>
      <w:lvlText w:val="%4."/>
      <w:lvlJc w:val="left"/>
      <w:pPr>
        <w:tabs>
          <w:tab w:val="num" w:pos="2880"/>
        </w:tabs>
        <w:ind w:left="2880" w:hanging="360"/>
      </w:pPr>
    </w:lvl>
    <w:lvl w:ilvl="4" w:tplc="3C1A438E" w:tentative="1">
      <w:start w:val="1"/>
      <w:numFmt w:val="decimal"/>
      <w:lvlText w:val="%5."/>
      <w:lvlJc w:val="left"/>
      <w:pPr>
        <w:tabs>
          <w:tab w:val="num" w:pos="3600"/>
        </w:tabs>
        <w:ind w:left="3600" w:hanging="360"/>
      </w:pPr>
    </w:lvl>
    <w:lvl w:ilvl="5" w:tplc="1BBEC858" w:tentative="1">
      <w:start w:val="1"/>
      <w:numFmt w:val="decimal"/>
      <w:lvlText w:val="%6."/>
      <w:lvlJc w:val="left"/>
      <w:pPr>
        <w:tabs>
          <w:tab w:val="num" w:pos="4320"/>
        </w:tabs>
        <w:ind w:left="4320" w:hanging="360"/>
      </w:pPr>
    </w:lvl>
    <w:lvl w:ilvl="6" w:tplc="8BF2252E" w:tentative="1">
      <w:start w:val="1"/>
      <w:numFmt w:val="decimal"/>
      <w:lvlText w:val="%7."/>
      <w:lvlJc w:val="left"/>
      <w:pPr>
        <w:tabs>
          <w:tab w:val="num" w:pos="5040"/>
        </w:tabs>
        <w:ind w:left="5040" w:hanging="360"/>
      </w:pPr>
    </w:lvl>
    <w:lvl w:ilvl="7" w:tplc="C5F044D4" w:tentative="1">
      <w:start w:val="1"/>
      <w:numFmt w:val="decimal"/>
      <w:lvlText w:val="%8."/>
      <w:lvlJc w:val="left"/>
      <w:pPr>
        <w:tabs>
          <w:tab w:val="num" w:pos="5760"/>
        </w:tabs>
        <w:ind w:left="5760" w:hanging="360"/>
      </w:pPr>
    </w:lvl>
    <w:lvl w:ilvl="8" w:tplc="C69A8264" w:tentative="1">
      <w:start w:val="1"/>
      <w:numFmt w:val="decimal"/>
      <w:lvlText w:val="%9."/>
      <w:lvlJc w:val="left"/>
      <w:pPr>
        <w:tabs>
          <w:tab w:val="num" w:pos="6480"/>
        </w:tabs>
        <w:ind w:left="6480" w:hanging="360"/>
      </w:pPr>
    </w:lvl>
  </w:abstractNum>
  <w:abstractNum w:abstractNumId="149" w15:restartNumberingAfterBreak="0">
    <w:nsid w:val="765A2B30"/>
    <w:multiLevelType w:val="hybridMultilevel"/>
    <w:tmpl w:val="20083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7085137"/>
    <w:multiLevelType w:val="hybridMultilevel"/>
    <w:tmpl w:val="F30CCC9E"/>
    <w:lvl w:ilvl="0" w:tplc="79A4E39C">
      <w:start w:val="2"/>
      <w:numFmt w:val="decimal"/>
      <w:lvlText w:val="%1."/>
      <w:lvlJc w:val="left"/>
      <w:pPr>
        <w:tabs>
          <w:tab w:val="num" w:pos="720"/>
        </w:tabs>
        <w:ind w:left="720" w:hanging="360"/>
      </w:pPr>
    </w:lvl>
    <w:lvl w:ilvl="1" w:tplc="5FF49ED6" w:tentative="1">
      <w:start w:val="1"/>
      <w:numFmt w:val="decimal"/>
      <w:lvlText w:val="%2."/>
      <w:lvlJc w:val="left"/>
      <w:pPr>
        <w:tabs>
          <w:tab w:val="num" w:pos="1440"/>
        </w:tabs>
        <w:ind w:left="1440" w:hanging="360"/>
      </w:pPr>
    </w:lvl>
    <w:lvl w:ilvl="2" w:tplc="0A387582" w:tentative="1">
      <w:start w:val="1"/>
      <w:numFmt w:val="decimal"/>
      <w:lvlText w:val="%3."/>
      <w:lvlJc w:val="left"/>
      <w:pPr>
        <w:tabs>
          <w:tab w:val="num" w:pos="2160"/>
        </w:tabs>
        <w:ind w:left="2160" w:hanging="360"/>
      </w:pPr>
    </w:lvl>
    <w:lvl w:ilvl="3" w:tplc="5B6A4F68" w:tentative="1">
      <w:start w:val="1"/>
      <w:numFmt w:val="decimal"/>
      <w:lvlText w:val="%4."/>
      <w:lvlJc w:val="left"/>
      <w:pPr>
        <w:tabs>
          <w:tab w:val="num" w:pos="2880"/>
        </w:tabs>
        <w:ind w:left="2880" w:hanging="360"/>
      </w:pPr>
    </w:lvl>
    <w:lvl w:ilvl="4" w:tplc="BECC2AA4" w:tentative="1">
      <w:start w:val="1"/>
      <w:numFmt w:val="decimal"/>
      <w:lvlText w:val="%5."/>
      <w:lvlJc w:val="left"/>
      <w:pPr>
        <w:tabs>
          <w:tab w:val="num" w:pos="3600"/>
        </w:tabs>
        <w:ind w:left="3600" w:hanging="360"/>
      </w:pPr>
    </w:lvl>
    <w:lvl w:ilvl="5" w:tplc="5B88D1EC" w:tentative="1">
      <w:start w:val="1"/>
      <w:numFmt w:val="decimal"/>
      <w:lvlText w:val="%6."/>
      <w:lvlJc w:val="left"/>
      <w:pPr>
        <w:tabs>
          <w:tab w:val="num" w:pos="4320"/>
        </w:tabs>
        <w:ind w:left="4320" w:hanging="360"/>
      </w:pPr>
    </w:lvl>
    <w:lvl w:ilvl="6" w:tplc="C30A0128" w:tentative="1">
      <w:start w:val="1"/>
      <w:numFmt w:val="decimal"/>
      <w:lvlText w:val="%7."/>
      <w:lvlJc w:val="left"/>
      <w:pPr>
        <w:tabs>
          <w:tab w:val="num" w:pos="5040"/>
        </w:tabs>
        <w:ind w:left="5040" w:hanging="360"/>
      </w:pPr>
    </w:lvl>
    <w:lvl w:ilvl="7" w:tplc="A776D060" w:tentative="1">
      <w:start w:val="1"/>
      <w:numFmt w:val="decimal"/>
      <w:lvlText w:val="%8."/>
      <w:lvlJc w:val="left"/>
      <w:pPr>
        <w:tabs>
          <w:tab w:val="num" w:pos="5760"/>
        </w:tabs>
        <w:ind w:left="5760" w:hanging="360"/>
      </w:pPr>
    </w:lvl>
    <w:lvl w:ilvl="8" w:tplc="6ACCAF96" w:tentative="1">
      <w:start w:val="1"/>
      <w:numFmt w:val="decimal"/>
      <w:lvlText w:val="%9."/>
      <w:lvlJc w:val="left"/>
      <w:pPr>
        <w:tabs>
          <w:tab w:val="num" w:pos="6480"/>
        </w:tabs>
        <w:ind w:left="6480" w:hanging="360"/>
      </w:pPr>
    </w:lvl>
  </w:abstractNum>
  <w:abstractNum w:abstractNumId="151" w15:restartNumberingAfterBreak="0">
    <w:nsid w:val="774145BE"/>
    <w:multiLevelType w:val="hybridMultilevel"/>
    <w:tmpl w:val="95A08D1A"/>
    <w:lvl w:ilvl="0" w:tplc="04090001">
      <w:numFmt w:val="decimal"/>
      <w:lvlText w:val=""/>
      <w:lvlJc w:val="left"/>
    </w:lvl>
    <w:lvl w:ilvl="1" w:tplc="23E8FB9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2" w15:restartNumberingAfterBreak="0">
    <w:nsid w:val="7746001A"/>
    <w:multiLevelType w:val="hybridMultilevel"/>
    <w:tmpl w:val="22BC0DA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3" w15:restartNumberingAfterBreak="0">
    <w:nsid w:val="776D4FC6"/>
    <w:multiLevelType w:val="hybridMultilevel"/>
    <w:tmpl w:val="65B0AAC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4" w15:restartNumberingAfterBreak="0">
    <w:nsid w:val="77D20D14"/>
    <w:multiLevelType w:val="hybridMultilevel"/>
    <w:tmpl w:val="E040B8C4"/>
    <w:lvl w:ilvl="0" w:tplc="D66A324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5" w15:restartNumberingAfterBreak="0">
    <w:nsid w:val="793414AF"/>
    <w:multiLevelType w:val="hybridMultilevel"/>
    <w:tmpl w:val="6EC876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C9D7591"/>
    <w:multiLevelType w:val="hybridMultilevel"/>
    <w:tmpl w:val="30EE96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EE97413"/>
    <w:multiLevelType w:val="hybridMultilevel"/>
    <w:tmpl w:val="8244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F400477"/>
    <w:multiLevelType w:val="hybridMultilevel"/>
    <w:tmpl w:val="F81E368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9" w15:restartNumberingAfterBreak="0">
    <w:nsid w:val="7F6A6159"/>
    <w:multiLevelType w:val="hybridMultilevel"/>
    <w:tmpl w:val="96B2CA8A"/>
    <w:lvl w:ilvl="0" w:tplc="08090001">
      <w:start w:val="1"/>
      <w:numFmt w:val="bullet"/>
      <w:lvlText w:val=""/>
      <w:lvlJc w:val="left"/>
      <w:rPr>
        <w:rFonts w:ascii="Symbol" w:hAnsi="Symbol"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0" w15:restartNumberingAfterBreak="0">
    <w:nsid w:val="7FD553AE"/>
    <w:multiLevelType w:val="hybridMultilevel"/>
    <w:tmpl w:val="0FBE3310"/>
    <w:lvl w:ilvl="0" w:tplc="6E960C72">
      <w:start w:val="2"/>
      <w:numFmt w:val="decimal"/>
      <w:lvlText w:val="%1."/>
      <w:lvlJc w:val="left"/>
      <w:pPr>
        <w:tabs>
          <w:tab w:val="num" w:pos="720"/>
        </w:tabs>
        <w:ind w:left="720" w:hanging="360"/>
      </w:pPr>
    </w:lvl>
    <w:lvl w:ilvl="1" w:tplc="E7427860" w:tentative="1">
      <w:start w:val="1"/>
      <w:numFmt w:val="decimal"/>
      <w:lvlText w:val="%2."/>
      <w:lvlJc w:val="left"/>
      <w:pPr>
        <w:tabs>
          <w:tab w:val="num" w:pos="1440"/>
        </w:tabs>
        <w:ind w:left="1440" w:hanging="360"/>
      </w:pPr>
    </w:lvl>
    <w:lvl w:ilvl="2" w:tplc="73FAACD2" w:tentative="1">
      <w:start w:val="1"/>
      <w:numFmt w:val="decimal"/>
      <w:lvlText w:val="%3."/>
      <w:lvlJc w:val="left"/>
      <w:pPr>
        <w:tabs>
          <w:tab w:val="num" w:pos="2160"/>
        </w:tabs>
        <w:ind w:left="2160" w:hanging="360"/>
      </w:pPr>
    </w:lvl>
    <w:lvl w:ilvl="3" w:tplc="863881D8" w:tentative="1">
      <w:start w:val="1"/>
      <w:numFmt w:val="decimal"/>
      <w:lvlText w:val="%4."/>
      <w:lvlJc w:val="left"/>
      <w:pPr>
        <w:tabs>
          <w:tab w:val="num" w:pos="2880"/>
        </w:tabs>
        <w:ind w:left="2880" w:hanging="360"/>
      </w:pPr>
    </w:lvl>
    <w:lvl w:ilvl="4" w:tplc="A9022946" w:tentative="1">
      <w:start w:val="1"/>
      <w:numFmt w:val="decimal"/>
      <w:lvlText w:val="%5."/>
      <w:lvlJc w:val="left"/>
      <w:pPr>
        <w:tabs>
          <w:tab w:val="num" w:pos="3600"/>
        </w:tabs>
        <w:ind w:left="3600" w:hanging="360"/>
      </w:pPr>
    </w:lvl>
    <w:lvl w:ilvl="5" w:tplc="E38AC5B0" w:tentative="1">
      <w:start w:val="1"/>
      <w:numFmt w:val="decimal"/>
      <w:lvlText w:val="%6."/>
      <w:lvlJc w:val="left"/>
      <w:pPr>
        <w:tabs>
          <w:tab w:val="num" w:pos="4320"/>
        </w:tabs>
        <w:ind w:left="4320" w:hanging="360"/>
      </w:pPr>
    </w:lvl>
    <w:lvl w:ilvl="6" w:tplc="821AA456" w:tentative="1">
      <w:start w:val="1"/>
      <w:numFmt w:val="decimal"/>
      <w:lvlText w:val="%7."/>
      <w:lvlJc w:val="left"/>
      <w:pPr>
        <w:tabs>
          <w:tab w:val="num" w:pos="5040"/>
        </w:tabs>
        <w:ind w:left="5040" w:hanging="360"/>
      </w:pPr>
    </w:lvl>
    <w:lvl w:ilvl="7" w:tplc="2B140DA4" w:tentative="1">
      <w:start w:val="1"/>
      <w:numFmt w:val="decimal"/>
      <w:lvlText w:val="%8."/>
      <w:lvlJc w:val="left"/>
      <w:pPr>
        <w:tabs>
          <w:tab w:val="num" w:pos="5760"/>
        </w:tabs>
        <w:ind w:left="5760" w:hanging="360"/>
      </w:pPr>
    </w:lvl>
    <w:lvl w:ilvl="8" w:tplc="C82A81D0" w:tentative="1">
      <w:start w:val="1"/>
      <w:numFmt w:val="decimal"/>
      <w:lvlText w:val="%9."/>
      <w:lvlJc w:val="left"/>
      <w:pPr>
        <w:tabs>
          <w:tab w:val="num" w:pos="6480"/>
        </w:tabs>
        <w:ind w:left="6480" w:hanging="360"/>
      </w:pPr>
    </w:lvl>
  </w:abstractNum>
  <w:num w:numId="1" w16cid:durableId="780146518">
    <w:abstractNumId w:val="59"/>
  </w:num>
  <w:num w:numId="2" w16cid:durableId="1709378903">
    <w:abstractNumId w:val="7"/>
  </w:num>
  <w:num w:numId="3" w16cid:durableId="1904214422">
    <w:abstractNumId w:val="7"/>
  </w:num>
  <w:num w:numId="4" w16cid:durableId="173500495">
    <w:abstractNumId w:val="7"/>
  </w:num>
  <w:num w:numId="5" w16cid:durableId="1506432930">
    <w:abstractNumId w:val="7"/>
  </w:num>
  <w:num w:numId="6" w16cid:durableId="606473297">
    <w:abstractNumId w:val="7"/>
  </w:num>
  <w:num w:numId="7" w16cid:durableId="1140809766">
    <w:abstractNumId w:val="7"/>
  </w:num>
  <w:num w:numId="8" w16cid:durableId="1243762309">
    <w:abstractNumId w:val="7"/>
  </w:num>
  <w:num w:numId="9" w16cid:durableId="2055692826">
    <w:abstractNumId w:val="7"/>
  </w:num>
  <w:num w:numId="10" w16cid:durableId="1028532673">
    <w:abstractNumId w:val="140"/>
  </w:num>
  <w:num w:numId="11" w16cid:durableId="2051148979">
    <w:abstractNumId w:val="95"/>
  </w:num>
  <w:num w:numId="12" w16cid:durableId="1749300072">
    <w:abstractNumId w:val="49"/>
  </w:num>
  <w:num w:numId="13" w16cid:durableId="1385179914">
    <w:abstractNumId w:val="139"/>
  </w:num>
  <w:num w:numId="14" w16cid:durableId="1702589851">
    <w:abstractNumId w:val="6"/>
  </w:num>
  <w:num w:numId="15" w16cid:durableId="334069660">
    <w:abstractNumId w:val="5"/>
  </w:num>
  <w:num w:numId="16" w16cid:durableId="1483235916">
    <w:abstractNumId w:val="4"/>
  </w:num>
  <w:num w:numId="17" w16cid:durableId="1462382261">
    <w:abstractNumId w:val="3"/>
  </w:num>
  <w:num w:numId="18" w16cid:durableId="417095630">
    <w:abstractNumId w:val="2"/>
  </w:num>
  <w:num w:numId="19" w16cid:durableId="716512305">
    <w:abstractNumId w:val="1"/>
  </w:num>
  <w:num w:numId="20" w16cid:durableId="1097142742">
    <w:abstractNumId w:val="0"/>
  </w:num>
  <w:num w:numId="21" w16cid:durableId="1849102948">
    <w:abstractNumId w:val="58"/>
  </w:num>
  <w:num w:numId="22" w16cid:durableId="691146600">
    <w:abstractNumId w:val="147"/>
  </w:num>
  <w:num w:numId="23" w16cid:durableId="1162744111">
    <w:abstractNumId w:val="62"/>
  </w:num>
  <w:num w:numId="24" w16cid:durableId="1834486423">
    <w:abstractNumId w:val="151"/>
  </w:num>
  <w:num w:numId="25" w16cid:durableId="1734354351">
    <w:abstractNumId w:val="74"/>
  </w:num>
  <w:num w:numId="26" w16cid:durableId="1854490978">
    <w:abstractNumId w:val="14"/>
  </w:num>
  <w:num w:numId="27" w16cid:durableId="1869827981">
    <w:abstractNumId w:val="111"/>
  </w:num>
  <w:num w:numId="28" w16cid:durableId="243104690">
    <w:abstractNumId w:val="121"/>
  </w:num>
  <w:num w:numId="29" w16cid:durableId="808715940">
    <w:abstractNumId w:val="19"/>
  </w:num>
  <w:num w:numId="30" w16cid:durableId="2003853033">
    <w:abstractNumId w:val="92"/>
  </w:num>
  <w:num w:numId="31" w16cid:durableId="1437599011">
    <w:abstractNumId w:val="79"/>
  </w:num>
  <w:num w:numId="32" w16cid:durableId="1239973699">
    <w:abstractNumId w:val="144"/>
  </w:num>
  <w:num w:numId="33" w16cid:durableId="1868642647">
    <w:abstractNumId w:val="40"/>
  </w:num>
  <w:num w:numId="34" w16cid:durableId="1814445968">
    <w:abstractNumId w:val="128"/>
  </w:num>
  <w:num w:numId="35" w16cid:durableId="1137995424">
    <w:abstractNumId w:val="108"/>
  </w:num>
  <w:num w:numId="36" w16cid:durableId="1046292476">
    <w:abstractNumId w:val="156"/>
  </w:num>
  <w:num w:numId="37" w16cid:durableId="404956013">
    <w:abstractNumId w:val="11"/>
  </w:num>
  <w:num w:numId="38" w16cid:durableId="1333605244">
    <w:abstractNumId w:val="127"/>
  </w:num>
  <w:num w:numId="39" w16cid:durableId="1195266632">
    <w:abstractNumId w:val="47"/>
  </w:num>
  <w:num w:numId="40" w16cid:durableId="1713922599">
    <w:abstractNumId w:val="155"/>
  </w:num>
  <w:num w:numId="41" w16cid:durableId="882404684">
    <w:abstractNumId w:val="67"/>
  </w:num>
  <w:num w:numId="42" w16cid:durableId="1168666886">
    <w:abstractNumId w:val="38"/>
  </w:num>
  <w:num w:numId="43" w16cid:durableId="924998248">
    <w:abstractNumId w:val="36"/>
  </w:num>
  <w:num w:numId="44" w16cid:durableId="386952240">
    <w:abstractNumId w:val="24"/>
  </w:num>
  <w:num w:numId="45" w16cid:durableId="1249267903">
    <w:abstractNumId w:val="7"/>
  </w:num>
  <w:num w:numId="46" w16cid:durableId="64108457">
    <w:abstractNumId w:val="81"/>
  </w:num>
  <w:num w:numId="47" w16cid:durableId="115412972">
    <w:abstractNumId w:val="78"/>
  </w:num>
  <w:num w:numId="48" w16cid:durableId="260770006">
    <w:abstractNumId w:val="29"/>
  </w:num>
  <w:num w:numId="49" w16cid:durableId="512309134">
    <w:abstractNumId w:val="110"/>
  </w:num>
  <w:num w:numId="50" w16cid:durableId="2055424101">
    <w:abstractNumId w:val="159"/>
  </w:num>
  <w:num w:numId="51" w16cid:durableId="255793168">
    <w:abstractNumId w:val="35"/>
  </w:num>
  <w:num w:numId="52" w16cid:durableId="1618216849">
    <w:abstractNumId w:val="33"/>
  </w:num>
  <w:num w:numId="53" w16cid:durableId="2101441976">
    <w:abstractNumId w:val="109"/>
  </w:num>
  <w:num w:numId="54" w16cid:durableId="1479809044">
    <w:abstractNumId w:val="7"/>
  </w:num>
  <w:num w:numId="55" w16cid:durableId="2086954443">
    <w:abstractNumId w:val="105"/>
  </w:num>
  <w:num w:numId="56" w16cid:durableId="1936281700">
    <w:abstractNumId w:val="37"/>
  </w:num>
  <w:num w:numId="57" w16cid:durableId="1426420059">
    <w:abstractNumId w:val="9"/>
  </w:num>
  <w:num w:numId="58" w16cid:durableId="191917530">
    <w:abstractNumId w:val="98"/>
  </w:num>
  <w:num w:numId="59" w16cid:durableId="204873053">
    <w:abstractNumId w:val="54"/>
  </w:num>
  <w:num w:numId="60" w16cid:durableId="908463208">
    <w:abstractNumId w:val="15"/>
  </w:num>
  <w:num w:numId="61" w16cid:durableId="592053965">
    <w:abstractNumId w:val="39"/>
  </w:num>
  <w:num w:numId="62" w16cid:durableId="602805172">
    <w:abstractNumId w:val="91"/>
  </w:num>
  <w:num w:numId="63" w16cid:durableId="649211877">
    <w:abstractNumId w:val="7"/>
  </w:num>
  <w:num w:numId="64" w16cid:durableId="864944674">
    <w:abstractNumId w:val="56"/>
  </w:num>
  <w:num w:numId="65" w16cid:durableId="78258127">
    <w:abstractNumId w:val="118"/>
  </w:num>
  <w:num w:numId="66" w16cid:durableId="2083986294">
    <w:abstractNumId w:val="7"/>
  </w:num>
  <w:num w:numId="67" w16cid:durableId="880478033">
    <w:abstractNumId w:val="7"/>
  </w:num>
  <w:num w:numId="68" w16cid:durableId="1772582539">
    <w:abstractNumId w:val="84"/>
  </w:num>
  <w:num w:numId="69" w16cid:durableId="2065329153">
    <w:abstractNumId w:val="7"/>
  </w:num>
  <w:num w:numId="70" w16cid:durableId="1136485041">
    <w:abstractNumId w:val="18"/>
  </w:num>
  <w:num w:numId="71" w16cid:durableId="2070765944">
    <w:abstractNumId w:val="69"/>
  </w:num>
  <w:num w:numId="72" w16cid:durableId="1902280234">
    <w:abstractNumId w:val="154"/>
  </w:num>
  <w:num w:numId="73" w16cid:durableId="146912596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48012643">
    <w:abstractNumId w:val="114"/>
  </w:num>
  <w:num w:numId="75" w16cid:durableId="836381391">
    <w:abstractNumId w:val="131"/>
  </w:num>
  <w:num w:numId="76" w16cid:durableId="2001960508">
    <w:abstractNumId w:val="12"/>
  </w:num>
  <w:num w:numId="77" w16cid:durableId="712929288">
    <w:abstractNumId w:val="52"/>
  </w:num>
  <w:num w:numId="78" w16cid:durableId="1091853543">
    <w:abstractNumId w:val="21"/>
  </w:num>
  <w:num w:numId="79" w16cid:durableId="1597902222">
    <w:abstractNumId w:val="107"/>
  </w:num>
  <w:num w:numId="80" w16cid:durableId="898632490">
    <w:abstractNumId w:val="66"/>
  </w:num>
  <w:num w:numId="81" w16cid:durableId="99952258">
    <w:abstractNumId w:val="63"/>
  </w:num>
  <w:num w:numId="82" w16cid:durableId="315915470">
    <w:abstractNumId w:val="97"/>
  </w:num>
  <w:num w:numId="83" w16cid:durableId="1037391268">
    <w:abstractNumId w:val="125"/>
  </w:num>
  <w:num w:numId="84" w16cid:durableId="1108038733">
    <w:abstractNumId w:val="112"/>
  </w:num>
  <w:num w:numId="85" w16cid:durableId="1593050752">
    <w:abstractNumId w:val="88"/>
  </w:num>
  <w:num w:numId="86" w16cid:durableId="193272556">
    <w:abstractNumId w:val="102"/>
  </w:num>
  <w:num w:numId="87" w16cid:durableId="39863384">
    <w:abstractNumId w:val="143"/>
  </w:num>
  <w:num w:numId="88" w16cid:durableId="397631151">
    <w:abstractNumId w:val="113"/>
  </w:num>
  <w:num w:numId="89" w16cid:durableId="886184309">
    <w:abstractNumId w:val="72"/>
  </w:num>
  <w:num w:numId="90" w16cid:durableId="1399085246">
    <w:abstractNumId w:val="25"/>
  </w:num>
  <w:num w:numId="91" w16cid:durableId="903296355">
    <w:abstractNumId w:val="123"/>
  </w:num>
  <w:num w:numId="92" w16cid:durableId="1338383065">
    <w:abstractNumId w:val="152"/>
  </w:num>
  <w:num w:numId="93" w16cid:durableId="462045093">
    <w:abstractNumId w:val="158"/>
  </w:num>
  <w:num w:numId="94" w16cid:durableId="1375042324">
    <w:abstractNumId w:val="132"/>
  </w:num>
  <w:num w:numId="95" w16cid:durableId="29496885">
    <w:abstractNumId w:val="60"/>
  </w:num>
  <w:num w:numId="96" w16cid:durableId="289559865">
    <w:abstractNumId w:val="120"/>
  </w:num>
  <w:num w:numId="97" w16cid:durableId="565533549">
    <w:abstractNumId w:val="31"/>
  </w:num>
  <w:num w:numId="98" w16cid:durableId="874805314">
    <w:abstractNumId w:val="129"/>
  </w:num>
  <w:num w:numId="99" w16cid:durableId="1372267847">
    <w:abstractNumId w:val="153"/>
  </w:num>
  <w:num w:numId="100" w16cid:durableId="1454858153">
    <w:abstractNumId w:val="32"/>
  </w:num>
  <w:num w:numId="101" w16cid:durableId="838740294">
    <w:abstractNumId w:val="77"/>
  </w:num>
  <w:num w:numId="102" w16cid:durableId="240219982">
    <w:abstractNumId w:val="94"/>
  </w:num>
  <w:num w:numId="103" w16cid:durableId="834998668">
    <w:abstractNumId w:val="41"/>
  </w:num>
  <w:num w:numId="104" w16cid:durableId="1745028519">
    <w:abstractNumId w:val="16"/>
  </w:num>
  <w:num w:numId="105" w16cid:durableId="161170103">
    <w:abstractNumId w:val="13"/>
  </w:num>
  <w:num w:numId="106" w16cid:durableId="389695703">
    <w:abstractNumId w:val="145"/>
  </w:num>
  <w:num w:numId="107" w16cid:durableId="589781760">
    <w:abstractNumId w:val="61"/>
  </w:num>
  <w:num w:numId="108" w16cid:durableId="1237741734">
    <w:abstractNumId w:val="124"/>
  </w:num>
  <w:num w:numId="109" w16cid:durableId="1872914832">
    <w:abstractNumId w:val="119"/>
  </w:num>
  <w:num w:numId="110" w16cid:durableId="2024431639">
    <w:abstractNumId w:val="76"/>
  </w:num>
  <w:num w:numId="111" w16cid:durableId="737746911">
    <w:abstractNumId w:val="10"/>
  </w:num>
  <w:num w:numId="112" w16cid:durableId="1795059756">
    <w:abstractNumId w:val="70"/>
  </w:num>
  <w:num w:numId="113" w16cid:durableId="710963857">
    <w:abstractNumId w:val="45"/>
  </w:num>
  <w:num w:numId="114" w16cid:durableId="2022974466">
    <w:abstractNumId w:val="87"/>
  </w:num>
  <w:num w:numId="115" w16cid:durableId="302124856">
    <w:abstractNumId w:val="142"/>
  </w:num>
  <w:num w:numId="116" w16cid:durableId="2014992371">
    <w:abstractNumId w:val="20"/>
  </w:num>
  <w:num w:numId="117" w16cid:durableId="1397510369">
    <w:abstractNumId w:val="136"/>
  </w:num>
  <w:num w:numId="118" w16cid:durableId="77213356">
    <w:abstractNumId w:val="75"/>
  </w:num>
  <w:num w:numId="119" w16cid:durableId="795177936">
    <w:abstractNumId w:val="150"/>
  </w:num>
  <w:num w:numId="120" w16cid:durableId="972055628">
    <w:abstractNumId w:val="71"/>
  </w:num>
  <w:num w:numId="121" w16cid:durableId="324865913">
    <w:abstractNumId w:val="53"/>
  </w:num>
  <w:num w:numId="122" w16cid:durableId="977950726">
    <w:abstractNumId w:val="27"/>
  </w:num>
  <w:num w:numId="123" w16cid:durableId="539166203">
    <w:abstractNumId w:val="100"/>
  </w:num>
  <w:num w:numId="124" w16cid:durableId="814489370">
    <w:abstractNumId w:val="134"/>
  </w:num>
  <w:num w:numId="125" w16cid:durableId="1574852601">
    <w:abstractNumId w:val="160"/>
  </w:num>
  <w:num w:numId="126" w16cid:durableId="1181627554">
    <w:abstractNumId w:val="148"/>
  </w:num>
  <w:num w:numId="127" w16cid:durableId="2078748146">
    <w:abstractNumId w:val="89"/>
  </w:num>
  <w:num w:numId="128" w16cid:durableId="1698460645">
    <w:abstractNumId w:val="96"/>
  </w:num>
  <w:num w:numId="129" w16cid:durableId="1928804610">
    <w:abstractNumId w:val="99"/>
  </w:num>
  <w:num w:numId="130" w16cid:durableId="824980014">
    <w:abstractNumId w:val="103"/>
  </w:num>
  <w:num w:numId="131" w16cid:durableId="1463378176">
    <w:abstractNumId w:val="146"/>
  </w:num>
  <w:num w:numId="132" w16cid:durableId="2139251549">
    <w:abstractNumId w:val="138"/>
  </w:num>
  <w:num w:numId="133" w16cid:durableId="796994447">
    <w:abstractNumId w:val="86"/>
  </w:num>
  <w:num w:numId="134" w16cid:durableId="1104181873">
    <w:abstractNumId w:val="64"/>
  </w:num>
  <w:num w:numId="135" w16cid:durableId="336462304">
    <w:abstractNumId w:val="137"/>
  </w:num>
  <w:num w:numId="136" w16cid:durableId="169830664">
    <w:abstractNumId w:val="73"/>
  </w:num>
  <w:num w:numId="137" w16cid:durableId="558789812">
    <w:abstractNumId w:val="55"/>
  </w:num>
  <w:num w:numId="138" w16cid:durableId="2121338936">
    <w:abstractNumId w:val="135"/>
  </w:num>
  <w:num w:numId="139" w16cid:durableId="1745372819">
    <w:abstractNumId w:val="57"/>
  </w:num>
  <w:num w:numId="140" w16cid:durableId="1127431083">
    <w:abstractNumId w:val="117"/>
  </w:num>
  <w:num w:numId="141" w16cid:durableId="1376084732">
    <w:abstractNumId w:val="8"/>
  </w:num>
  <w:num w:numId="142" w16cid:durableId="6415417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91744189">
    <w:abstractNumId w:val="90"/>
  </w:num>
  <w:num w:numId="144" w16cid:durableId="597905740">
    <w:abstractNumId w:val="17"/>
  </w:num>
  <w:num w:numId="145" w16cid:durableId="219026705">
    <w:abstractNumId w:val="82"/>
  </w:num>
  <w:num w:numId="146" w16cid:durableId="1554348139">
    <w:abstractNumId w:val="34"/>
  </w:num>
  <w:num w:numId="147" w16cid:durableId="1868643169">
    <w:abstractNumId w:val="68"/>
  </w:num>
  <w:num w:numId="148" w16cid:durableId="8148766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628656885">
    <w:abstractNumId w:val="28"/>
  </w:num>
  <w:num w:numId="150" w16cid:durableId="365563823">
    <w:abstractNumId w:val="80"/>
  </w:num>
  <w:num w:numId="151" w16cid:durableId="1769276269">
    <w:abstractNumId w:val="104"/>
  </w:num>
  <w:num w:numId="152" w16cid:durableId="204756819">
    <w:abstractNumId w:val="115"/>
  </w:num>
  <w:num w:numId="153" w16cid:durableId="1213812042">
    <w:abstractNumId w:val="157"/>
  </w:num>
  <w:num w:numId="154" w16cid:durableId="1268853284">
    <w:abstractNumId w:val="101"/>
  </w:num>
  <w:num w:numId="155" w16cid:durableId="1843278799">
    <w:abstractNumId w:val="122"/>
  </w:num>
  <w:num w:numId="156" w16cid:durableId="1291665115">
    <w:abstractNumId w:val="44"/>
  </w:num>
  <w:num w:numId="157" w16cid:durableId="371930292">
    <w:abstractNumId w:val="43"/>
  </w:num>
  <w:num w:numId="158" w16cid:durableId="668869483">
    <w:abstractNumId w:val="141"/>
  </w:num>
  <w:num w:numId="159" w16cid:durableId="144778938">
    <w:abstractNumId w:val="106"/>
  </w:num>
  <w:num w:numId="160" w16cid:durableId="1442453571">
    <w:abstractNumId w:val="133"/>
  </w:num>
  <w:num w:numId="161" w16cid:durableId="1729375883">
    <w:abstractNumId w:val="85"/>
  </w:num>
  <w:num w:numId="162" w16cid:durableId="977153371">
    <w:abstractNumId w:val="126"/>
  </w:num>
  <w:num w:numId="163" w16cid:durableId="947546794">
    <w:abstractNumId w:val="42"/>
  </w:num>
  <w:num w:numId="164" w16cid:durableId="1530101731">
    <w:abstractNumId w:val="93"/>
  </w:num>
  <w:num w:numId="165" w16cid:durableId="1867791729">
    <w:abstractNumId w:val="149"/>
  </w:num>
  <w:num w:numId="166" w16cid:durableId="1298796782">
    <w:abstractNumId w:val="65"/>
  </w:num>
  <w:num w:numId="167" w16cid:durableId="600259926">
    <w:abstractNumId w:val="48"/>
  </w:num>
  <w:num w:numId="168" w16cid:durableId="1401519310">
    <w:abstractNumId w:val="26"/>
  </w:num>
  <w:num w:numId="169" w16cid:durableId="1029332861">
    <w:abstractNumId w:val="130"/>
  </w:num>
  <w:num w:numId="170" w16cid:durableId="204490024">
    <w:abstractNumId w:val="83"/>
  </w:num>
  <w:num w:numId="171" w16cid:durableId="1469128967">
    <w:abstractNumId w:val="51"/>
  </w:num>
  <w:num w:numId="172" w16cid:durableId="1420057015">
    <w:abstractNumId w:val="22"/>
  </w:num>
  <w:num w:numId="173" w16cid:durableId="200941810">
    <w:abstractNumId w:val="46"/>
  </w:num>
  <w:num w:numId="174" w16cid:durableId="513883407">
    <w:abstractNumId w:val="50"/>
  </w:num>
  <w:num w:numId="175" w16cid:durableId="40298897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826022082">
    <w:abstractNumId w:val="7"/>
  </w:num>
  <w:num w:numId="177" w16cid:durableId="206062849">
    <w:abstractNumId w:val="30"/>
  </w:num>
  <w:num w:numId="178" w16cid:durableId="1199195754">
    <w:abstractNumId w:val="23"/>
  </w:num>
  <w:num w:numId="179" w16cid:durableId="688798909">
    <w:abstractNumId w:val="116"/>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nl-NL"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en-NZ" w:vendorID="8" w:dllVersion="513"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357"/>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xMDcyNzIzNTK3sDBQ0lEKTi0uzszPAykwMqgFAO1SY7EtAAAA"/>
  </w:docVars>
  <w:rsids>
    <w:rsidRoot w:val="006B314B"/>
    <w:rsid w:val="00000592"/>
    <w:rsid w:val="000007E4"/>
    <w:rsid w:val="00000A4C"/>
    <w:rsid w:val="00000C15"/>
    <w:rsid w:val="00000C68"/>
    <w:rsid w:val="00000EA7"/>
    <w:rsid w:val="000012E1"/>
    <w:rsid w:val="000012F4"/>
    <w:rsid w:val="0000176A"/>
    <w:rsid w:val="000018EB"/>
    <w:rsid w:val="00001A5D"/>
    <w:rsid w:val="00001B09"/>
    <w:rsid w:val="00001B2D"/>
    <w:rsid w:val="000020F1"/>
    <w:rsid w:val="0000212B"/>
    <w:rsid w:val="00002203"/>
    <w:rsid w:val="00002539"/>
    <w:rsid w:val="00002687"/>
    <w:rsid w:val="00002934"/>
    <w:rsid w:val="00002AAB"/>
    <w:rsid w:val="00002ADD"/>
    <w:rsid w:val="00002BE4"/>
    <w:rsid w:val="00002D41"/>
    <w:rsid w:val="00002E08"/>
    <w:rsid w:val="000032BB"/>
    <w:rsid w:val="000033FC"/>
    <w:rsid w:val="0000341D"/>
    <w:rsid w:val="00003517"/>
    <w:rsid w:val="0000384B"/>
    <w:rsid w:val="00003972"/>
    <w:rsid w:val="00003F73"/>
    <w:rsid w:val="0000409E"/>
    <w:rsid w:val="00004812"/>
    <w:rsid w:val="00004941"/>
    <w:rsid w:val="00004C9D"/>
    <w:rsid w:val="00005134"/>
    <w:rsid w:val="000054BA"/>
    <w:rsid w:val="0000565C"/>
    <w:rsid w:val="00005894"/>
    <w:rsid w:val="000058BD"/>
    <w:rsid w:val="000059E4"/>
    <w:rsid w:val="00005A3E"/>
    <w:rsid w:val="00005AAE"/>
    <w:rsid w:val="00006410"/>
    <w:rsid w:val="00006422"/>
    <w:rsid w:val="000064CC"/>
    <w:rsid w:val="00006701"/>
    <w:rsid w:val="00006857"/>
    <w:rsid w:val="0000712D"/>
    <w:rsid w:val="0000740A"/>
    <w:rsid w:val="0000781B"/>
    <w:rsid w:val="000078B9"/>
    <w:rsid w:val="00007D32"/>
    <w:rsid w:val="00007D58"/>
    <w:rsid w:val="00007D65"/>
    <w:rsid w:val="0001029C"/>
    <w:rsid w:val="000103C1"/>
    <w:rsid w:val="0001044B"/>
    <w:rsid w:val="000104E4"/>
    <w:rsid w:val="000105C5"/>
    <w:rsid w:val="000105DA"/>
    <w:rsid w:val="000108B5"/>
    <w:rsid w:val="000108FC"/>
    <w:rsid w:val="00010D3A"/>
    <w:rsid w:val="00010D70"/>
    <w:rsid w:val="00011540"/>
    <w:rsid w:val="00011603"/>
    <w:rsid w:val="000117D6"/>
    <w:rsid w:val="000119E6"/>
    <w:rsid w:val="00011A0F"/>
    <w:rsid w:val="00011A83"/>
    <w:rsid w:val="00011ABB"/>
    <w:rsid w:val="00012202"/>
    <w:rsid w:val="000128B0"/>
    <w:rsid w:val="00012945"/>
    <w:rsid w:val="00012972"/>
    <w:rsid w:val="00012EC8"/>
    <w:rsid w:val="000135A0"/>
    <w:rsid w:val="000137E4"/>
    <w:rsid w:val="00013AD9"/>
    <w:rsid w:val="00013C95"/>
    <w:rsid w:val="00013D7E"/>
    <w:rsid w:val="0001402C"/>
    <w:rsid w:val="00014505"/>
    <w:rsid w:val="000147E6"/>
    <w:rsid w:val="00014872"/>
    <w:rsid w:val="00014D1E"/>
    <w:rsid w:val="00014EF2"/>
    <w:rsid w:val="00014F1D"/>
    <w:rsid w:val="00015010"/>
    <w:rsid w:val="00015358"/>
    <w:rsid w:val="00015415"/>
    <w:rsid w:val="00015846"/>
    <w:rsid w:val="00015A54"/>
    <w:rsid w:val="00015CA3"/>
    <w:rsid w:val="00016049"/>
    <w:rsid w:val="00016192"/>
    <w:rsid w:val="00016250"/>
    <w:rsid w:val="000163B5"/>
    <w:rsid w:val="000164D4"/>
    <w:rsid w:val="00016530"/>
    <w:rsid w:val="0001662B"/>
    <w:rsid w:val="000167F1"/>
    <w:rsid w:val="000168A7"/>
    <w:rsid w:val="00016A4A"/>
    <w:rsid w:val="00016C80"/>
    <w:rsid w:val="00016ECC"/>
    <w:rsid w:val="00016F7A"/>
    <w:rsid w:val="00017016"/>
    <w:rsid w:val="00017725"/>
    <w:rsid w:val="00017A2A"/>
    <w:rsid w:val="00017E84"/>
    <w:rsid w:val="00017E89"/>
    <w:rsid w:val="000201D1"/>
    <w:rsid w:val="00020AB1"/>
    <w:rsid w:val="00020AB9"/>
    <w:rsid w:val="00020C3F"/>
    <w:rsid w:val="00020D31"/>
    <w:rsid w:val="000211C3"/>
    <w:rsid w:val="0002128C"/>
    <w:rsid w:val="00021D3E"/>
    <w:rsid w:val="00021FCD"/>
    <w:rsid w:val="000221E8"/>
    <w:rsid w:val="00022577"/>
    <w:rsid w:val="0002275F"/>
    <w:rsid w:val="000227D4"/>
    <w:rsid w:val="00022815"/>
    <w:rsid w:val="00022840"/>
    <w:rsid w:val="00022942"/>
    <w:rsid w:val="00022EF4"/>
    <w:rsid w:val="000235C7"/>
    <w:rsid w:val="0002389B"/>
    <w:rsid w:val="00023A71"/>
    <w:rsid w:val="00023B19"/>
    <w:rsid w:val="00023B71"/>
    <w:rsid w:val="00023BDE"/>
    <w:rsid w:val="00023FCD"/>
    <w:rsid w:val="0002411E"/>
    <w:rsid w:val="00024263"/>
    <w:rsid w:val="000242C5"/>
    <w:rsid w:val="00024848"/>
    <w:rsid w:val="00024866"/>
    <w:rsid w:val="000249B7"/>
    <w:rsid w:val="000253D1"/>
    <w:rsid w:val="00025590"/>
    <w:rsid w:val="00025AB5"/>
    <w:rsid w:val="00025B8C"/>
    <w:rsid w:val="00025B92"/>
    <w:rsid w:val="00025C84"/>
    <w:rsid w:val="00026019"/>
    <w:rsid w:val="0002605B"/>
    <w:rsid w:val="000262F7"/>
    <w:rsid w:val="00026604"/>
    <w:rsid w:val="000266E4"/>
    <w:rsid w:val="00026842"/>
    <w:rsid w:val="00026D5F"/>
    <w:rsid w:val="000270B0"/>
    <w:rsid w:val="00027101"/>
    <w:rsid w:val="000274CA"/>
    <w:rsid w:val="00027871"/>
    <w:rsid w:val="00027AF4"/>
    <w:rsid w:val="00027C91"/>
    <w:rsid w:val="000304F5"/>
    <w:rsid w:val="0003056B"/>
    <w:rsid w:val="00030678"/>
    <w:rsid w:val="000306DE"/>
    <w:rsid w:val="00030782"/>
    <w:rsid w:val="0003088D"/>
    <w:rsid w:val="00030943"/>
    <w:rsid w:val="00030E52"/>
    <w:rsid w:val="00031045"/>
    <w:rsid w:val="000311D2"/>
    <w:rsid w:val="000312E3"/>
    <w:rsid w:val="000315EE"/>
    <w:rsid w:val="00031A47"/>
    <w:rsid w:val="00031A85"/>
    <w:rsid w:val="00031B67"/>
    <w:rsid w:val="00031CBC"/>
    <w:rsid w:val="00031D87"/>
    <w:rsid w:val="000329D0"/>
    <w:rsid w:val="00032B60"/>
    <w:rsid w:val="00033082"/>
    <w:rsid w:val="0003357F"/>
    <w:rsid w:val="00033695"/>
    <w:rsid w:val="00033A89"/>
    <w:rsid w:val="00033C9C"/>
    <w:rsid w:val="000344FD"/>
    <w:rsid w:val="00034EE2"/>
    <w:rsid w:val="00035005"/>
    <w:rsid w:val="0003514D"/>
    <w:rsid w:val="00035741"/>
    <w:rsid w:val="00035C40"/>
    <w:rsid w:val="00035EA6"/>
    <w:rsid w:val="00035EAF"/>
    <w:rsid w:val="00036084"/>
    <w:rsid w:val="00036096"/>
    <w:rsid w:val="00036182"/>
    <w:rsid w:val="000365DA"/>
    <w:rsid w:val="0003667F"/>
    <w:rsid w:val="00036A47"/>
    <w:rsid w:val="00036A68"/>
    <w:rsid w:val="00037414"/>
    <w:rsid w:val="0003767C"/>
    <w:rsid w:val="000377A1"/>
    <w:rsid w:val="000377B7"/>
    <w:rsid w:val="00037812"/>
    <w:rsid w:val="00037959"/>
    <w:rsid w:val="000379C6"/>
    <w:rsid w:val="000379E4"/>
    <w:rsid w:val="000403C3"/>
    <w:rsid w:val="000404BE"/>
    <w:rsid w:val="000405CD"/>
    <w:rsid w:val="000407B2"/>
    <w:rsid w:val="00040C24"/>
    <w:rsid w:val="00040C2E"/>
    <w:rsid w:val="0004116C"/>
    <w:rsid w:val="000412CC"/>
    <w:rsid w:val="000413F5"/>
    <w:rsid w:val="0004143D"/>
    <w:rsid w:val="000414C5"/>
    <w:rsid w:val="00041701"/>
    <w:rsid w:val="000418EB"/>
    <w:rsid w:val="000419D8"/>
    <w:rsid w:val="00041A81"/>
    <w:rsid w:val="00041C16"/>
    <w:rsid w:val="0004202E"/>
    <w:rsid w:val="0004205A"/>
    <w:rsid w:val="000420AC"/>
    <w:rsid w:val="0004216F"/>
    <w:rsid w:val="000422EF"/>
    <w:rsid w:val="00042309"/>
    <w:rsid w:val="0004282F"/>
    <w:rsid w:val="00042D4E"/>
    <w:rsid w:val="00042DA3"/>
    <w:rsid w:val="000431C4"/>
    <w:rsid w:val="0004332A"/>
    <w:rsid w:val="00043728"/>
    <w:rsid w:val="00043EFD"/>
    <w:rsid w:val="00043F1E"/>
    <w:rsid w:val="0004430C"/>
    <w:rsid w:val="00044700"/>
    <w:rsid w:val="0004472C"/>
    <w:rsid w:val="000447DD"/>
    <w:rsid w:val="00044C19"/>
    <w:rsid w:val="00044C6B"/>
    <w:rsid w:val="000452F9"/>
    <w:rsid w:val="000455A7"/>
    <w:rsid w:val="000456F3"/>
    <w:rsid w:val="00045980"/>
    <w:rsid w:val="00045E1E"/>
    <w:rsid w:val="0004698F"/>
    <w:rsid w:val="00046B4D"/>
    <w:rsid w:val="00046D38"/>
    <w:rsid w:val="00046E1D"/>
    <w:rsid w:val="000478ED"/>
    <w:rsid w:val="00047B1C"/>
    <w:rsid w:val="00047E58"/>
    <w:rsid w:val="00050131"/>
    <w:rsid w:val="000505A6"/>
    <w:rsid w:val="00050965"/>
    <w:rsid w:val="00050B7D"/>
    <w:rsid w:val="00050BBC"/>
    <w:rsid w:val="00050DB5"/>
    <w:rsid w:val="00050E29"/>
    <w:rsid w:val="00051066"/>
    <w:rsid w:val="0005118C"/>
    <w:rsid w:val="00051285"/>
    <w:rsid w:val="00051675"/>
    <w:rsid w:val="000517F6"/>
    <w:rsid w:val="00051D9D"/>
    <w:rsid w:val="000520B8"/>
    <w:rsid w:val="00052360"/>
    <w:rsid w:val="00052481"/>
    <w:rsid w:val="000524BF"/>
    <w:rsid w:val="0005272F"/>
    <w:rsid w:val="0005284E"/>
    <w:rsid w:val="0005298D"/>
    <w:rsid w:val="00052A37"/>
    <w:rsid w:val="00052B06"/>
    <w:rsid w:val="00052E51"/>
    <w:rsid w:val="000532A5"/>
    <w:rsid w:val="0005359F"/>
    <w:rsid w:val="00053620"/>
    <w:rsid w:val="00053662"/>
    <w:rsid w:val="0005367C"/>
    <w:rsid w:val="00053AB5"/>
    <w:rsid w:val="00053B50"/>
    <w:rsid w:val="00053EC9"/>
    <w:rsid w:val="00053F4A"/>
    <w:rsid w:val="000541C2"/>
    <w:rsid w:val="000542AB"/>
    <w:rsid w:val="000545C9"/>
    <w:rsid w:val="00054BA3"/>
    <w:rsid w:val="00054F26"/>
    <w:rsid w:val="0005581D"/>
    <w:rsid w:val="00055E41"/>
    <w:rsid w:val="00056201"/>
    <w:rsid w:val="00056368"/>
    <w:rsid w:val="000563EC"/>
    <w:rsid w:val="000564A7"/>
    <w:rsid w:val="000564F3"/>
    <w:rsid w:val="000565D7"/>
    <w:rsid w:val="00056735"/>
    <w:rsid w:val="00056AB6"/>
    <w:rsid w:val="000571A8"/>
    <w:rsid w:val="0005720E"/>
    <w:rsid w:val="000574FD"/>
    <w:rsid w:val="00057849"/>
    <w:rsid w:val="000578B1"/>
    <w:rsid w:val="0005798B"/>
    <w:rsid w:val="00057BAE"/>
    <w:rsid w:val="00057E54"/>
    <w:rsid w:val="00057F02"/>
    <w:rsid w:val="00057F86"/>
    <w:rsid w:val="00060394"/>
    <w:rsid w:val="0006060B"/>
    <w:rsid w:val="00060659"/>
    <w:rsid w:val="000606C3"/>
    <w:rsid w:val="0006080E"/>
    <w:rsid w:val="0006089D"/>
    <w:rsid w:val="00060C75"/>
    <w:rsid w:val="00060E41"/>
    <w:rsid w:val="00060F86"/>
    <w:rsid w:val="000610B8"/>
    <w:rsid w:val="0006128E"/>
    <w:rsid w:val="000612DF"/>
    <w:rsid w:val="00061639"/>
    <w:rsid w:val="00061798"/>
    <w:rsid w:val="0006193D"/>
    <w:rsid w:val="00061A5E"/>
    <w:rsid w:val="00061CFB"/>
    <w:rsid w:val="000625CB"/>
    <w:rsid w:val="000625FE"/>
    <w:rsid w:val="000626D2"/>
    <w:rsid w:val="00062737"/>
    <w:rsid w:val="000628D9"/>
    <w:rsid w:val="000630AE"/>
    <w:rsid w:val="000632B7"/>
    <w:rsid w:val="00063703"/>
    <w:rsid w:val="000637F3"/>
    <w:rsid w:val="000639EC"/>
    <w:rsid w:val="00063BDC"/>
    <w:rsid w:val="00063D20"/>
    <w:rsid w:val="00063F7B"/>
    <w:rsid w:val="000640D8"/>
    <w:rsid w:val="000640EB"/>
    <w:rsid w:val="0006446B"/>
    <w:rsid w:val="00064734"/>
    <w:rsid w:val="000647BC"/>
    <w:rsid w:val="00064F8E"/>
    <w:rsid w:val="00065296"/>
    <w:rsid w:val="00065F8C"/>
    <w:rsid w:val="00066431"/>
    <w:rsid w:val="00066847"/>
    <w:rsid w:val="00067060"/>
    <w:rsid w:val="000672A1"/>
    <w:rsid w:val="0006750B"/>
    <w:rsid w:val="000677F0"/>
    <w:rsid w:val="000678F6"/>
    <w:rsid w:val="00067B2B"/>
    <w:rsid w:val="00067EF9"/>
    <w:rsid w:val="00070814"/>
    <w:rsid w:val="000708F6"/>
    <w:rsid w:val="00070D2D"/>
    <w:rsid w:val="00071035"/>
    <w:rsid w:val="00071B6C"/>
    <w:rsid w:val="0007256D"/>
    <w:rsid w:val="000726FB"/>
    <w:rsid w:val="00072B1E"/>
    <w:rsid w:val="00072C38"/>
    <w:rsid w:val="0007363E"/>
    <w:rsid w:val="00073821"/>
    <w:rsid w:val="00073BCD"/>
    <w:rsid w:val="00073D09"/>
    <w:rsid w:val="00074027"/>
    <w:rsid w:val="00074161"/>
    <w:rsid w:val="000749D1"/>
    <w:rsid w:val="00074BBD"/>
    <w:rsid w:val="00074D99"/>
    <w:rsid w:val="00074F81"/>
    <w:rsid w:val="0007504C"/>
    <w:rsid w:val="000750EE"/>
    <w:rsid w:val="0007515F"/>
    <w:rsid w:val="000753A3"/>
    <w:rsid w:val="00075573"/>
    <w:rsid w:val="00075598"/>
    <w:rsid w:val="0007563B"/>
    <w:rsid w:val="00075A14"/>
    <w:rsid w:val="00075AB4"/>
    <w:rsid w:val="00075FC3"/>
    <w:rsid w:val="0007606A"/>
    <w:rsid w:val="000763AB"/>
    <w:rsid w:val="000766DD"/>
    <w:rsid w:val="00076952"/>
    <w:rsid w:val="00076953"/>
    <w:rsid w:val="00076B7C"/>
    <w:rsid w:val="00076D93"/>
    <w:rsid w:val="00076FE5"/>
    <w:rsid w:val="00077750"/>
    <w:rsid w:val="00077D11"/>
    <w:rsid w:val="00080006"/>
    <w:rsid w:val="00080108"/>
    <w:rsid w:val="0008059B"/>
    <w:rsid w:val="00080980"/>
    <w:rsid w:val="00080A9B"/>
    <w:rsid w:val="00080B3E"/>
    <w:rsid w:val="0008105C"/>
    <w:rsid w:val="00081226"/>
    <w:rsid w:val="0008143A"/>
    <w:rsid w:val="000817E4"/>
    <w:rsid w:val="00081D03"/>
    <w:rsid w:val="00082A13"/>
    <w:rsid w:val="00082F68"/>
    <w:rsid w:val="00082FE2"/>
    <w:rsid w:val="0008336A"/>
    <w:rsid w:val="000834C4"/>
    <w:rsid w:val="0008392B"/>
    <w:rsid w:val="000839AB"/>
    <w:rsid w:val="00083AA8"/>
    <w:rsid w:val="00083C2C"/>
    <w:rsid w:val="00083C5B"/>
    <w:rsid w:val="00084483"/>
    <w:rsid w:val="000845BB"/>
    <w:rsid w:val="000849F7"/>
    <w:rsid w:val="00084C19"/>
    <w:rsid w:val="00084C2D"/>
    <w:rsid w:val="00084D82"/>
    <w:rsid w:val="00084F82"/>
    <w:rsid w:val="0008519B"/>
    <w:rsid w:val="00085782"/>
    <w:rsid w:val="00085A1F"/>
    <w:rsid w:val="000860D9"/>
    <w:rsid w:val="000860EB"/>
    <w:rsid w:val="000863DB"/>
    <w:rsid w:val="00086792"/>
    <w:rsid w:val="0008684A"/>
    <w:rsid w:val="00086C51"/>
    <w:rsid w:val="00087A37"/>
    <w:rsid w:val="00087B4A"/>
    <w:rsid w:val="00087BBB"/>
    <w:rsid w:val="00087DC8"/>
    <w:rsid w:val="00090029"/>
    <w:rsid w:val="00090274"/>
    <w:rsid w:val="00090392"/>
    <w:rsid w:val="000903DA"/>
    <w:rsid w:val="0009041C"/>
    <w:rsid w:val="000904CD"/>
    <w:rsid w:val="00090899"/>
    <w:rsid w:val="00090968"/>
    <w:rsid w:val="0009097A"/>
    <w:rsid w:val="00090C14"/>
    <w:rsid w:val="000916EE"/>
    <w:rsid w:val="00091801"/>
    <w:rsid w:val="0009183B"/>
    <w:rsid w:val="00091908"/>
    <w:rsid w:val="00091B84"/>
    <w:rsid w:val="00091FB2"/>
    <w:rsid w:val="000920D4"/>
    <w:rsid w:val="00092114"/>
    <w:rsid w:val="0009215D"/>
    <w:rsid w:val="00092178"/>
    <w:rsid w:val="000923E5"/>
    <w:rsid w:val="00092781"/>
    <w:rsid w:val="000927B1"/>
    <w:rsid w:val="00092EE8"/>
    <w:rsid w:val="0009331B"/>
    <w:rsid w:val="000938E5"/>
    <w:rsid w:val="0009395C"/>
    <w:rsid w:val="00093AB3"/>
    <w:rsid w:val="00093AEA"/>
    <w:rsid w:val="00093BB5"/>
    <w:rsid w:val="00093BF2"/>
    <w:rsid w:val="00093DE5"/>
    <w:rsid w:val="00094394"/>
    <w:rsid w:val="0009463F"/>
    <w:rsid w:val="00094B86"/>
    <w:rsid w:val="00094DFB"/>
    <w:rsid w:val="00094E57"/>
    <w:rsid w:val="00094EFD"/>
    <w:rsid w:val="00095251"/>
    <w:rsid w:val="00095A71"/>
    <w:rsid w:val="00096415"/>
    <w:rsid w:val="00096E01"/>
    <w:rsid w:val="00097567"/>
    <w:rsid w:val="000976B6"/>
    <w:rsid w:val="00097734"/>
    <w:rsid w:val="00097911"/>
    <w:rsid w:val="00097BA8"/>
    <w:rsid w:val="00097C1B"/>
    <w:rsid w:val="00097D22"/>
    <w:rsid w:val="00097D52"/>
    <w:rsid w:val="000A0308"/>
    <w:rsid w:val="000A0B7E"/>
    <w:rsid w:val="000A0B96"/>
    <w:rsid w:val="000A0E30"/>
    <w:rsid w:val="000A0F55"/>
    <w:rsid w:val="000A11E1"/>
    <w:rsid w:val="000A121F"/>
    <w:rsid w:val="000A1791"/>
    <w:rsid w:val="000A17AC"/>
    <w:rsid w:val="000A1CBD"/>
    <w:rsid w:val="000A24B8"/>
    <w:rsid w:val="000A25CF"/>
    <w:rsid w:val="000A2779"/>
    <w:rsid w:val="000A27A0"/>
    <w:rsid w:val="000A2E03"/>
    <w:rsid w:val="000A2E32"/>
    <w:rsid w:val="000A2FF5"/>
    <w:rsid w:val="000A31E0"/>
    <w:rsid w:val="000A3251"/>
    <w:rsid w:val="000A359B"/>
    <w:rsid w:val="000A3624"/>
    <w:rsid w:val="000A39A1"/>
    <w:rsid w:val="000A3A13"/>
    <w:rsid w:val="000A3AD4"/>
    <w:rsid w:val="000A42BB"/>
    <w:rsid w:val="000A4548"/>
    <w:rsid w:val="000A469D"/>
    <w:rsid w:val="000A4720"/>
    <w:rsid w:val="000A4BD2"/>
    <w:rsid w:val="000A4CDA"/>
    <w:rsid w:val="000A4DA8"/>
    <w:rsid w:val="000A4EDE"/>
    <w:rsid w:val="000A522A"/>
    <w:rsid w:val="000A5405"/>
    <w:rsid w:val="000A5583"/>
    <w:rsid w:val="000A5C89"/>
    <w:rsid w:val="000A61AC"/>
    <w:rsid w:val="000A62BA"/>
    <w:rsid w:val="000A6367"/>
    <w:rsid w:val="000A6440"/>
    <w:rsid w:val="000A644A"/>
    <w:rsid w:val="000A6741"/>
    <w:rsid w:val="000A6ACA"/>
    <w:rsid w:val="000A7218"/>
    <w:rsid w:val="000A7245"/>
    <w:rsid w:val="000A77B2"/>
    <w:rsid w:val="000A7EFA"/>
    <w:rsid w:val="000A888C"/>
    <w:rsid w:val="000B019C"/>
    <w:rsid w:val="000B044C"/>
    <w:rsid w:val="000B0603"/>
    <w:rsid w:val="000B0A90"/>
    <w:rsid w:val="000B0DEB"/>
    <w:rsid w:val="000B1756"/>
    <w:rsid w:val="000B19AE"/>
    <w:rsid w:val="000B1A58"/>
    <w:rsid w:val="000B1E72"/>
    <w:rsid w:val="000B1E83"/>
    <w:rsid w:val="000B1FE5"/>
    <w:rsid w:val="000B2297"/>
    <w:rsid w:val="000B24F8"/>
    <w:rsid w:val="000B2949"/>
    <w:rsid w:val="000B2979"/>
    <w:rsid w:val="000B2B10"/>
    <w:rsid w:val="000B2C4D"/>
    <w:rsid w:val="000B2E19"/>
    <w:rsid w:val="000B2EEA"/>
    <w:rsid w:val="000B3172"/>
    <w:rsid w:val="000B3304"/>
    <w:rsid w:val="000B353D"/>
    <w:rsid w:val="000B382F"/>
    <w:rsid w:val="000B3A3E"/>
    <w:rsid w:val="000B3B86"/>
    <w:rsid w:val="000B3EB8"/>
    <w:rsid w:val="000B3F6B"/>
    <w:rsid w:val="000B3FBC"/>
    <w:rsid w:val="000B4109"/>
    <w:rsid w:val="000B42E1"/>
    <w:rsid w:val="000B44DB"/>
    <w:rsid w:val="000B4541"/>
    <w:rsid w:val="000B4795"/>
    <w:rsid w:val="000B4C31"/>
    <w:rsid w:val="000B4F33"/>
    <w:rsid w:val="000B4FA0"/>
    <w:rsid w:val="000B50D2"/>
    <w:rsid w:val="000B5206"/>
    <w:rsid w:val="000B57AE"/>
    <w:rsid w:val="000B64FE"/>
    <w:rsid w:val="000B66EB"/>
    <w:rsid w:val="000B68E2"/>
    <w:rsid w:val="000B6ADB"/>
    <w:rsid w:val="000B6BB9"/>
    <w:rsid w:val="000B6BBC"/>
    <w:rsid w:val="000B7028"/>
    <w:rsid w:val="000B71C6"/>
    <w:rsid w:val="000B73D2"/>
    <w:rsid w:val="000B7A51"/>
    <w:rsid w:val="000B7E78"/>
    <w:rsid w:val="000B7EF7"/>
    <w:rsid w:val="000C02D2"/>
    <w:rsid w:val="000C03AA"/>
    <w:rsid w:val="000C040E"/>
    <w:rsid w:val="000C04C3"/>
    <w:rsid w:val="000C06F4"/>
    <w:rsid w:val="000C07D8"/>
    <w:rsid w:val="000C083B"/>
    <w:rsid w:val="000C0B44"/>
    <w:rsid w:val="000C0DA1"/>
    <w:rsid w:val="000C0FAE"/>
    <w:rsid w:val="000C1EB8"/>
    <w:rsid w:val="000C2002"/>
    <w:rsid w:val="000C210F"/>
    <w:rsid w:val="000C216D"/>
    <w:rsid w:val="000C2583"/>
    <w:rsid w:val="000C28D5"/>
    <w:rsid w:val="000C2A29"/>
    <w:rsid w:val="000C2A38"/>
    <w:rsid w:val="000C2D67"/>
    <w:rsid w:val="000C2D9D"/>
    <w:rsid w:val="000C2FF6"/>
    <w:rsid w:val="000C3279"/>
    <w:rsid w:val="000C3495"/>
    <w:rsid w:val="000C3ADB"/>
    <w:rsid w:val="000C3C7E"/>
    <w:rsid w:val="000C3F75"/>
    <w:rsid w:val="000C422C"/>
    <w:rsid w:val="000C4D76"/>
    <w:rsid w:val="000C4E78"/>
    <w:rsid w:val="000C5852"/>
    <w:rsid w:val="000C5D07"/>
    <w:rsid w:val="000C632D"/>
    <w:rsid w:val="000C63AB"/>
    <w:rsid w:val="000C64E7"/>
    <w:rsid w:val="000C655E"/>
    <w:rsid w:val="000C667B"/>
    <w:rsid w:val="000C6891"/>
    <w:rsid w:val="000C69BE"/>
    <w:rsid w:val="000C6A55"/>
    <w:rsid w:val="000C6F8D"/>
    <w:rsid w:val="000C779A"/>
    <w:rsid w:val="000C77CC"/>
    <w:rsid w:val="000C792E"/>
    <w:rsid w:val="000C7E71"/>
    <w:rsid w:val="000D027A"/>
    <w:rsid w:val="000D09DA"/>
    <w:rsid w:val="000D0BA8"/>
    <w:rsid w:val="000D0C79"/>
    <w:rsid w:val="000D12D9"/>
    <w:rsid w:val="000D1592"/>
    <w:rsid w:val="000D185C"/>
    <w:rsid w:val="000D18D7"/>
    <w:rsid w:val="000D1A0A"/>
    <w:rsid w:val="000D1C21"/>
    <w:rsid w:val="000D1D49"/>
    <w:rsid w:val="000D23A2"/>
    <w:rsid w:val="000D25D8"/>
    <w:rsid w:val="000D297F"/>
    <w:rsid w:val="000D2B85"/>
    <w:rsid w:val="000D2B89"/>
    <w:rsid w:val="000D2EED"/>
    <w:rsid w:val="000D2F77"/>
    <w:rsid w:val="000D3211"/>
    <w:rsid w:val="000D3D20"/>
    <w:rsid w:val="000D3FD3"/>
    <w:rsid w:val="000D3FF6"/>
    <w:rsid w:val="000D401A"/>
    <w:rsid w:val="000D4113"/>
    <w:rsid w:val="000D4180"/>
    <w:rsid w:val="000D4217"/>
    <w:rsid w:val="000D4277"/>
    <w:rsid w:val="000D42F5"/>
    <w:rsid w:val="000D44B7"/>
    <w:rsid w:val="000D4F55"/>
    <w:rsid w:val="000D5339"/>
    <w:rsid w:val="000D5C6E"/>
    <w:rsid w:val="000D623A"/>
    <w:rsid w:val="000D665D"/>
    <w:rsid w:val="000D6676"/>
    <w:rsid w:val="000D7714"/>
    <w:rsid w:val="000D7A18"/>
    <w:rsid w:val="000D7EAF"/>
    <w:rsid w:val="000E011B"/>
    <w:rsid w:val="000E058E"/>
    <w:rsid w:val="000E0603"/>
    <w:rsid w:val="000E08B0"/>
    <w:rsid w:val="000E11CC"/>
    <w:rsid w:val="000E14E9"/>
    <w:rsid w:val="000E151D"/>
    <w:rsid w:val="000E1E8C"/>
    <w:rsid w:val="000E20E1"/>
    <w:rsid w:val="000E2200"/>
    <w:rsid w:val="000E2ECC"/>
    <w:rsid w:val="000E2EFD"/>
    <w:rsid w:val="000E302D"/>
    <w:rsid w:val="000E3055"/>
    <w:rsid w:val="000E30DB"/>
    <w:rsid w:val="000E315F"/>
    <w:rsid w:val="000E345B"/>
    <w:rsid w:val="000E388C"/>
    <w:rsid w:val="000E38ED"/>
    <w:rsid w:val="000E39A9"/>
    <w:rsid w:val="000E3C3A"/>
    <w:rsid w:val="000E3E1B"/>
    <w:rsid w:val="000E3E71"/>
    <w:rsid w:val="000E4388"/>
    <w:rsid w:val="000E484C"/>
    <w:rsid w:val="000E4B30"/>
    <w:rsid w:val="000E4EA0"/>
    <w:rsid w:val="000E5244"/>
    <w:rsid w:val="000E530F"/>
    <w:rsid w:val="000E5636"/>
    <w:rsid w:val="000E589E"/>
    <w:rsid w:val="000E5AE6"/>
    <w:rsid w:val="000E61FC"/>
    <w:rsid w:val="000E62D9"/>
    <w:rsid w:val="000E639E"/>
    <w:rsid w:val="000E6854"/>
    <w:rsid w:val="000E69DF"/>
    <w:rsid w:val="000E6AEF"/>
    <w:rsid w:val="000E6B3B"/>
    <w:rsid w:val="000E71D9"/>
    <w:rsid w:val="000E759E"/>
    <w:rsid w:val="000E798F"/>
    <w:rsid w:val="000F0159"/>
    <w:rsid w:val="000F02A2"/>
    <w:rsid w:val="000F0501"/>
    <w:rsid w:val="000F06A5"/>
    <w:rsid w:val="000F09FC"/>
    <w:rsid w:val="000F0CCB"/>
    <w:rsid w:val="000F0D1F"/>
    <w:rsid w:val="000F118B"/>
    <w:rsid w:val="000F1773"/>
    <w:rsid w:val="000F183C"/>
    <w:rsid w:val="000F21A2"/>
    <w:rsid w:val="000F266B"/>
    <w:rsid w:val="000F2A14"/>
    <w:rsid w:val="000F2AC7"/>
    <w:rsid w:val="000F2B52"/>
    <w:rsid w:val="000F3011"/>
    <w:rsid w:val="000F33C5"/>
    <w:rsid w:val="000F3642"/>
    <w:rsid w:val="000F3C10"/>
    <w:rsid w:val="000F3D87"/>
    <w:rsid w:val="000F4090"/>
    <w:rsid w:val="000F41B6"/>
    <w:rsid w:val="000F41D7"/>
    <w:rsid w:val="000F42DD"/>
    <w:rsid w:val="000F4922"/>
    <w:rsid w:val="000F4FDF"/>
    <w:rsid w:val="000F5144"/>
    <w:rsid w:val="000F51CA"/>
    <w:rsid w:val="000F5461"/>
    <w:rsid w:val="000F5750"/>
    <w:rsid w:val="000F5BFC"/>
    <w:rsid w:val="000F5DCA"/>
    <w:rsid w:val="000F5DFA"/>
    <w:rsid w:val="000F60AE"/>
    <w:rsid w:val="000F6420"/>
    <w:rsid w:val="000F65F7"/>
    <w:rsid w:val="000F6644"/>
    <w:rsid w:val="000F6748"/>
    <w:rsid w:val="000F70A0"/>
    <w:rsid w:val="000F738F"/>
    <w:rsid w:val="000F739D"/>
    <w:rsid w:val="000F7557"/>
    <w:rsid w:val="000F782B"/>
    <w:rsid w:val="000F79EF"/>
    <w:rsid w:val="000F7A9E"/>
    <w:rsid w:val="000F7BBE"/>
    <w:rsid w:val="000F7C8F"/>
    <w:rsid w:val="001002B7"/>
    <w:rsid w:val="001007BF"/>
    <w:rsid w:val="0010095A"/>
    <w:rsid w:val="00100BF9"/>
    <w:rsid w:val="00100E25"/>
    <w:rsid w:val="00100F62"/>
    <w:rsid w:val="00101386"/>
    <w:rsid w:val="00101410"/>
    <w:rsid w:val="001017DF"/>
    <w:rsid w:val="00101BC1"/>
    <w:rsid w:val="00101D79"/>
    <w:rsid w:val="00102189"/>
    <w:rsid w:val="00102910"/>
    <w:rsid w:val="00102D6F"/>
    <w:rsid w:val="00102DFD"/>
    <w:rsid w:val="0010324C"/>
    <w:rsid w:val="001039D6"/>
    <w:rsid w:val="00103A5B"/>
    <w:rsid w:val="00103C35"/>
    <w:rsid w:val="001040B6"/>
    <w:rsid w:val="0010431C"/>
    <w:rsid w:val="00104503"/>
    <w:rsid w:val="00104B49"/>
    <w:rsid w:val="00104B90"/>
    <w:rsid w:val="00104BCB"/>
    <w:rsid w:val="00104BFA"/>
    <w:rsid w:val="00104F2D"/>
    <w:rsid w:val="001052C9"/>
    <w:rsid w:val="001052D2"/>
    <w:rsid w:val="0010552C"/>
    <w:rsid w:val="001057D0"/>
    <w:rsid w:val="00105849"/>
    <w:rsid w:val="001058E0"/>
    <w:rsid w:val="0010595C"/>
    <w:rsid w:val="001059F2"/>
    <w:rsid w:val="00105DD7"/>
    <w:rsid w:val="0010621F"/>
    <w:rsid w:val="0010638C"/>
    <w:rsid w:val="001066E0"/>
    <w:rsid w:val="0010691B"/>
    <w:rsid w:val="00106D31"/>
    <w:rsid w:val="00106D62"/>
    <w:rsid w:val="00106DFA"/>
    <w:rsid w:val="00107004"/>
    <w:rsid w:val="0010732E"/>
    <w:rsid w:val="001076EB"/>
    <w:rsid w:val="0010791E"/>
    <w:rsid w:val="00107F7A"/>
    <w:rsid w:val="00110106"/>
    <w:rsid w:val="0011096C"/>
    <w:rsid w:val="00110B81"/>
    <w:rsid w:val="00111292"/>
    <w:rsid w:val="001115F6"/>
    <w:rsid w:val="0011185E"/>
    <w:rsid w:val="00111E53"/>
    <w:rsid w:val="00112386"/>
    <w:rsid w:val="00112437"/>
    <w:rsid w:val="001126E3"/>
    <w:rsid w:val="00112945"/>
    <w:rsid w:val="00112A55"/>
    <w:rsid w:val="00112A7B"/>
    <w:rsid w:val="00112DD4"/>
    <w:rsid w:val="00112E1E"/>
    <w:rsid w:val="00112FC5"/>
    <w:rsid w:val="001137D5"/>
    <w:rsid w:val="00113875"/>
    <w:rsid w:val="0011394B"/>
    <w:rsid w:val="00113B8F"/>
    <w:rsid w:val="00113C22"/>
    <w:rsid w:val="00113FBF"/>
    <w:rsid w:val="00114431"/>
    <w:rsid w:val="001146B9"/>
    <w:rsid w:val="001148B1"/>
    <w:rsid w:val="00114944"/>
    <w:rsid w:val="00114DB4"/>
    <w:rsid w:val="00115160"/>
    <w:rsid w:val="0011537C"/>
    <w:rsid w:val="00115380"/>
    <w:rsid w:val="001154FD"/>
    <w:rsid w:val="00115958"/>
    <w:rsid w:val="0011598C"/>
    <w:rsid w:val="00115C23"/>
    <w:rsid w:val="00116228"/>
    <w:rsid w:val="001164E0"/>
    <w:rsid w:val="00116786"/>
    <w:rsid w:val="00116F6B"/>
    <w:rsid w:val="0011722B"/>
    <w:rsid w:val="00117315"/>
    <w:rsid w:val="00117CEB"/>
    <w:rsid w:val="00117FC7"/>
    <w:rsid w:val="00120330"/>
    <w:rsid w:val="00120490"/>
    <w:rsid w:val="001204A8"/>
    <w:rsid w:val="00120602"/>
    <w:rsid w:val="00120631"/>
    <w:rsid w:val="00120C13"/>
    <w:rsid w:val="00120F4D"/>
    <w:rsid w:val="001217A8"/>
    <w:rsid w:val="001218CE"/>
    <w:rsid w:val="00121AB9"/>
    <w:rsid w:val="00121C01"/>
    <w:rsid w:val="00122033"/>
    <w:rsid w:val="0012209C"/>
    <w:rsid w:val="001221AC"/>
    <w:rsid w:val="001225F2"/>
    <w:rsid w:val="00122811"/>
    <w:rsid w:val="00122979"/>
    <w:rsid w:val="00122B91"/>
    <w:rsid w:val="00122D32"/>
    <w:rsid w:val="00122E3C"/>
    <w:rsid w:val="001231CD"/>
    <w:rsid w:val="001235BA"/>
    <w:rsid w:val="00123AD1"/>
    <w:rsid w:val="00123BBC"/>
    <w:rsid w:val="00124018"/>
    <w:rsid w:val="00124084"/>
    <w:rsid w:val="0012424E"/>
    <w:rsid w:val="00124260"/>
    <w:rsid w:val="0012439D"/>
    <w:rsid w:val="00124514"/>
    <w:rsid w:val="00124AAB"/>
    <w:rsid w:val="00124B6F"/>
    <w:rsid w:val="00124BFE"/>
    <w:rsid w:val="00125174"/>
    <w:rsid w:val="001251D1"/>
    <w:rsid w:val="00125444"/>
    <w:rsid w:val="0012586B"/>
    <w:rsid w:val="00125E26"/>
    <w:rsid w:val="0012602B"/>
    <w:rsid w:val="001262AB"/>
    <w:rsid w:val="00126334"/>
    <w:rsid w:val="00126460"/>
    <w:rsid w:val="001264DB"/>
    <w:rsid w:val="00126919"/>
    <w:rsid w:val="00126A3B"/>
    <w:rsid w:val="00126C55"/>
    <w:rsid w:val="00126C7D"/>
    <w:rsid w:val="00126E08"/>
    <w:rsid w:val="00126FF2"/>
    <w:rsid w:val="00127177"/>
    <w:rsid w:val="001271AC"/>
    <w:rsid w:val="0012721E"/>
    <w:rsid w:val="0012725C"/>
    <w:rsid w:val="00127526"/>
    <w:rsid w:val="00127B3D"/>
    <w:rsid w:val="00127C90"/>
    <w:rsid w:val="00127CB9"/>
    <w:rsid w:val="0013018B"/>
    <w:rsid w:val="00130773"/>
    <w:rsid w:val="0013096F"/>
    <w:rsid w:val="001309EF"/>
    <w:rsid w:val="00130AC4"/>
    <w:rsid w:val="00131225"/>
    <w:rsid w:val="00131956"/>
    <w:rsid w:val="00131DD1"/>
    <w:rsid w:val="00132110"/>
    <w:rsid w:val="00132462"/>
    <w:rsid w:val="001325B8"/>
    <w:rsid w:val="001326A8"/>
    <w:rsid w:val="001326DC"/>
    <w:rsid w:val="0013296F"/>
    <w:rsid w:val="00132E2F"/>
    <w:rsid w:val="00133076"/>
    <w:rsid w:val="001330A1"/>
    <w:rsid w:val="0013314A"/>
    <w:rsid w:val="0013354E"/>
    <w:rsid w:val="0013395A"/>
    <w:rsid w:val="00133D7A"/>
    <w:rsid w:val="0013480C"/>
    <w:rsid w:val="00134915"/>
    <w:rsid w:val="001349DF"/>
    <w:rsid w:val="00134A22"/>
    <w:rsid w:val="00134BC3"/>
    <w:rsid w:val="00134C55"/>
    <w:rsid w:val="00134F1B"/>
    <w:rsid w:val="001353D4"/>
    <w:rsid w:val="00135868"/>
    <w:rsid w:val="001359E2"/>
    <w:rsid w:val="00135A79"/>
    <w:rsid w:val="00135AE6"/>
    <w:rsid w:val="00135DF2"/>
    <w:rsid w:val="00135E65"/>
    <w:rsid w:val="001364AF"/>
    <w:rsid w:val="00136BB8"/>
    <w:rsid w:val="0013702D"/>
    <w:rsid w:val="0013704F"/>
    <w:rsid w:val="00137125"/>
    <w:rsid w:val="00137A39"/>
    <w:rsid w:val="00137B51"/>
    <w:rsid w:val="00140056"/>
    <w:rsid w:val="00140143"/>
    <w:rsid w:val="001401A9"/>
    <w:rsid w:val="00140851"/>
    <w:rsid w:val="001409DB"/>
    <w:rsid w:val="00140A71"/>
    <w:rsid w:val="00140B0C"/>
    <w:rsid w:val="00140B62"/>
    <w:rsid w:val="00140CDB"/>
    <w:rsid w:val="001410A2"/>
    <w:rsid w:val="0014155E"/>
    <w:rsid w:val="00141A0B"/>
    <w:rsid w:val="00141B22"/>
    <w:rsid w:val="00141DBC"/>
    <w:rsid w:val="00141E15"/>
    <w:rsid w:val="001422CC"/>
    <w:rsid w:val="001427E0"/>
    <w:rsid w:val="001427F1"/>
    <w:rsid w:val="00142B73"/>
    <w:rsid w:val="00142D0B"/>
    <w:rsid w:val="00142EB1"/>
    <w:rsid w:val="001430BA"/>
    <w:rsid w:val="001433A3"/>
    <w:rsid w:val="0014371C"/>
    <w:rsid w:val="00143787"/>
    <w:rsid w:val="00143864"/>
    <w:rsid w:val="00143DA9"/>
    <w:rsid w:val="00143E03"/>
    <w:rsid w:val="00143E6F"/>
    <w:rsid w:val="00144044"/>
    <w:rsid w:val="0014421C"/>
    <w:rsid w:val="00144306"/>
    <w:rsid w:val="0014466B"/>
    <w:rsid w:val="00144994"/>
    <w:rsid w:val="00144C5C"/>
    <w:rsid w:val="00144F22"/>
    <w:rsid w:val="001451B5"/>
    <w:rsid w:val="00145246"/>
    <w:rsid w:val="001453A3"/>
    <w:rsid w:val="001456B8"/>
    <w:rsid w:val="00145A46"/>
    <w:rsid w:val="00145D0D"/>
    <w:rsid w:val="00145F7C"/>
    <w:rsid w:val="00145FF5"/>
    <w:rsid w:val="001462F2"/>
    <w:rsid w:val="0014644E"/>
    <w:rsid w:val="00146576"/>
    <w:rsid w:val="001465E0"/>
    <w:rsid w:val="001469F0"/>
    <w:rsid w:val="00146B74"/>
    <w:rsid w:val="00146BCC"/>
    <w:rsid w:val="00146E5D"/>
    <w:rsid w:val="001470BD"/>
    <w:rsid w:val="00147414"/>
    <w:rsid w:val="00147AFA"/>
    <w:rsid w:val="00147B2E"/>
    <w:rsid w:val="00147B45"/>
    <w:rsid w:val="00147E28"/>
    <w:rsid w:val="00147F69"/>
    <w:rsid w:val="00150345"/>
    <w:rsid w:val="00150371"/>
    <w:rsid w:val="001505BB"/>
    <w:rsid w:val="00150A56"/>
    <w:rsid w:val="00150D8F"/>
    <w:rsid w:val="00150E66"/>
    <w:rsid w:val="00150FAF"/>
    <w:rsid w:val="0015102C"/>
    <w:rsid w:val="00151181"/>
    <w:rsid w:val="001511F4"/>
    <w:rsid w:val="0015161A"/>
    <w:rsid w:val="0015182A"/>
    <w:rsid w:val="00151866"/>
    <w:rsid w:val="00151B3E"/>
    <w:rsid w:val="001522FC"/>
    <w:rsid w:val="00152522"/>
    <w:rsid w:val="00152793"/>
    <w:rsid w:val="001528CC"/>
    <w:rsid w:val="00152BF2"/>
    <w:rsid w:val="00152C2B"/>
    <w:rsid w:val="00152CBE"/>
    <w:rsid w:val="00152DB0"/>
    <w:rsid w:val="00152E97"/>
    <w:rsid w:val="0015331B"/>
    <w:rsid w:val="0015334C"/>
    <w:rsid w:val="001534CA"/>
    <w:rsid w:val="0015358E"/>
    <w:rsid w:val="00153793"/>
    <w:rsid w:val="00153CF5"/>
    <w:rsid w:val="001540DE"/>
    <w:rsid w:val="001544B7"/>
    <w:rsid w:val="0015465E"/>
    <w:rsid w:val="00154DB5"/>
    <w:rsid w:val="00155451"/>
    <w:rsid w:val="0015548B"/>
    <w:rsid w:val="001555B4"/>
    <w:rsid w:val="00155980"/>
    <w:rsid w:val="00155B35"/>
    <w:rsid w:val="00155CF5"/>
    <w:rsid w:val="0015606D"/>
    <w:rsid w:val="00156112"/>
    <w:rsid w:val="001566F3"/>
    <w:rsid w:val="00156795"/>
    <w:rsid w:val="001567E1"/>
    <w:rsid w:val="001568DD"/>
    <w:rsid w:val="00156994"/>
    <w:rsid w:val="00157376"/>
    <w:rsid w:val="001573A4"/>
    <w:rsid w:val="0015748C"/>
    <w:rsid w:val="001579F5"/>
    <w:rsid w:val="00157F14"/>
    <w:rsid w:val="00157F9B"/>
    <w:rsid w:val="001601E4"/>
    <w:rsid w:val="00160CF9"/>
    <w:rsid w:val="00160E3A"/>
    <w:rsid w:val="00161411"/>
    <w:rsid w:val="0016156A"/>
    <w:rsid w:val="00161674"/>
    <w:rsid w:val="00161DE8"/>
    <w:rsid w:val="001622D0"/>
    <w:rsid w:val="00162397"/>
    <w:rsid w:val="00162524"/>
    <w:rsid w:val="001625D4"/>
    <w:rsid w:val="001628C9"/>
    <w:rsid w:val="001628DA"/>
    <w:rsid w:val="00162F54"/>
    <w:rsid w:val="00163176"/>
    <w:rsid w:val="0016392D"/>
    <w:rsid w:val="001639FE"/>
    <w:rsid w:val="00163D8C"/>
    <w:rsid w:val="00163E30"/>
    <w:rsid w:val="00164121"/>
    <w:rsid w:val="001642CF"/>
    <w:rsid w:val="001643A8"/>
    <w:rsid w:val="0016477E"/>
    <w:rsid w:val="001647B4"/>
    <w:rsid w:val="00164A64"/>
    <w:rsid w:val="00164A80"/>
    <w:rsid w:val="00164AF0"/>
    <w:rsid w:val="00164C29"/>
    <w:rsid w:val="00164D27"/>
    <w:rsid w:val="00164D39"/>
    <w:rsid w:val="00164DE6"/>
    <w:rsid w:val="00164F93"/>
    <w:rsid w:val="00164FBE"/>
    <w:rsid w:val="00165B15"/>
    <w:rsid w:val="00165DA9"/>
    <w:rsid w:val="00165DAE"/>
    <w:rsid w:val="00165F30"/>
    <w:rsid w:val="001660CB"/>
    <w:rsid w:val="001660CC"/>
    <w:rsid w:val="001661B6"/>
    <w:rsid w:val="0016632D"/>
    <w:rsid w:val="0016655C"/>
    <w:rsid w:val="00166576"/>
    <w:rsid w:val="001667CB"/>
    <w:rsid w:val="001668C7"/>
    <w:rsid w:val="001668E4"/>
    <w:rsid w:val="001669EC"/>
    <w:rsid w:val="00166DA2"/>
    <w:rsid w:val="00166DB6"/>
    <w:rsid w:val="00166E00"/>
    <w:rsid w:val="00166F64"/>
    <w:rsid w:val="00167034"/>
    <w:rsid w:val="001671E4"/>
    <w:rsid w:val="00167625"/>
    <w:rsid w:val="00167717"/>
    <w:rsid w:val="001679A9"/>
    <w:rsid w:val="00167AC0"/>
    <w:rsid w:val="00167D9F"/>
    <w:rsid w:val="00167E93"/>
    <w:rsid w:val="0017015D"/>
    <w:rsid w:val="00170269"/>
    <w:rsid w:val="00170DF3"/>
    <w:rsid w:val="0017101E"/>
    <w:rsid w:val="0017102C"/>
    <w:rsid w:val="001718F5"/>
    <w:rsid w:val="001719C3"/>
    <w:rsid w:val="001723C3"/>
    <w:rsid w:val="00172476"/>
    <w:rsid w:val="00172598"/>
    <w:rsid w:val="001728BE"/>
    <w:rsid w:val="00172C09"/>
    <w:rsid w:val="00172CFE"/>
    <w:rsid w:val="00172FCA"/>
    <w:rsid w:val="00173019"/>
    <w:rsid w:val="001731A6"/>
    <w:rsid w:val="001731CA"/>
    <w:rsid w:val="00173776"/>
    <w:rsid w:val="001737A5"/>
    <w:rsid w:val="00173932"/>
    <w:rsid w:val="00173A58"/>
    <w:rsid w:val="00173EC4"/>
    <w:rsid w:val="001742C4"/>
    <w:rsid w:val="00174546"/>
    <w:rsid w:val="001745CB"/>
    <w:rsid w:val="00174647"/>
    <w:rsid w:val="00174E1D"/>
    <w:rsid w:val="0017514F"/>
    <w:rsid w:val="00175155"/>
    <w:rsid w:val="00175AC8"/>
    <w:rsid w:val="00175B58"/>
    <w:rsid w:val="001763C5"/>
    <w:rsid w:val="00176A3E"/>
    <w:rsid w:val="00176B08"/>
    <w:rsid w:val="00176E5A"/>
    <w:rsid w:val="001771FA"/>
    <w:rsid w:val="00177224"/>
    <w:rsid w:val="00177C12"/>
    <w:rsid w:val="001807B3"/>
    <w:rsid w:val="00180C1D"/>
    <w:rsid w:val="00181682"/>
    <w:rsid w:val="00182141"/>
    <w:rsid w:val="001825C1"/>
    <w:rsid w:val="00182A95"/>
    <w:rsid w:val="00182C33"/>
    <w:rsid w:val="00182C51"/>
    <w:rsid w:val="00182D03"/>
    <w:rsid w:val="00183049"/>
    <w:rsid w:val="00183199"/>
    <w:rsid w:val="0018352E"/>
    <w:rsid w:val="00183AA6"/>
    <w:rsid w:val="00183DF0"/>
    <w:rsid w:val="00184148"/>
    <w:rsid w:val="0018482B"/>
    <w:rsid w:val="00184A4A"/>
    <w:rsid w:val="00184F21"/>
    <w:rsid w:val="00184F67"/>
    <w:rsid w:val="001856CF"/>
    <w:rsid w:val="0018578B"/>
    <w:rsid w:val="00185F72"/>
    <w:rsid w:val="0018650B"/>
    <w:rsid w:val="00186715"/>
    <w:rsid w:val="00186841"/>
    <w:rsid w:val="00186933"/>
    <w:rsid w:val="00186C01"/>
    <w:rsid w:val="00187055"/>
    <w:rsid w:val="00187896"/>
    <w:rsid w:val="00187901"/>
    <w:rsid w:val="001879A8"/>
    <w:rsid w:val="00187CE5"/>
    <w:rsid w:val="00187D9B"/>
    <w:rsid w:val="001909F1"/>
    <w:rsid w:val="00190D87"/>
    <w:rsid w:val="001910DF"/>
    <w:rsid w:val="0019110A"/>
    <w:rsid w:val="0019132D"/>
    <w:rsid w:val="001915E9"/>
    <w:rsid w:val="0019176D"/>
    <w:rsid w:val="001918C1"/>
    <w:rsid w:val="001918EE"/>
    <w:rsid w:val="00191B6B"/>
    <w:rsid w:val="0019209B"/>
    <w:rsid w:val="001924DB"/>
    <w:rsid w:val="001925D5"/>
    <w:rsid w:val="0019271F"/>
    <w:rsid w:val="001928CF"/>
    <w:rsid w:val="00192EBC"/>
    <w:rsid w:val="001931C8"/>
    <w:rsid w:val="001932D3"/>
    <w:rsid w:val="00193412"/>
    <w:rsid w:val="00193777"/>
    <w:rsid w:val="001937F0"/>
    <w:rsid w:val="001938AC"/>
    <w:rsid w:val="00194009"/>
    <w:rsid w:val="00194126"/>
    <w:rsid w:val="00194128"/>
    <w:rsid w:val="001946F0"/>
    <w:rsid w:val="001948D7"/>
    <w:rsid w:val="00194CBD"/>
    <w:rsid w:val="00194EE9"/>
    <w:rsid w:val="001950EF"/>
    <w:rsid w:val="0019514B"/>
    <w:rsid w:val="0019535F"/>
    <w:rsid w:val="001953EB"/>
    <w:rsid w:val="001954ED"/>
    <w:rsid w:val="00195820"/>
    <w:rsid w:val="00196352"/>
    <w:rsid w:val="00196ECE"/>
    <w:rsid w:val="00196F58"/>
    <w:rsid w:val="00196F9C"/>
    <w:rsid w:val="0019705F"/>
    <w:rsid w:val="00197724"/>
    <w:rsid w:val="00197738"/>
    <w:rsid w:val="00197954"/>
    <w:rsid w:val="00197FF3"/>
    <w:rsid w:val="001A0078"/>
    <w:rsid w:val="001A046C"/>
    <w:rsid w:val="001A0813"/>
    <w:rsid w:val="001A0D8E"/>
    <w:rsid w:val="001A0DCA"/>
    <w:rsid w:val="001A0FA7"/>
    <w:rsid w:val="001A17E5"/>
    <w:rsid w:val="001A18AC"/>
    <w:rsid w:val="001A1D1F"/>
    <w:rsid w:val="001A1E6D"/>
    <w:rsid w:val="001A2601"/>
    <w:rsid w:val="001A276D"/>
    <w:rsid w:val="001A2A19"/>
    <w:rsid w:val="001A2AEC"/>
    <w:rsid w:val="001A2C4C"/>
    <w:rsid w:val="001A2F59"/>
    <w:rsid w:val="001A3032"/>
    <w:rsid w:val="001A3221"/>
    <w:rsid w:val="001A3223"/>
    <w:rsid w:val="001A3585"/>
    <w:rsid w:val="001A37C4"/>
    <w:rsid w:val="001A3821"/>
    <w:rsid w:val="001A3F88"/>
    <w:rsid w:val="001A4558"/>
    <w:rsid w:val="001A4761"/>
    <w:rsid w:val="001A4A39"/>
    <w:rsid w:val="001A4B7A"/>
    <w:rsid w:val="001A4B7E"/>
    <w:rsid w:val="001A4F0E"/>
    <w:rsid w:val="001A500E"/>
    <w:rsid w:val="001A506C"/>
    <w:rsid w:val="001A5134"/>
    <w:rsid w:val="001A5169"/>
    <w:rsid w:val="001A523D"/>
    <w:rsid w:val="001A57B2"/>
    <w:rsid w:val="001A5CCB"/>
    <w:rsid w:val="001A60E3"/>
    <w:rsid w:val="001A63A7"/>
    <w:rsid w:val="001A63F0"/>
    <w:rsid w:val="001A641B"/>
    <w:rsid w:val="001A68EA"/>
    <w:rsid w:val="001A6954"/>
    <w:rsid w:val="001A69DD"/>
    <w:rsid w:val="001A6A38"/>
    <w:rsid w:val="001A70E7"/>
    <w:rsid w:val="001A7134"/>
    <w:rsid w:val="001A71B5"/>
    <w:rsid w:val="001A7656"/>
    <w:rsid w:val="001A76EB"/>
    <w:rsid w:val="001A7ACB"/>
    <w:rsid w:val="001A7B16"/>
    <w:rsid w:val="001A7B74"/>
    <w:rsid w:val="001A7D94"/>
    <w:rsid w:val="001A7FCC"/>
    <w:rsid w:val="001B0532"/>
    <w:rsid w:val="001B0587"/>
    <w:rsid w:val="001B0627"/>
    <w:rsid w:val="001B07E8"/>
    <w:rsid w:val="001B086D"/>
    <w:rsid w:val="001B0AF1"/>
    <w:rsid w:val="001B0BCF"/>
    <w:rsid w:val="001B0DEB"/>
    <w:rsid w:val="001B0FAF"/>
    <w:rsid w:val="001B1328"/>
    <w:rsid w:val="001B16E9"/>
    <w:rsid w:val="001B1B5D"/>
    <w:rsid w:val="001B1D84"/>
    <w:rsid w:val="001B1DB9"/>
    <w:rsid w:val="001B1F83"/>
    <w:rsid w:val="001B24D1"/>
    <w:rsid w:val="001B2902"/>
    <w:rsid w:val="001B2A3A"/>
    <w:rsid w:val="001B2D71"/>
    <w:rsid w:val="001B32E2"/>
    <w:rsid w:val="001B384A"/>
    <w:rsid w:val="001B399F"/>
    <w:rsid w:val="001B3D35"/>
    <w:rsid w:val="001B3E5E"/>
    <w:rsid w:val="001B3F16"/>
    <w:rsid w:val="001B4326"/>
    <w:rsid w:val="001B4491"/>
    <w:rsid w:val="001B4535"/>
    <w:rsid w:val="001B4A1C"/>
    <w:rsid w:val="001B4F2A"/>
    <w:rsid w:val="001B513C"/>
    <w:rsid w:val="001B5337"/>
    <w:rsid w:val="001B54D5"/>
    <w:rsid w:val="001B54EE"/>
    <w:rsid w:val="001B55F4"/>
    <w:rsid w:val="001B58DF"/>
    <w:rsid w:val="001B5FAD"/>
    <w:rsid w:val="001B644E"/>
    <w:rsid w:val="001B6C4D"/>
    <w:rsid w:val="001B6CF3"/>
    <w:rsid w:val="001B6FDD"/>
    <w:rsid w:val="001B713B"/>
    <w:rsid w:val="001B7190"/>
    <w:rsid w:val="001B758D"/>
    <w:rsid w:val="001B76A1"/>
    <w:rsid w:val="001B7767"/>
    <w:rsid w:val="001B7A9C"/>
    <w:rsid w:val="001B7FB7"/>
    <w:rsid w:val="001B7FD9"/>
    <w:rsid w:val="001C002A"/>
    <w:rsid w:val="001C01DA"/>
    <w:rsid w:val="001C0522"/>
    <w:rsid w:val="001C0588"/>
    <w:rsid w:val="001C0A31"/>
    <w:rsid w:val="001C0D2B"/>
    <w:rsid w:val="001C15E2"/>
    <w:rsid w:val="001C1825"/>
    <w:rsid w:val="001C1EB8"/>
    <w:rsid w:val="001C1ED9"/>
    <w:rsid w:val="001C2455"/>
    <w:rsid w:val="001C2A79"/>
    <w:rsid w:val="001C2E8A"/>
    <w:rsid w:val="001C2F3A"/>
    <w:rsid w:val="001C2F79"/>
    <w:rsid w:val="001C325E"/>
    <w:rsid w:val="001C347D"/>
    <w:rsid w:val="001C3DDA"/>
    <w:rsid w:val="001C3F7B"/>
    <w:rsid w:val="001C42F9"/>
    <w:rsid w:val="001C4381"/>
    <w:rsid w:val="001C45A7"/>
    <w:rsid w:val="001C4640"/>
    <w:rsid w:val="001C479B"/>
    <w:rsid w:val="001C4813"/>
    <w:rsid w:val="001C4B1F"/>
    <w:rsid w:val="001C4B8F"/>
    <w:rsid w:val="001C4B9D"/>
    <w:rsid w:val="001C4D73"/>
    <w:rsid w:val="001C50F6"/>
    <w:rsid w:val="001C51B2"/>
    <w:rsid w:val="001C547A"/>
    <w:rsid w:val="001C57B3"/>
    <w:rsid w:val="001C5CD5"/>
    <w:rsid w:val="001C6535"/>
    <w:rsid w:val="001C72FE"/>
    <w:rsid w:val="001C7E26"/>
    <w:rsid w:val="001D00D9"/>
    <w:rsid w:val="001D030A"/>
    <w:rsid w:val="001D085D"/>
    <w:rsid w:val="001D16CF"/>
    <w:rsid w:val="001D1822"/>
    <w:rsid w:val="001D1C93"/>
    <w:rsid w:val="001D1CF8"/>
    <w:rsid w:val="001D1EC1"/>
    <w:rsid w:val="001D1ED1"/>
    <w:rsid w:val="001D2069"/>
    <w:rsid w:val="001D208A"/>
    <w:rsid w:val="001D2232"/>
    <w:rsid w:val="001D225D"/>
    <w:rsid w:val="001D251D"/>
    <w:rsid w:val="001D2570"/>
    <w:rsid w:val="001D2C8F"/>
    <w:rsid w:val="001D30FA"/>
    <w:rsid w:val="001D34EE"/>
    <w:rsid w:val="001D3A34"/>
    <w:rsid w:val="001D3B9D"/>
    <w:rsid w:val="001D3E54"/>
    <w:rsid w:val="001D3F60"/>
    <w:rsid w:val="001D433C"/>
    <w:rsid w:val="001D46D6"/>
    <w:rsid w:val="001D46F3"/>
    <w:rsid w:val="001D46FA"/>
    <w:rsid w:val="001D47BE"/>
    <w:rsid w:val="001D4A29"/>
    <w:rsid w:val="001D4ADC"/>
    <w:rsid w:val="001D4B09"/>
    <w:rsid w:val="001D4BA1"/>
    <w:rsid w:val="001D534D"/>
    <w:rsid w:val="001D579A"/>
    <w:rsid w:val="001D57C2"/>
    <w:rsid w:val="001D5ADE"/>
    <w:rsid w:val="001D5C96"/>
    <w:rsid w:val="001D60D7"/>
    <w:rsid w:val="001D64ED"/>
    <w:rsid w:val="001D6566"/>
    <w:rsid w:val="001D6835"/>
    <w:rsid w:val="001D6983"/>
    <w:rsid w:val="001D6DBF"/>
    <w:rsid w:val="001D7210"/>
    <w:rsid w:val="001D733D"/>
    <w:rsid w:val="001D743F"/>
    <w:rsid w:val="001D763B"/>
    <w:rsid w:val="001D7656"/>
    <w:rsid w:val="001D7B39"/>
    <w:rsid w:val="001E0687"/>
    <w:rsid w:val="001E0943"/>
    <w:rsid w:val="001E0A75"/>
    <w:rsid w:val="001E0B3F"/>
    <w:rsid w:val="001E0B49"/>
    <w:rsid w:val="001E0C50"/>
    <w:rsid w:val="001E0C7C"/>
    <w:rsid w:val="001E0E09"/>
    <w:rsid w:val="001E1392"/>
    <w:rsid w:val="001E17EE"/>
    <w:rsid w:val="001E1AA1"/>
    <w:rsid w:val="001E1B63"/>
    <w:rsid w:val="001E1BC4"/>
    <w:rsid w:val="001E1DF0"/>
    <w:rsid w:val="001E2315"/>
    <w:rsid w:val="001E2512"/>
    <w:rsid w:val="001E2627"/>
    <w:rsid w:val="001E264D"/>
    <w:rsid w:val="001E277B"/>
    <w:rsid w:val="001E2929"/>
    <w:rsid w:val="001E2ABF"/>
    <w:rsid w:val="001E2E1D"/>
    <w:rsid w:val="001E319B"/>
    <w:rsid w:val="001E3760"/>
    <w:rsid w:val="001E3893"/>
    <w:rsid w:val="001E3D77"/>
    <w:rsid w:val="001E3ED4"/>
    <w:rsid w:val="001E42AD"/>
    <w:rsid w:val="001E4759"/>
    <w:rsid w:val="001E47A9"/>
    <w:rsid w:val="001E488E"/>
    <w:rsid w:val="001E4946"/>
    <w:rsid w:val="001E4B3C"/>
    <w:rsid w:val="001E4E2F"/>
    <w:rsid w:val="001E51D9"/>
    <w:rsid w:val="001E5634"/>
    <w:rsid w:val="001E572D"/>
    <w:rsid w:val="001E578E"/>
    <w:rsid w:val="001E5955"/>
    <w:rsid w:val="001E5AB2"/>
    <w:rsid w:val="001E5D3B"/>
    <w:rsid w:val="001E5D81"/>
    <w:rsid w:val="001E5F7F"/>
    <w:rsid w:val="001E6053"/>
    <w:rsid w:val="001E62AD"/>
    <w:rsid w:val="001E631C"/>
    <w:rsid w:val="001E633F"/>
    <w:rsid w:val="001E6908"/>
    <w:rsid w:val="001E6D3A"/>
    <w:rsid w:val="001E6EEA"/>
    <w:rsid w:val="001E7086"/>
    <w:rsid w:val="001E7235"/>
    <w:rsid w:val="001E7555"/>
    <w:rsid w:val="001E7599"/>
    <w:rsid w:val="001E78E4"/>
    <w:rsid w:val="001E7BBB"/>
    <w:rsid w:val="001E7EB7"/>
    <w:rsid w:val="001F0027"/>
    <w:rsid w:val="001F017E"/>
    <w:rsid w:val="001F03C4"/>
    <w:rsid w:val="001F03D4"/>
    <w:rsid w:val="001F04B1"/>
    <w:rsid w:val="001F05B4"/>
    <w:rsid w:val="001F09FB"/>
    <w:rsid w:val="001F0B51"/>
    <w:rsid w:val="001F0BB6"/>
    <w:rsid w:val="001F10A1"/>
    <w:rsid w:val="001F1187"/>
    <w:rsid w:val="001F1504"/>
    <w:rsid w:val="001F1693"/>
    <w:rsid w:val="001F19ED"/>
    <w:rsid w:val="001F1C87"/>
    <w:rsid w:val="001F1D60"/>
    <w:rsid w:val="001F1D61"/>
    <w:rsid w:val="001F2160"/>
    <w:rsid w:val="001F2C82"/>
    <w:rsid w:val="001F2D5F"/>
    <w:rsid w:val="001F2F0A"/>
    <w:rsid w:val="001F3254"/>
    <w:rsid w:val="001F33E3"/>
    <w:rsid w:val="001F35DB"/>
    <w:rsid w:val="001F3A9D"/>
    <w:rsid w:val="001F3AA1"/>
    <w:rsid w:val="001F3BD3"/>
    <w:rsid w:val="001F3C57"/>
    <w:rsid w:val="001F3E66"/>
    <w:rsid w:val="001F3FCE"/>
    <w:rsid w:val="001F4318"/>
    <w:rsid w:val="001F4384"/>
    <w:rsid w:val="001F4462"/>
    <w:rsid w:val="001F4BEC"/>
    <w:rsid w:val="001F4E4C"/>
    <w:rsid w:val="001F4F6D"/>
    <w:rsid w:val="001F50B6"/>
    <w:rsid w:val="001F5248"/>
    <w:rsid w:val="001F546C"/>
    <w:rsid w:val="001F56AF"/>
    <w:rsid w:val="001F5B3C"/>
    <w:rsid w:val="001F6317"/>
    <w:rsid w:val="001F659F"/>
    <w:rsid w:val="001F6B09"/>
    <w:rsid w:val="001F6D12"/>
    <w:rsid w:val="001F6D65"/>
    <w:rsid w:val="001F73EF"/>
    <w:rsid w:val="001F7AF9"/>
    <w:rsid w:val="001F7B3F"/>
    <w:rsid w:val="00200276"/>
    <w:rsid w:val="002002F7"/>
    <w:rsid w:val="002003FB"/>
    <w:rsid w:val="002005A1"/>
    <w:rsid w:val="0020094D"/>
    <w:rsid w:val="002009B8"/>
    <w:rsid w:val="00201242"/>
    <w:rsid w:val="00201506"/>
    <w:rsid w:val="002016BC"/>
    <w:rsid w:val="00201946"/>
    <w:rsid w:val="00201F26"/>
    <w:rsid w:val="0020231D"/>
    <w:rsid w:val="002027ED"/>
    <w:rsid w:val="00202ABC"/>
    <w:rsid w:val="00202ADA"/>
    <w:rsid w:val="00202CD9"/>
    <w:rsid w:val="00202EA5"/>
    <w:rsid w:val="002030BA"/>
    <w:rsid w:val="0020342F"/>
    <w:rsid w:val="002038AE"/>
    <w:rsid w:val="0020393B"/>
    <w:rsid w:val="00203E54"/>
    <w:rsid w:val="002044DB"/>
    <w:rsid w:val="0020493A"/>
    <w:rsid w:val="00204B5A"/>
    <w:rsid w:val="002053CE"/>
    <w:rsid w:val="00205602"/>
    <w:rsid w:val="00205659"/>
    <w:rsid w:val="00205852"/>
    <w:rsid w:val="00205A0C"/>
    <w:rsid w:val="00205C62"/>
    <w:rsid w:val="00205DCF"/>
    <w:rsid w:val="00205EDA"/>
    <w:rsid w:val="002062F7"/>
    <w:rsid w:val="002063C7"/>
    <w:rsid w:val="0020640C"/>
    <w:rsid w:val="0020653C"/>
    <w:rsid w:val="0020661E"/>
    <w:rsid w:val="0020687E"/>
    <w:rsid w:val="002068C6"/>
    <w:rsid w:val="00206E7B"/>
    <w:rsid w:val="0020715D"/>
    <w:rsid w:val="00207184"/>
    <w:rsid w:val="00207206"/>
    <w:rsid w:val="00207224"/>
    <w:rsid w:val="00207337"/>
    <w:rsid w:val="0020746E"/>
    <w:rsid w:val="002075DE"/>
    <w:rsid w:val="00207A7D"/>
    <w:rsid w:val="00207D58"/>
    <w:rsid w:val="00210104"/>
    <w:rsid w:val="002104A9"/>
    <w:rsid w:val="00210929"/>
    <w:rsid w:val="00210BDE"/>
    <w:rsid w:val="00210F2B"/>
    <w:rsid w:val="00210F74"/>
    <w:rsid w:val="002115B5"/>
    <w:rsid w:val="002115C3"/>
    <w:rsid w:val="00211A8C"/>
    <w:rsid w:val="00211ACD"/>
    <w:rsid w:val="00211C03"/>
    <w:rsid w:val="00211CD2"/>
    <w:rsid w:val="002122B6"/>
    <w:rsid w:val="00212500"/>
    <w:rsid w:val="0021253C"/>
    <w:rsid w:val="00212547"/>
    <w:rsid w:val="00212588"/>
    <w:rsid w:val="00212714"/>
    <w:rsid w:val="0021292D"/>
    <w:rsid w:val="0021299F"/>
    <w:rsid w:val="00212B28"/>
    <w:rsid w:val="00212E37"/>
    <w:rsid w:val="00212F36"/>
    <w:rsid w:val="002132BF"/>
    <w:rsid w:val="00213A5A"/>
    <w:rsid w:val="00213F62"/>
    <w:rsid w:val="00214BCA"/>
    <w:rsid w:val="002154A6"/>
    <w:rsid w:val="00215564"/>
    <w:rsid w:val="00215630"/>
    <w:rsid w:val="00215A7C"/>
    <w:rsid w:val="00215C3D"/>
    <w:rsid w:val="00215D40"/>
    <w:rsid w:val="00216065"/>
    <w:rsid w:val="00216081"/>
    <w:rsid w:val="002164E9"/>
    <w:rsid w:val="00216C72"/>
    <w:rsid w:val="00216DCD"/>
    <w:rsid w:val="00216DCF"/>
    <w:rsid w:val="00216FAC"/>
    <w:rsid w:val="0021704A"/>
    <w:rsid w:val="002173DB"/>
    <w:rsid w:val="0021782A"/>
    <w:rsid w:val="00217A8A"/>
    <w:rsid w:val="00217C02"/>
    <w:rsid w:val="002200F9"/>
    <w:rsid w:val="00220477"/>
    <w:rsid w:val="00220669"/>
    <w:rsid w:val="00220E48"/>
    <w:rsid w:val="00220E70"/>
    <w:rsid w:val="00220E7C"/>
    <w:rsid w:val="00220F70"/>
    <w:rsid w:val="00220F94"/>
    <w:rsid w:val="00221007"/>
    <w:rsid w:val="0022111F"/>
    <w:rsid w:val="00221744"/>
    <w:rsid w:val="00221E2F"/>
    <w:rsid w:val="00221E66"/>
    <w:rsid w:val="0022216A"/>
    <w:rsid w:val="0022237E"/>
    <w:rsid w:val="0022242A"/>
    <w:rsid w:val="0022247C"/>
    <w:rsid w:val="0022262C"/>
    <w:rsid w:val="0022293D"/>
    <w:rsid w:val="00222F03"/>
    <w:rsid w:val="00223371"/>
    <w:rsid w:val="002236E8"/>
    <w:rsid w:val="002237D6"/>
    <w:rsid w:val="002238FD"/>
    <w:rsid w:val="00223CD9"/>
    <w:rsid w:val="00223D66"/>
    <w:rsid w:val="00224340"/>
    <w:rsid w:val="002245FA"/>
    <w:rsid w:val="00224861"/>
    <w:rsid w:val="00224947"/>
    <w:rsid w:val="002249BE"/>
    <w:rsid w:val="00224A9D"/>
    <w:rsid w:val="00224AFF"/>
    <w:rsid w:val="00224DAA"/>
    <w:rsid w:val="00224E8D"/>
    <w:rsid w:val="00224FBE"/>
    <w:rsid w:val="002256B7"/>
    <w:rsid w:val="00225A7D"/>
    <w:rsid w:val="00225E23"/>
    <w:rsid w:val="002260B1"/>
    <w:rsid w:val="0022656F"/>
    <w:rsid w:val="00226860"/>
    <w:rsid w:val="002270A7"/>
    <w:rsid w:val="00227231"/>
    <w:rsid w:val="0022793C"/>
    <w:rsid w:val="00227B0C"/>
    <w:rsid w:val="00227FBD"/>
    <w:rsid w:val="002300D0"/>
    <w:rsid w:val="0023015B"/>
    <w:rsid w:val="00230268"/>
    <w:rsid w:val="002305E4"/>
    <w:rsid w:val="002305E9"/>
    <w:rsid w:val="00230682"/>
    <w:rsid w:val="002308B4"/>
    <w:rsid w:val="00230966"/>
    <w:rsid w:val="00230A8A"/>
    <w:rsid w:val="00230C1E"/>
    <w:rsid w:val="00230DE7"/>
    <w:rsid w:val="00231826"/>
    <w:rsid w:val="00231BBA"/>
    <w:rsid w:val="00231CEF"/>
    <w:rsid w:val="00232ED6"/>
    <w:rsid w:val="00232EEB"/>
    <w:rsid w:val="00232F5F"/>
    <w:rsid w:val="00233073"/>
    <w:rsid w:val="00233181"/>
    <w:rsid w:val="00233202"/>
    <w:rsid w:val="00233406"/>
    <w:rsid w:val="00233691"/>
    <w:rsid w:val="00233DDB"/>
    <w:rsid w:val="00233F70"/>
    <w:rsid w:val="0023437B"/>
    <w:rsid w:val="002346EE"/>
    <w:rsid w:val="002348EB"/>
    <w:rsid w:val="00234B82"/>
    <w:rsid w:val="00234EC3"/>
    <w:rsid w:val="00235446"/>
    <w:rsid w:val="0023554D"/>
    <w:rsid w:val="00235B8F"/>
    <w:rsid w:val="00236ABA"/>
    <w:rsid w:val="00236D11"/>
    <w:rsid w:val="0023709C"/>
    <w:rsid w:val="0023710C"/>
    <w:rsid w:val="002372F5"/>
    <w:rsid w:val="00237A51"/>
    <w:rsid w:val="00237A93"/>
    <w:rsid w:val="00240107"/>
    <w:rsid w:val="00240406"/>
    <w:rsid w:val="00240433"/>
    <w:rsid w:val="002405D9"/>
    <w:rsid w:val="00240C04"/>
    <w:rsid w:val="00241153"/>
    <w:rsid w:val="002413CE"/>
    <w:rsid w:val="0024145B"/>
    <w:rsid w:val="00241583"/>
    <w:rsid w:val="00241683"/>
    <w:rsid w:val="00241747"/>
    <w:rsid w:val="00241815"/>
    <w:rsid w:val="00241A4A"/>
    <w:rsid w:val="00241CD4"/>
    <w:rsid w:val="00242209"/>
    <w:rsid w:val="002424BE"/>
    <w:rsid w:val="002426B1"/>
    <w:rsid w:val="00242A08"/>
    <w:rsid w:val="00242AE5"/>
    <w:rsid w:val="00242FC3"/>
    <w:rsid w:val="0024315F"/>
    <w:rsid w:val="0024319E"/>
    <w:rsid w:val="0024357C"/>
    <w:rsid w:val="00243EDE"/>
    <w:rsid w:val="00244721"/>
    <w:rsid w:val="002447C8"/>
    <w:rsid w:val="0024500B"/>
    <w:rsid w:val="002452E9"/>
    <w:rsid w:val="002453C3"/>
    <w:rsid w:val="0024553E"/>
    <w:rsid w:val="00245909"/>
    <w:rsid w:val="0024595B"/>
    <w:rsid w:val="00246347"/>
    <w:rsid w:val="002463C1"/>
    <w:rsid w:val="00246638"/>
    <w:rsid w:val="00246825"/>
    <w:rsid w:val="00246956"/>
    <w:rsid w:val="00246B2F"/>
    <w:rsid w:val="00246F2A"/>
    <w:rsid w:val="002472EC"/>
    <w:rsid w:val="00247644"/>
    <w:rsid w:val="00247809"/>
    <w:rsid w:val="00247D52"/>
    <w:rsid w:val="00247F60"/>
    <w:rsid w:val="0025016D"/>
    <w:rsid w:val="0025060F"/>
    <w:rsid w:val="00250774"/>
    <w:rsid w:val="00250AC2"/>
    <w:rsid w:val="00250DD6"/>
    <w:rsid w:val="00250ED3"/>
    <w:rsid w:val="00250F7C"/>
    <w:rsid w:val="00250FD5"/>
    <w:rsid w:val="002514CA"/>
    <w:rsid w:val="00251713"/>
    <w:rsid w:val="00251AD4"/>
    <w:rsid w:val="00251BE1"/>
    <w:rsid w:val="00251C90"/>
    <w:rsid w:val="00252278"/>
    <w:rsid w:val="00252A26"/>
    <w:rsid w:val="00252AEA"/>
    <w:rsid w:val="00252DAF"/>
    <w:rsid w:val="0025313E"/>
    <w:rsid w:val="00253255"/>
    <w:rsid w:val="0025364D"/>
    <w:rsid w:val="00253E64"/>
    <w:rsid w:val="00254070"/>
    <w:rsid w:val="00254294"/>
    <w:rsid w:val="0025497A"/>
    <w:rsid w:val="00254E5E"/>
    <w:rsid w:val="002550B7"/>
    <w:rsid w:val="00255135"/>
    <w:rsid w:val="00255145"/>
    <w:rsid w:val="00255899"/>
    <w:rsid w:val="00255A30"/>
    <w:rsid w:val="0025616E"/>
    <w:rsid w:val="0025622E"/>
    <w:rsid w:val="00256BE5"/>
    <w:rsid w:val="00256DE3"/>
    <w:rsid w:val="00256EA9"/>
    <w:rsid w:val="00256F77"/>
    <w:rsid w:val="0025705C"/>
    <w:rsid w:val="0025726E"/>
    <w:rsid w:val="00257472"/>
    <w:rsid w:val="002576A9"/>
    <w:rsid w:val="00257857"/>
    <w:rsid w:val="00257B4C"/>
    <w:rsid w:val="00257D48"/>
    <w:rsid w:val="00257E68"/>
    <w:rsid w:val="00260389"/>
    <w:rsid w:val="002603F1"/>
    <w:rsid w:val="00260799"/>
    <w:rsid w:val="00260810"/>
    <w:rsid w:val="00260874"/>
    <w:rsid w:val="00260E1E"/>
    <w:rsid w:val="0026116C"/>
    <w:rsid w:val="0026162C"/>
    <w:rsid w:val="00261ABE"/>
    <w:rsid w:val="0026206C"/>
    <w:rsid w:val="00262316"/>
    <w:rsid w:val="00262438"/>
    <w:rsid w:val="00262961"/>
    <w:rsid w:val="00262C07"/>
    <w:rsid w:val="00262DB1"/>
    <w:rsid w:val="00262DFD"/>
    <w:rsid w:val="00262EDC"/>
    <w:rsid w:val="00263214"/>
    <w:rsid w:val="00263339"/>
    <w:rsid w:val="002634CC"/>
    <w:rsid w:val="00263D62"/>
    <w:rsid w:val="00264532"/>
    <w:rsid w:val="00264545"/>
    <w:rsid w:val="00264587"/>
    <w:rsid w:val="002645F2"/>
    <w:rsid w:val="002647AD"/>
    <w:rsid w:val="00264A3B"/>
    <w:rsid w:val="00264D2F"/>
    <w:rsid w:val="00264EC6"/>
    <w:rsid w:val="002659B4"/>
    <w:rsid w:val="00265F13"/>
    <w:rsid w:val="0026607C"/>
    <w:rsid w:val="00266400"/>
    <w:rsid w:val="002664C7"/>
    <w:rsid w:val="00266581"/>
    <w:rsid w:val="0026680A"/>
    <w:rsid w:val="0026716D"/>
    <w:rsid w:val="00267622"/>
    <w:rsid w:val="002676B5"/>
    <w:rsid w:val="002679F3"/>
    <w:rsid w:val="00267AEE"/>
    <w:rsid w:val="00267D8D"/>
    <w:rsid w:val="00270070"/>
    <w:rsid w:val="00270113"/>
    <w:rsid w:val="00270235"/>
    <w:rsid w:val="002702D8"/>
    <w:rsid w:val="00270912"/>
    <w:rsid w:val="00270AB3"/>
    <w:rsid w:val="00270DE2"/>
    <w:rsid w:val="00270E1D"/>
    <w:rsid w:val="00270F69"/>
    <w:rsid w:val="002710F1"/>
    <w:rsid w:val="00271522"/>
    <w:rsid w:val="002716E4"/>
    <w:rsid w:val="00271874"/>
    <w:rsid w:val="00271A30"/>
    <w:rsid w:val="00271D5B"/>
    <w:rsid w:val="0027235E"/>
    <w:rsid w:val="002723B9"/>
    <w:rsid w:val="00272485"/>
    <w:rsid w:val="00272741"/>
    <w:rsid w:val="002727A8"/>
    <w:rsid w:val="002728A7"/>
    <w:rsid w:val="00272E14"/>
    <w:rsid w:val="00272F34"/>
    <w:rsid w:val="00272FB2"/>
    <w:rsid w:val="00272FBB"/>
    <w:rsid w:val="0027319A"/>
    <w:rsid w:val="002734B2"/>
    <w:rsid w:val="0027360D"/>
    <w:rsid w:val="002737F8"/>
    <w:rsid w:val="002743FA"/>
    <w:rsid w:val="00274A14"/>
    <w:rsid w:val="00274CC8"/>
    <w:rsid w:val="00274D3B"/>
    <w:rsid w:val="00275047"/>
    <w:rsid w:val="0027506D"/>
    <w:rsid w:val="00275283"/>
    <w:rsid w:val="0027560B"/>
    <w:rsid w:val="0027588A"/>
    <w:rsid w:val="00275B53"/>
    <w:rsid w:val="00275CF8"/>
    <w:rsid w:val="00275F05"/>
    <w:rsid w:val="002766F5"/>
    <w:rsid w:val="00276701"/>
    <w:rsid w:val="002767B5"/>
    <w:rsid w:val="002768EE"/>
    <w:rsid w:val="00276A54"/>
    <w:rsid w:val="00276B6C"/>
    <w:rsid w:val="00276DF1"/>
    <w:rsid w:val="002771DA"/>
    <w:rsid w:val="002773E8"/>
    <w:rsid w:val="002776D9"/>
    <w:rsid w:val="00277709"/>
    <w:rsid w:val="00277840"/>
    <w:rsid w:val="002779D9"/>
    <w:rsid w:val="00277A0B"/>
    <w:rsid w:val="00277B12"/>
    <w:rsid w:val="00277C02"/>
    <w:rsid w:val="00277DE4"/>
    <w:rsid w:val="00280121"/>
    <w:rsid w:val="00280122"/>
    <w:rsid w:val="00280A9E"/>
    <w:rsid w:val="00280BB9"/>
    <w:rsid w:val="0028134E"/>
    <w:rsid w:val="00281A5D"/>
    <w:rsid w:val="00281B98"/>
    <w:rsid w:val="00281D12"/>
    <w:rsid w:val="00281E38"/>
    <w:rsid w:val="00281FFA"/>
    <w:rsid w:val="002820BF"/>
    <w:rsid w:val="002821EA"/>
    <w:rsid w:val="00282234"/>
    <w:rsid w:val="002823BC"/>
    <w:rsid w:val="00282406"/>
    <w:rsid w:val="002824C1"/>
    <w:rsid w:val="002828E5"/>
    <w:rsid w:val="00282B92"/>
    <w:rsid w:val="00282DC8"/>
    <w:rsid w:val="0028322A"/>
    <w:rsid w:val="002834BF"/>
    <w:rsid w:val="002836E3"/>
    <w:rsid w:val="002839D8"/>
    <w:rsid w:val="00283F70"/>
    <w:rsid w:val="00284145"/>
    <w:rsid w:val="002842C1"/>
    <w:rsid w:val="0028450E"/>
    <w:rsid w:val="00284615"/>
    <w:rsid w:val="0028464A"/>
    <w:rsid w:val="00284FA8"/>
    <w:rsid w:val="00284FD1"/>
    <w:rsid w:val="0028549D"/>
    <w:rsid w:val="0028584B"/>
    <w:rsid w:val="00285961"/>
    <w:rsid w:val="002859CF"/>
    <w:rsid w:val="00285DCA"/>
    <w:rsid w:val="00285E80"/>
    <w:rsid w:val="00285EB1"/>
    <w:rsid w:val="00286213"/>
    <w:rsid w:val="00286481"/>
    <w:rsid w:val="00286842"/>
    <w:rsid w:val="002869F1"/>
    <w:rsid w:val="00286C27"/>
    <w:rsid w:val="00286DFC"/>
    <w:rsid w:val="00286EB1"/>
    <w:rsid w:val="00287412"/>
    <w:rsid w:val="002876AD"/>
    <w:rsid w:val="002877E3"/>
    <w:rsid w:val="002879F2"/>
    <w:rsid w:val="002900DC"/>
    <w:rsid w:val="0029017B"/>
    <w:rsid w:val="00290637"/>
    <w:rsid w:val="00290B6E"/>
    <w:rsid w:val="00290ED8"/>
    <w:rsid w:val="002913EA"/>
    <w:rsid w:val="00291CFC"/>
    <w:rsid w:val="00291FC3"/>
    <w:rsid w:val="002920FC"/>
    <w:rsid w:val="002924FF"/>
    <w:rsid w:val="00292524"/>
    <w:rsid w:val="002925A7"/>
    <w:rsid w:val="00292A57"/>
    <w:rsid w:val="00292B77"/>
    <w:rsid w:val="00292D6D"/>
    <w:rsid w:val="0029304F"/>
    <w:rsid w:val="00293245"/>
    <w:rsid w:val="0029329D"/>
    <w:rsid w:val="00293CAF"/>
    <w:rsid w:val="00293FB8"/>
    <w:rsid w:val="002941DB"/>
    <w:rsid w:val="00294499"/>
    <w:rsid w:val="00294977"/>
    <w:rsid w:val="00294C58"/>
    <w:rsid w:val="00294E1E"/>
    <w:rsid w:val="002955CB"/>
    <w:rsid w:val="002956DD"/>
    <w:rsid w:val="002956F1"/>
    <w:rsid w:val="002958A3"/>
    <w:rsid w:val="00295901"/>
    <w:rsid w:val="002959D9"/>
    <w:rsid w:val="00295A10"/>
    <w:rsid w:val="00295C0F"/>
    <w:rsid w:val="00295DAB"/>
    <w:rsid w:val="00296725"/>
    <w:rsid w:val="00296CC5"/>
    <w:rsid w:val="00296DE2"/>
    <w:rsid w:val="002970BD"/>
    <w:rsid w:val="0029716E"/>
    <w:rsid w:val="002972B5"/>
    <w:rsid w:val="00297336"/>
    <w:rsid w:val="0029795F"/>
    <w:rsid w:val="00297F3C"/>
    <w:rsid w:val="00297F3F"/>
    <w:rsid w:val="002A0191"/>
    <w:rsid w:val="002A01E0"/>
    <w:rsid w:val="002A046D"/>
    <w:rsid w:val="002A0632"/>
    <w:rsid w:val="002A0827"/>
    <w:rsid w:val="002A08DB"/>
    <w:rsid w:val="002A112E"/>
    <w:rsid w:val="002A116F"/>
    <w:rsid w:val="002A1288"/>
    <w:rsid w:val="002A132C"/>
    <w:rsid w:val="002A1737"/>
    <w:rsid w:val="002A1849"/>
    <w:rsid w:val="002A1906"/>
    <w:rsid w:val="002A1EA7"/>
    <w:rsid w:val="002A1FF4"/>
    <w:rsid w:val="002A218A"/>
    <w:rsid w:val="002A28AC"/>
    <w:rsid w:val="002A29CB"/>
    <w:rsid w:val="002A29EE"/>
    <w:rsid w:val="002A2E0B"/>
    <w:rsid w:val="002A3593"/>
    <w:rsid w:val="002A3688"/>
    <w:rsid w:val="002A372A"/>
    <w:rsid w:val="002A38BC"/>
    <w:rsid w:val="002A3F71"/>
    <w:rsid w:val="002A4088"/>
    <w:rsid w:val="002A41AD"/>
    <w:rsid w:val="002A428B"/>
    <w:rsid w:val="002A4307"/>
    <w:rsid w:val="002A46D2"/>
    <w:rsid w:val="002A4A46"/>
    <w:rsid w:val="002A4A79"/>
    <w:rsid w:val="002A4D00"/>
    <w:rsid w:val="002A4EEA"/>
    <w:rsid w:val="002A5018"/>
    <w:rsid w:val="002A523B"/>
    <w:rsid w:val="002A54F1"/>
    <w:rsid w:val="002A5768"/>
    <w:rsid w:val="002A5EBE"/>
    <w:rsid w:val="002A6430"/>
    <w:rsid w:val="002A6445"/>
    <w:rsid w:val="002A661E"/>
    <w:rsid w:val="002A6786"/>
    <w:rsid w:val="002A688E"/>
    <w:rsid w:val="002A69A4"/>
    <w:rsid w:val="002A6A8A"/>
    <w:rsid w:val="002A6B34"/>
    <w:rsid w:val="002A72A8"/>
    <w:rsid w:val="002A7548"/>
    <w:rsid w:val="002A79F7"/>
    <w:rsid w:val="002A7F5D"/>
    <w:rsid w:val="002A7FA0"/>
    <w:rsid w:val="002B03FC"/>
    <w:rsid w:val="002B087A"/>
    <w:rsid w:val="002B0C55"/>
    <w:rsid w:val="002B0DD4"/>
    <w:rsid w:val="002B0E35"/>
    <w:rsid w:val="002B10E7"/>
    <w:rsid w:val="002B115B"/>
    <w:rsid w:val="002B1367"/>
    <w:rsid w:val="002B141E"/>
    <w:rsid w:val="002B1695"/>
    <w:rsid w:val="002B1A09"/>
    <w:rsid w:val="002B208F"/>
    <w:rsid w:val="002B2444"/>
    <w:rsid w:val="002B29F5"/>
    <w:rsid w:val="002B2BE8"/>
    <w:rsid w:val="002B2FC6"/>
    <w:rsid w:val="002B3192"/>
    <w:rsid w:val="002B31E3"/>
    <w:rsid w:val="002B34D7"/>
    <w:rsid w:val="002B39D2"/>
    <w:rsid w:val="002B3B76"/>
    <w:rsid w:val="002B3D9C"/>
    <w:rsid w:val="002B3DAF"/>
    <w:rsid w:val="002B405C"/>
    <w:rsid w:val="002B4428"/>
    <w:rsid w:val="002B4536"/>
    <w:rsid w:val="002B4711"/>
    <w:rsid w:val="002B478D"/>
    <w:rsid w:val="002B47FB"/>
    <w:rsid w:val="002B514C"/>
    <w:rsid w:val="002B520B"/>
    <w:rsid w:val="002B52AD"/>
    <w:rsid w:val="002B52C0"/>
    <w:rsid w:val="002B5B33"/>
    <w:rsid w:val="002B5EB3"/>
    <w:rsid w:val="002B6061"/>
    <w:rsid w:val="002B6169"/>
    <w:rsid w:val="002B61A4"/>
    <w:rsid w:val="002B6307"/>
    <w:rsid w:val="002B6320"/>
    <w:rsid w:val="002B64B2"/>
    <w:rsid w:val="002B65C9"/>
    <w:rsid w:val="002B67DC"/>
    <w:rsid w:val="002B69B4"/>
    <w:rsid w:val="002B6F15"/>
    <w:rsid w:val="002B74A1"/>
    <w:rsid w:val="002B7A78"/>
    <w:rsid w:val="002B7BF7"/>
    <w:rsid w:val="002B7C48"/>
    <w:rsid w:val="002B7EEB"/>
    <w:rsid w:val="002B7EEC"/>
    <w:rsid w:val="002B7F5E"/>
    <w:rsid w:val="002C012C"/>
    <w:rsid w:val="002C01B6"/>
    <w:rsid w:val="002C06F0"/>
    <w:rsid w:val="002C06F9"/>
    <w:rsid w:val="002C083E"/>
    <w:rsid w:val="002C09A2"/>
    <w:rsid w:val="002C0F77"/>
    <w:rsid w:val="002C1564"/>
    <w:rsid w:val="002C15A3"/>
    <w:rsid w:val="002C16AA"/>
    <w:rsid w:val="002C1EE8"/>
    <w:rsid w:val="002C2315"/>
    <w:rsid w:val="002C2A0A"/>
    <w:rsid w:val="002C33DF"/>
    <w:rsid w:val="002C34BE"/>
    <w:rsid w:val="002C3538"/>
    <w:rsid w:val="002C35C4"/>
    <w:rsid w:val="002C394C"/>
    <w:rsid w:val="002C3B0B"/>
    <w:rsid w:val="002C3B34"/>
    <w:rsid w:val="002C3CA7"/>
    <w:rsid w:val="002C4149"/>
    <w:rsid w:val="002C4968"/>
    <w:rsid w:val="002C4AE5"/>
    <w:rsid w:val="002C4EBB"/>
    <w:rsid w:val="002C5182"/>
    <w:rsid w:val="002C5330"/>
    <w:rsid w:val="002C5369"/>
    <w:rsid w:val="002C5B8D"/>
    <w:rsid w:val="002C6276"/>
    <w:rsid w:val="002C6480"/>
    <w:rsid w:val="002C6A51"/>
    <w:rsid w:val="002C6C80"/>
    <w:rsid w:val="002C6E95"/>
    <w:rsid w:val="002C7647"/>
    <w:rsid w:val="002C7A15"/>
    <w:rsid w:val="002C7F1C"/>
    <w:rsid w:val="002D01B6"/>
    <w:rsid w:val="002D01BA"/>
    <w:rsid w:val="002D0221"/>
    <w:rsid w:val="002D0407"/>
    <w:rsid w:val="002D061D"/>
    <w:rsid w:val="002D0D5C"/>
    <w:rsid w:val="002D0DB4"/>
    <w:rsid w:val="002D1181"/>
    <w:rsid w:val="002D1438"/>
    <w:rsid w:val="002D1770"/>
    <w:rsid w:val="002D1932"/>
    <w:rsid w:val="002D1BD7"/>
    <w:rsid w:val="002D1CCA"/>
    <w:rsid w:val="002D1D54"/>
    <w:rsid w:val="002D1E40"/>
    <w:rsid w:val="002D209A"/>
    <w:rsid w:val="002D22C7"/>
    <w:rsid w:val="002D2623"/>
    <w:rsid w:val="002D262B"/>
    <w:rsid w:val="002D26B3"/>
    <w:rsid w:val="002D2850"/>
    <w:rsid w:val="002D2CD4"/>
    <w:rsid w:val="002D3156"/>
    <w:rsid w:val="002D34CF"/>
    <w:rsid w:val="002D3650"/>
    <w:rsid w:val="002D36DB"/>
    <w:rsid w:val="002D39A9"/>
    <w:rsid w:val="002D3BFE"/>
    <w:rsid w:val="002D3C55"/>
    <w:rsid w:val="002D3EB0"/>
    <w:rsid w:val="002D4335"/>
    <w:rsid w:val="002D45F7"/>
    <w:rsid w:val="002D4746"/>
    <w:rsid w:val="002D4830"/>
    <w:rsid w:val="002D516B"/>
    <w:rsid w:val="002D558F"/>
    <w:rsid w:val="002D5847"/>
    <w:rsid w:val="002D5A68"/>
    <w:rsid w:val="002D5B7D"/>
    <w:rsid w:val="002D5D77"/>
    <w:rsid w:val="002D60A1"/>
    <w:rsid w:val="002D6397"/>
    <w:rsid w:val="002D63D6"/>
    <w:rsid w:val="002D660B"/>
    <w:rsid w:val="002D6664"/>
    <w:rsid w:val="002D693B"/>
    <w:rsid w:val="002D6A97"/>
    <w:rsid w:val="002D6C0F"/>
    <w:rsid w:val="002D6C95"/>
    <w:rsid w:val="002D6F1F"/>
    <w:rsid w:val="002D716D"/>
    <w:rsid w:val="002D7B5B"/>
    <w:rsid w:val="002D7DF9"/>
    <w:rsid w:val="002D7E04"/>
    <w:rsid w:val="002D7F58"/>
    <w:rsid w:val="002E0000"/>
    <w:rsid w:val="002E0133"/>
    <w:rsid w:val="002E0574"/>
    <w:rsid w:val="002E0621"/>
    <w:rsid w:val="002E08B8"/>
    <w:rsid w:val="002E0A0E"/>
    <w:rsid w:val="002E0AAD"/>
    <w:rsid w:val="002E0B64"/>
    <w:rsid w:val="002E0BD5"/>
    <w:rsid w:val="002E0C0E"/>
    <w:rsid w:val="002E0C7A"/>
    <w:rsid w:val="002E0F07"/>
    <w:rsid w:val="002E0FA7"/>
    <w:rsid w:val="002E137C"/>
    <w:rsid w:val="002E156C"/>
    <w:rsid w:val="002E1E0D"/>
    <w:rsid w:val="002E1F45"/>
    <w:rsid w:val="002E1FC6"/>
    <w:rsid w:val="002E20F5"/>
    <w:rsid w:val="002E22EF"/>
    <w:rsid w:val="002E2401"/>
    <w:rsid w:val="002E25F0"/>
    <w:rsid w:val="002E2891"/>
    <w:rsid w:val="002E2F9D"/>
    <w:rsid w:val="002E2FB0"/>
    <w:rsid w:val="002E31C6"/>
    <w:rsid w:val="002E32F1"/>
    <w:rsid w:val="002E3320"/>
    <w:rsid w:val="002E3376"/>
    <w:rsid w:val="002E3423"/>
    <w:rsid w:val="002E3700"/>
    <w:rsid w:val="002E38D1"/>
    <w:rsid w:val="002E3DC0"/>
    <w:rsid w:val="002E3DDD"/>
    <w:rsid w:val="002E4090"/>
    <w:rsid w:val="002E40E0"/>
    <w:rsid w:val="002E466A"/>
    <w:rsid w:val="002E4987"/>
    <w:rsid w:val="002E4A85"/>
    <w:rsid w:val="002E4AAB"/>
    <w:rsid w:val="002E4BF9"/>
    <w:rsid w:val="002E4DD0"/>
    <w:rsid w:val="002E5014"/>
    <w:rsid w:val="002E53DE"/>
    <w:rsid w:val="002E5409"/>
    <w:rsid w:val="002E567E"/>
    <w:rsid w:val="002E5A92"/>
    <w:rsid w:val="002E5C0D"/>
    <w:rsid w:val="002E5C8B"/>
    <w:rsid w:val="002E614B"/>
    <w:rsid w:val="002E6157"/>
    <w:rsid w:val="002E64B7"/>
    <w:rsid w:val="002E6565"/>
    <w:rsid w:val="002E65AD"/>
    <w:rsid w:val="002E6978"/>
    <w:rsid w:val="002E6B7A"/>
    <w:rsid w:val="002E6BA5"/>
    <w:rsid w:val="002E73DF"/>
    <w:rsid w:val="002E7517"/>
    <w:rsid w:val="002E754D"/>
    <w:rsid w:val="002E76A0"/>
    <w:rsid w:val="002E77EC"/>
    <w:rsid w:val="002E7846"/>
    <w:rsid w:val="002E789C"/>
    <w:rsid w:val="002E7A0E"/>
    <w:rsid w:val="002F00B8"/>
    <w:rsid w:val="002F02F5"/>
    <w:rsid w:val="002F0431"/>
    <w:rsid w:val="002F06BF"/>
    <w:rsid w:val="002F06C8"/>
    <w:rsid w:val="002F080E"/>
    <w:rsid w:val="002F085D"/>
    <w:rsid w:val="002F091D"/>
    <w:rsid w:val="002F0B8E"/>
    <w:rsid w:val="002F0E55"/>
    <w:rsid w:val="002F0ECD"/>
    <w:rsid w:val="002F1298"/>
    <w:rsid w:val="002F1397"/>
    <w:rsid w:val="002F1630"/>
    <w:rsid w:val="002F1848"/>
    <w:rsid w:val="002F194C"/>
    <w:rsid w:val="002F1A3E"/>
    <w:rsid w:val="002F221F"/>
    <w:rsid w:val="002F2C28"/>
    <w:rsid w:val="002F2E22"/>
    <w:rsid w:val="002F2F53"/>
    <w:rsid w:val="002F2F60"/>
    <w:rsid w:val="002F34B5"/>
    <w:rsid w:val="002F374E"/>
    <w:rsid w:val="002F375D"/>
    <w:rsid w:val="002F3814"/>
    <w:rsid w:val="002F38F8"/>
    <w:rsid w:val="002F39F7"/>
    <w:rsid w:val="002F406D"/>
    <w:rsid w:val="002F41B8"/>
    <w:rsid w:val="002F43E4"/>
    <w:rsid w:val="002F4482"/>
    <w:rsid w:val="002F45C0"/>
    <w:rsid w:val="002F45DC"/>
    <w:rsid w:val="002F46C5"/>
    <w:rsid w:val="002F5044"/>
    <w:rsid w:val="002F5BC8"/>
    <w:rsid w:val="002F5CBE"/>
    <w:rsid w:val="002F5E4B"/>
    <w:rsid w:val="002F5FBB"/>
    <w:rsid w:val="002F6388"/>
    <w:rsid w:val="002F64B0"/>
    <w:rsid w:val="002F673E"/>
    <w:rsid w:val="002F6AEF"/>
    <w:rsid w:val="002F6B62"/>
    <w:rsid w:val="002F7073"/>
    <w:rsid w:val="002F707E"/>
    <w:rsid w:val="002F73E4"/>
    <w:rsid w:val="002F7A5C"/>
    <w:rsid w:val="003000C0"/>
    <w:rsid w:val="0030016C"/>
    <w:rsid w:val="0030067F"/>
    <w:rsid w:val="003006D3"/>
    <w:rsid w:val="00300FFB"/>
    <w:rsid w:val="00301AA4"/>
    <w:rsid w:val="00301BD0"/>
    <w:rsid w:val="00301E41"/>
    <w:rsid w:val="00301EF1"/>
    <w:rsid w:val="00301FA4"/>
    <w:rsid w:val="00302006"/>
    <w:rsid w:val="0030213C"/>
    <w:rsid w:val="0030218F"/>
    <w:rsid w:val="003023C6"/>
    <w:rsid w:val="003024E1"/>
    <w:rsid w:val="00302515"/>
    <w:rsid w:val="00302A58"/>
    <w:rsid w:val="0030301B"/>
    <w:rsid w:val="003030F7"/>
    <w:rsid w:val="00303512"/>
    <w:rsid w:val="0030358C"/>
    <w:rsid w:val="00303720"/>
    <w:rsid w:val="00303B21"/>
    <w:rsid w:val="00303B90"/>
    <w:rsid w:val="00303D05"/>
    <w:rsid w:val="003042D4"/>
    <w:rsid w:val="00304540"/>
    <w:rsid w:val="00304800"/>
    <w:rsid w:val="00304AAE"/>
    <w:rsid w:val="00304EDD"/>
    <w:rsid w:val="00304EED"/>
    <w:rsid w:val="003050BC"/>
    <w:rsid w:val="0030535F"/>
    <w:rsid w:val="0030536E"/>
    <w:rsid w:val="003053DD"/>
    <w:rsid w:val="00305463"/>
    <w:rsid w:val="0030547F"/>
    <w:rsid w:val="003055E1"/>
    <w:rsid w:val="00305C29"/>
    <w:rsid w:val="00305C57"/>
    <w:rsid w:val="0030614A"/>
    <w:rsid w:val="00306221"/>
    <w:rsid w:val="00306278"/>
    <w:rsid w:val="003062E0"/>
    <w:rsid w:val="00306417"/>
    <w:rsid w:val="003066A2"/>
    <w:rsid w:val="00306766"/>
    <w:rsid w:val="003069D0"/>
    <w:rsid w:val="00306C14"/>
    <w:rsid w:val="00306F2E"/>
    <w:rsid w:val="003070FE"/>
    <w:rsid w:val="0030783F"/>
    <w:rsid w:val="00307B5D"/>
    <w:rsid w:val="00307D47"/>
    <w:rsid w:val="00307E87"/>
    <w:rsid w:val="00307EBA"/>
    <w:rsid w:val="00310178"/>
    <w:rsid w:val="003101A2"/>
    <w:rsid w:val="00310270"/>
    <w:rsid w:val="00310297"/>
    <w:rsid w:val="00310A2D"/>
    <w:rsid w:val="00310A90"/>
    <w:rsid w:val="0031120C"/>
    <w:rsid w:val="0031160A"/>
    <w:rsid w:val="0031169E"/>
    <w:rsid w:val="00311C10"/>
    <w:rsid w:val="00311C69"/>
    <w:rsid w:val="00311DCE"/>
    <w:rsid w:val="003120A0"/>
    <w:rsid w:val="003120CE"/>
    <w:rsid w:val="00312128"/>
    <w:rsid w:val="00312411"/>
    <w:rsid w:val="00312452"/>
    <w:rsid w:val="003124E8"/>
    <w:rsid w:val="00312D98"/>
    <w:rsid w:val="00312E4C"/>
    <w:rsid w:val="00312F29"/>
    <w:rsid w:val="00313F13"/>
    <w:rsid w:val="0031400D"/>
    <w:rsid w:val="0031436D"/>
    <w:rsid w:val="0031438F"/>
    <w:rsid w:val="003144BA"/>
    <w:rsid w:val="00314570"/>
    <w:rsid w:val="003147F0"/>
    <w:rsid w:val="003148C6"/>
    <w:rsid w:val="00314B25"/>
    <w:rsid w:val="00314B6A"/>
    <w:rsid w:val="00314C87"/>
    <w:rsid w:val="00314DAA"/>
    <w:rsid w:val="00314FC4"/>
    <w:rsid w:val="00314FDF"/>
    <w:rsid w:val="003150FE"/>
    <w:rsid w:val="00315157"/>
    <w:rsid w:val="00315794"/>
    <w:rsid w:val="00315B5C"/>
    <w:rsid w:val="00315BB2"/>
    <w:rsid w:val="00315E09"/>
    <w:rsid w:val="00315EF5"/>
    <w:rsid w:val="003161FE"/>
    <w:rsid w:val="003162CE"/>
    <w:rsid w:val="0031659D"/>
    <w:rsid w:val="003168CA"/>
    <w:rsid w:val="00316970"/>
    <w:rsid w:val="00316EA9"/>
    <w:rsid w:val="00316F13"/>
    <w:rsid w:val="00317338"/>
    <w:rsid w:val="0031736B"/>
    <w:rsid w:val="003178F8"/>
    <w:rsid w:val="00317AF0"/>
    <w:rsid w:val="00317EA8"/>
    <w:rsid w:val="003200C0"/>
    <w:rsid w:val="0032011D"/>
    <w:rsid w:val="003201CC"/>
    <w:rsid w:val="0032021C"/>
    <w:rsid w:val="0032022E"/>
    <w:rsid w:val="003203E4"/>
    <w:rsid w:val="003205BF"/>
    <w:rsid w:val="00320DF6"/>
    <w:rsid w:val="00320F4C"/>
    <w:rsid w:val="003210EB"/>
    <w:rsid w:val="00321522"/>
    <w:rsid w:val="003217FE"/>
    <w:rsid w:val="00321A8D"/>
    <w:rsid w:val="00321B4B"/>
    <w:rsid w:val="00321D4C"/>
    <w:rsid w:val="00321ED2"/>
    <w:rsid w:val="0032244D"/>
    <w:rsid w:val="00322D02"/>
    <w:rsid w:val="00322FF6"/>
    <w:rsid w:val="003235D4"/>
    <w:rsid w:val="00323766"/>
    <w:rsid w:val="003238B5"/>
    <w:rsid w:val="00323AC0"/>
    <w:rsid w:val="00323CDF"/>
    <w:rsid w:val="00323D9A"/>
    <w:rsid w:val="00323DC1"/>
    <w:rsid w:val="00323F70"/>
    <w:rsid w:val="00324078"/>
    <w:rsid w:val="00324189"/>
    <w:rsid w:val="0032470F"/>
    <w:rsid w:val="00324A18"/>
    <w:rsid w:val="00324BB6"/>
    <w:rsid w:val="00324CA2"/>
    <w:rsid w:val="00324EB9"/>
    <w:rsid w:val="00324ED1"/>
    <w:rsid w:val="003254CA"/>
    <w:rsid w:val="0032588C"/>
    <w:rsid w:val="00325DDA"/>
    <w:rsid w:val="00326111"/>
    <w:rsid w:val="00326A92"/>
    <w:rsid w:val="00326E25"/>
    <w:rsid w:val="00326E70"/>
    <w:rsid w:val="00326F0C"/>
    <w:rsid w:val="00327569"/>
    <w:rsid w:val="003275A5"/>
    <w:rsid w:val="003278B7"/>
    <w:rsid w:val="00327BDA"/>
    <w:rsid w:val="00327E4F"/>
    <w:rsid w:val="00330640"/>
    <w:rsid w:val="00330822"/>
    <w:rsid w:val="00330922"/>
    <w:rsid w:val="00330A58"/>
    <w:rsid w:val="00330AFB"/>
    <w:rsid w:val="00331065"/>
    <w:rsid w:val="003310B9"/>
    <w:rsid w:val="003310FC"/>
    <w:rsid w:val="003315B1"/>
    <w:rsid w:val="00331634"/>
    <w:rsid w:val="00331706"/>
    <w:rsid w:val="00331896"/>
    <w:rsid w:val="00331A1D"/>
    <w:rsid w:val="00331C58"/>
    <w:rsid w:val="00331DA9"/>
    <w:rsid w:val="003320ED"/>
    <w:rsid w:val="0033219D"/>
    <w:rsid w:val="0033236D"/>
    <w:rsid w:val="003323E3"/>
    <w:rsid w:val="003325F1"/>
    <w:rsid w:val="003326FE"/>
    <w:rsid w:val="0033277D"/>
    <w:rsid w:val="0033288C"/>
    <w:rsid w:val="00332EEE"/>
    <w:rsid w:val="00332F31"/>
    <w:rsid w:val="003330F9"/>
    <w:rsid w:val="00333464"/>
    <w:rsid w:val="003336B5"/>
    <w:rsid w:val="00333760"/>
    <w:rsid w:val="0033385B"/>
    <w:rsid w:val="0033394D"/>
    <w:rsid w:val="00333A94"/>
    <w:rsid w:val="00333D3A"/>
    <w:rsid w:val="00333E3A"/>
    <w:rsid w:val="00333FE4"/>
    <w:rsid w:val="00334048"/>
    <w:rsid w:val="003340A9"/>
    <w:rsid w:val="003341FC"/>
    <w:rsid w:val="003343D4"/>
    <w:rsid w:val="0033443F"/>
    <w:rsid w:val="00334941"/>
    <w:rsid w:val="00334999"/>
    <w:rsid w:val="00334DE0"/>
    <w:rsid w:val="00334EC4"/>
    <w:rsid w:val="0033512F"/>
    <w:rsid w:val="00335357"/>
    <w:rsid w:val="00335776"/>
    <w:rsid w:val="00335FAE"/>
    <w:rsid w:val="00336387"/>
    <w:rsid w:val="00336DC3"/>
    <w:rsid w:val="00336E0B"/>
    <w:rsid w:val="00336F3F"/>
    <w:rsid w:val="003370B0"/>
    <w:rsid w:val="00337598"/>
    <w:rsid w:val="00337746"/>
    <w:rsid w:val="00337A8E"/>
    <w:rsid w:val="00337A9F"/>
    <w:rsid w:val="00337C50"/>
    <w:rsid w:val="00340071"/>
    <w:rsid w:val="00340289"/>
    <w:rsid w:val="003404AB"/>
    <w:rsid w:val="003405F6"/>
    <w:rsid w:val="00340C8E"/>
    <w:rsid w:val="00340F23"/>
    <w:rsid w:val="0034138D"/>
    <w:rsid w:val="003416EB"/>
    <w:rsid w:val="00341D4B"/>
    <w:rsid w:val="003421D7"/>
    <w:rsid w:val="003424C8"/>
    <w:rsid w:val="00342A93"/>
    <w:rsid w:val="00342B72"/>
    <w:rsid w:val="003431C6"/>
    <w:rsid w:val="0034355A"/>
    <w:rsid w:val="003436BD"/>
    <w:rsid w:val="00343CD5"/>
    <w:rsid w:val="00343EBD"/>
    <w:rsid w:val="0034444F"/>
    <w:rsid w:val="0034468A"/>
    <w:rsid w:val="00344D63"/>
    <w:rsid w:val="00344D7B"/>
    <w:rsid w:val="003451C9"/>
    <w:rsid w:val="00345251"/>
    <w:rsid w:val="0034533B"/>
    <w:rsid w:val="00345413"/>
    <w:rsid w:val="00345873"/>
    <w:rsid w:val="00345A3E"/>
    <w:rsid w:val="00345A8D"/>
    <w:rsid w:val="00345CED"/>
    <w:rsid w:val="00345F8C"/>
    <w:rsid w:val="0034601F"/>
    <w:rsid w:val="0034628C"/>
    <w:rsid w:val="003463A6"/>
    <w:rsid w:val="0034640E"/>
    <w:rsid w:val="00346577"/>
    <w:rsid w:val="003467A8"/>
    <w:rsid w:val="00346808"/>
    <w:rsid w:val="00346BF6"/>
    <w:rsid w:val="00346BFB"/>
    <w:rsid w:val="00346DDC"/>
    <w:rsid w:val="00347185"/>
    <w:rsid w:val="00347190"/>
    <w:rsid w:val="00347401"/>
    <w:rsid w:val="00347621"/>
    <w:rsid w:val="00347708"/>
    <w:rsid w:val="00347855"/>
    <w:rsid w:val="00347863"/>
    <w:rsid w:val="00347B59"/>
    <w:rsid w:val="00347DAC"/>
    <w:rsid w:val="00347DD1"/>
    <w:rsid w:val="00350164"/>
    <w:rsid w:val="003503AF"/>
    <w:rsid w:val="0035044B"/>
    <w:rsid w:val="00350613"/>
    <w:rsid w:val="0035093C"/>
    <w:rsid w:val="00350A41"/>
    <w:rsid w:val="00350A6B"/>
    <w:rsid w:val="00350C88"/>
    <w:rsid w:val="00350E19"/>
    <w:rsid w:val="00351113"/>
    <w:rsid w:val="003513B9"/>
    <w:rsid w:val="003515A1"/>
    <w:rsid w:val="00351812"/>
    <w:rsid w:val="00351968"/>
    <w:rsid w:val="00351D47"/>
    <w:rsid w:val="00351F64"/>
    <w:rsid w:val="00352D76"/>
    <w:rsid w:val="00353022"/>
    <w:rsid w:val="0035324E"/>
    <w:rsid w:val="003534CC"/>
    <w:rsid w:val="003538E5"/>
    <w:rsid w:val="0035394B"/>
    <w:rsid w:val="00353A68"/>
    <w:rsid w:val="00353B6D"/>
    <w:rsid w:val="00353DC7"/>
    <w:rsid w:val="00354048"/>
    <w:rsid w:val="0035408F"/>
    <w:rsid w:val="003547B5"/>
    <w:rsid w:val="00355250"/>
    <w:rsid w:val="003555E3"/>
    <w:rsid w:val="00355618"/>
    <w:rsid w:val="00355703"/>
    <w:rsid w:val="003557C6"/>
    <w:rsid w:val="0035593B"/>
    <w:rsid w:val="00355978"/>
    <w:rsid w:val="00355A79"/>
    <w:rsid w:val="00355D0F"/>
    <w:rsid w:val="00355D8E"/>
    <w:rsid w:val="0035607B"/>
    <w:rsid w:val="0035632A"/>
    <w:rsid w:val="003563A5"/>
    <w:rsid w:val="0035655C"/>
    <w:rsid w:val="003565CD"/>
    <w:rsid w:val="00356A27"/>
    <w:rsid w:val="00356B02"/>
    <w:rsid w:val="00357626"/>
    <w:rsid w:val="00357E95"/>
    <w:rsid w:val="00357E98"/>
    <w:rsid w:val="003602A3"/>
    <w:rsid w:val="00360406"/>
    <w:rsid w:val="00360CEB"/>
    <w:rsid w:val="00361168"/>
    <w:rsid w:val="003613B7"/>
    <w:rsid w:val="003616A1"/>
    <w:rsid w:val="003616D3"/>
    <w:rsid w:val="0036174D"/>
    <w:rsid w:val="00361823"/>
    <w:rsid w:val="00361A49"/>
    <w:rsid w:val="00361D68"/>
    <w:rsid w:val="003622E8"/>
    <w:rsid w:val="00362758"/>
    <w:rsid w:val="003627F7"/>
    <w:rsid w:val="00362DCA"/>
    <w:rsid w:val="00363652"/>
    <w:rsid w:val="0036399C"/>
    <w:rsid w:val="00363B31"/>
    <w:rsid w:val="00363C08"/>
    <w:rsid w:val="00363C71"/>
    <w:rsid w:val="00363F03"/>
    <w:rsid w:val="00363F37"/>
    <w:rsid w:val="00364006"/>
    <w:rsid w:val="003640C4"/>
    <w:rsid w:val="0036425F"/>
    <w:rsid w:val="00364707"/>
    <w:rsid w:val="003647AA"/>
    <w:rsid w:val="00364822"/>
    <w:rsid w:val="00364A76"/>
    <w:rsid w:val="00364BAE"/>
    <w:rsid w:val="00364C9E"/>
    <w:rsid w:val="00364D75"/>
    <w:rsid w:val="003656B1"/>
    <w:rsid w:val="00365873"/>
    <w:rsid w:val="00365924"/>
    <w:rsid w:val="00365D18"/>
    <w:rsid w:val="00365DB9"/>
    <w:rsid w:val="00366157"/>
    <w:rsid w:val="003664AA"/>
    <w:rsid w:val="00366661"/>
    <w:rsid w:val="0036673F"/>
    <w:rsid w:val="003668AC"/>
    <w:rsid w:val="00366B3B"/>
    <w:rsid w:val="00366E27"/>
    <w:rsid w:val="00366E62"/>
    <w:rsid w:val="00366FD0"/>
    <w:rsid w:val="00367116"/>
    <w:rsid w:val="003674A5"/>
    <w:rsid w:val="0036783E"/>
    <w:rsid w:val="00367F05"/>
    <w:rsid w:val="00367F6F"/>
    <w:rsid w:val="00367F94"/>
    <w:rsid w:val="00367FBF"/>
    <w:rsid w:val="00369BE3"/>
    <w:rsid w:val="00370097"/>
    <w:rsid w:val="003701AA"/>
    <w:rsid w:val="00370662"/>
    <w:rsid w:val="00370E10"/>
    <w:rsid w:val="00371003"/>
    <w:rsid w:val="0037101A"/>
    <w:rsid w:val="0037118C"/>
    <w:rsid w:val="003713C9"/>
    <w:rsid w:val="0037157B"/>
    <w:rsid w:val="00371A50"/>
    <w:rsid w:val="00371B35"/>
    <w:rsid w:val="00371E47"/>
    <w:rsid w:val="00371E9A"/>
    <w:rsid w:val="003720CB"/>
    <w:rsid w:val="003722B7"/>
    <w:rsid w:val="003729FD"/>
    <w:rsid w:val="003730EE"/>
    <w:rsid w:val="00373204"/>
    <w:rsid w:val="003735EF"/>
    <w:rsid w:val="003736D3"/>
    <w:rsid w:val="0037371E"/>
    <w:rsid w:val="00373739"/>
    <w:rsid w:val="00373B3D"/>
    <w:rsid w:val="00373B4A"/>
    <w:rsid w:val="00374735"/>
    <w:rsid w:val="003748CF"/>
    <w:rsid w:val="00374CF7"/>
    <w:rsid w:val="00374DEB"/>
    <w:rsid w:val="0037508E"/>
    <w:rsid w:val="003750D0"/>
    <w:rsid w:val="0037564B"/>
    <w:rsid w:val="00375940"/>
    <w:rsid w:val="00375DAE"/>
    <w:rsid w:val="003761B2"/>
    <w:rsid w:val="003762CC"/>
    <w:rsid w:val="003767BC"/>
    <w:rsid w:val="00376807"/>
    <w:rsid w:val="003768B6"/>
    <w:rsid w:val="003768F7"/>
    <w:rsid w:val="003773C8"/>
    <w:rsid w:val="00377677"/>
    <w:rsid w:val="00377A78"/>
    <w:rsid w:val="00377E03"/>
    <w:rsid w:val="00377F1D"/>
    <w:rsid w:val="00380313"/>
    <w:rsid w:val="00380B46"/>
    <w:rsid w:val="00380C17"/>
    <w:rsid w:val="0038103C"/>
    <w:rsid w:val="00381301"/>
    <w:rsid w:val="003813B3"/>
    <w:rsid w:val="003816D2"/>
    <w:rsid w:val="003819F3"/>
    <w:rsid w:val="00381D67"/>
    <w:rsid w:val="00381DEE"/>
    <w:rsid w:val="00381EAE"/>
    <w:rsid w:val="00381F92"/>
    <w:rsid w:val="003820AF"/>
    <w:rsid w:val="00382164"/>
    <w:rsid w:val="003825A9"/>
    <w:rsid w:val="003826D3"/>
    <w:rsid w:val="003829BA"/>
    <w:rsid w:val="00382A35"/>
    <w:rsid w:val="00382E10"/>
    <w:rsid w:val="0038317C"/>
    <w:rsid w:val="0038347A"/>
    <w:rsid w:val="00383724"/>
    <w:rsid w:val="00383999"/>
    <w:rsid w:val="00383D41"/>
    <w:rsid w:val="0038401E"/>
    <w:rsid w:val="003840F6"/>
    <w:rsid w:val="0038427A"/>
    <w:rsid w:val="0038434A"/>
    <w:rsid w:val="00384574"/>
    <w:rsid w:val="0038461F"/>
    <w:rsid w:val="00384644"/>
    <w:rsid w:val="00384723"/>
    <w:rsid w:val="003848C3"/>
    <w:rsid w:val="00384BD6"/>
    <w:rsid w:val="00384BFC"/>
    <w:rsid w:val="00384C65"/>
    <w:rsid w:val="00384EFA"/>
    <w:rsid w:val="00384F81"/>
    <w:rsid w:val="00385161"/>
    <w:rsid w:val="00385B76"/>
    <w:rsid w:val="00385DFE"/>
    <w:rsid w:val="003860C4"/>
    <w:rsid w:val="0038617D"/>
    <w:rsid w:val="00386645"/>
    <w:rsid w:val="00386BDE"/>
    <w:rsid w:val="00386D37"/>
    <w:rsid w:val="00386DA9"/>
    <w:rsid w:val="00386EC6"/>
    <w:rsid w:val="00386EE3"/>
    <w:rsid w:val="0038721C"/>
    <w:rsid w:val="00387423"/>
    <w:rsid w:val="003874BD"/>
    <w:rsid w:val="0038783D"/>
    <w:rsid w:val="00387925"/>
    <w:rsid w:val="003879FA"/>
    <w:rsid w:val="00387C9A"/>
    <w:rsid w:val="00387D2C"/>
    <w:rsid w:val="00387D66"/>
    <w:rsid w:val="0039003F"/>
    <w:rsid w:val="00390094"/>
    <w:rsid w:val="003900C6"/>
    <w:rsid w:val="00390574"/>
    <w:rsid w:val="00390668"/>
    <w:rsid w:val="003907DF"/>
    <w:rsid w:val="00390872"/>
    <w:rsid w:val="00390A3B"/>
    <w:rsid w:val="00390B86"/>
    <w:rsid w:val="00390E5B"/>
    <w:rsid w:val="00391087"/>
    <w:rsid w:val="003910CD"/>
    <w:rsid w:val="00391289"/>
    <w:rsid w:val="003912D8"/>
    <w:rsid w:val="003918DD"/>
    <w:rsid w:val="0039228D"/>
    <w:rsid w:val="0039232B"/>
    <w:rsid w:val="0039251B"/>
    <w:rsid w:val="003926CA"/>
    <w:rsid w:val="0039288E"/>
    <w:rsid w:val="00392A59"/>
    <w:rsid w:val="0039313C"/>
    <w:rsid w:val="00393404"/>
    <w:rsid w:val="00393585"/>
    <w:rsid w:val="00393605"/>
    <w:rsid w:val="003938B4"/>
    <w:rsid w:val="003939EE"/>
    <w:rsid w:val="00393B7D"/>
    <w:rsid w:val="00393DFF"/>
    <w:rsid w:val="00394226"/>
    <w:rsid w:val="0039444E"/>
    <w:rsid w:val="003948C6"/>
    <w:rsid w:val="00394A44"/>
    <w:rsid w:val="00394A57"/>
    <w:rsid w:val="00394C63"/>
    <w:rsid w:val="00394F0D"/>
    <w:rsid w:val="00395296"/>
    <w:rsid w:val="00395739"/>
    <w:rsid w:val="00395758"/>
    <w:rsid w:val="00395D63"/>
    <w:rsid w:val="003964A6"/>
    <w:rsid w:val="003966A7"/>
    <w:rsid w:val="00396815"/>
    <w:rsid w:val="00396A68"/>
    <w:rsid w:val="00396C71"/>
    <w:rsid w:val="00396C8A"/>
    <w:rsid w:val="0039718B"/>
    <w:rsid w:val="00397723"/>
    <w:rsid w:val="00397A50"/>
    <w:rsid w:val="00397B61"/>
    <w:rsid w:val="00397F65"/>
    <w:rsid w:val="003A0074"/>
    <w:rsid w:val="003A016C"/>
    <w:rsid w:val="003A045B"/>
    <w:rsid w:val="003A0BFC"/>
    <w:rsid w:val="003A0D63"/>
    <w:rsid w:val="003A0D97"/>
    <w:rsid w:val="003A1052"/>
    <w:rsid w:val="003A1382"/>
    <w:rsid w:val="003A15D5"/>
    <w:rsid w:val="003A1699"/>
    <w:rsid w:val="003A19F2"/>
    <w:rsid w:val="003A1AEA"/>
    <w:rsid w:val="003A1F9E"/>
    <w:rsid w:val="003A2842"/>
    <w:rsid w:val="003A324D"/>
    <w:rsid w:val="003A3341"/>
    <w:rsid w:val="003A342A"/>
    <w:rsid w:val="003A39E4"/>
    <w:rsid w:val="003A3BA0"/>
    <w:rsid w:val="003A3C30"/>
    <w:rsid w:val="003A49AC"/>
    <w:rsid w:val="003A4A7D"/>
    <w:rsid w:val="003A5537"/>
    <w:rsid w:val="003A5A9A"/>
    <w:rsid w:val="003A5D28"/>
    <w:rsid w:val="003A5F82"/>
    <w:rsid w:val="003A5F95"/>
    <w:rsid w:val="003A6419"/>
    <w:rsid w:val="003A6555"/>
    <w:rsid w:val="003A68D5"/>
    <w:rsid w:val="003A6D35"/>
    <w:rsid w:val="003A6F75"/>
    <w:rsid w:val="003A6FD1"/>
    <w:rsid w:val="003A7333"/>
    <w:rsid w:val="003A74F5"/>
    <w:rsid w:val="003A764F"/>
    <w:rsid w:val="003A79A7"/>
    <w:rsid w:val="003B0049"/>
    <w:rsid w:val="003B00EF"/>
    <w:rsid w:val="003B028E"/>
    <w:rsid w:val="003B0D35"/>
    <w:rsid w:val="003B1037"/>
    <w:rsid w:val="003B15AB"/>
    <w:rsid w:val="003B176A"/>
    <w:rsid w:val="003B17BE"/>
    <w:rsid w:val="003B1C49"/>
    <w:rsid w:val="003B2444"/>
    <w:rsid w:val="003B2BF3"/>
    <w:rsid w:val="003B2E8A"/>
    <w:rsid w:val="003B30F3"/>
    <w:rsid w:val="003B310F"/>
    <w:rsid w:val="003B3530"/>
    <w:rsid w:val="003B36C5"/>
    <w:rsid w:val="003B3744"/>
    <w:rsid w:val="003B3892"/>
    <w:rsid w:val="003B3C84"/>
    <w:rsid w:val="003B3E30"/>
    <w:rsid w:val="003B3EFB"/>
    <w:rsid w:val="003B4252"/>
    <w:rsid w:val="003B4501"/>
    <w:rsid w:val="003B47DD"/>
    <w:rsid w:val="003B4878"/>
    <w:rsid w:val="003B498E"/>
    <w:rsid w:val="003B49FE"/>
    <w:rsid w:val="003B4C7C"/>
    <w:rsid w:val="003B4D08"/>
    <w:rsid w:val="003B4FB8"/>
    <w:rsid w:val="003B5284"/>
    <w:rsid w:val="003B5817"/>
    <w:rsid w:val="003B583C"/>
    <w:rsid w:val="003B5860"/>
    <w:rsid w:val="003B58D1"/>
    <w:rsid w:val="003B5A24"/>
    <w:rsid w:val="003B5AB4"/>
    <w:rsid w:val="003B5ADF"/>
    <w:rsid w:val="003B5B9E"/>
    <w:rsid w:val="003B6408"/>
    <w:rsid w:val="003B64C2"/>
    <w:rsid w:val="003B6523"/>
    <w:rsid w:val="003B77A7"/>
    <w:rsid w:val="003B79DE"/>
    <w:rsid w:val="003B7C41"/>
    <w:rsid w:val="003B7DD5"/>
    <w:rsid w:val="003B7ED3"/>
    <w:rsid w:val="003C0409"/>
    <w:rsid w:val="003C06A1"/>
    <w:rsid w:val="003C0A53"/>
    <w:rsid w:val="003C0BE2"/>
    <w:rsid w:val="003C0C99"/>
    <w:rsid w:val="003C0CCB"/>
    <w:rsid w:val="003C0E66"/>
    <w:rsid w:val="003C0F61"/>
    <w:rsid w:val="003C136E"/>
    <w:rsid w:val="003C1A5D"/>
    <w:rsid w:val="003C1E83"/>
    <w:rsid w:val="003C1F08"/>
    <w:rsid w:val="003C1F81"/>
    <w:rsid w:val="003C265B"/>
    <w:rsid w:val="003C27C7"/>
    <w:rsid w:val="003C2978"/>
    <w:rsid w:val="003C2CD7"/>
    <w:rsid w:val="003C2E08"/>
    <w:rsid w:val="003C307B"/>
    <w:rsid w:val="003C360C"/>
    <w:rsid w:val="003C3888"/>
    <w:rsid w:val="003C3891"/>
    <w:rsid w:val="003C399B"/>
    <w:rsid w:val="003C39A0"/>
    <w:rsid w:val="003C3E11"/>
    <w:rsid w:val="003C44C2"/>
    <w:rsid w:val="003C4745"/>
    <w:rsid w:val="003C485A"/>
    <w:rsid w:val="003C4A3B"/>
    <w:rsid w:val="003C4AED"/>
    <w:rsid w:val="003C4CA5"/>
    <w:rsid w:val="003C5082"/>
    <w:rsid w:val="003C5214"/>
    <w:rsid w:val="003C5415"/>
    <w:rsid w:val="003C5494"/>
    <w:rsid w:val="003C54CC"/>
    <w:rsid w:val="003C5687"/>
    <w:rsid w:val="003C5905"/>
    <w:rsid w:val="003C5C0D"/>
    <w:rsid w:val="003C5D85"/>
    <w:rsid w:val="003C5D97"/>
    <w:rsid w:val="003C5F65"/>
    <w:rsid w:val="003C6142"/>
    <w:rsid w:val="003C6445"/>
    <w:rsid w:val="003C6674"/>
    <w:rsid w:val="003C6793"/>
    <w:rsid w:val="003C6988"/>
    <w:rsid w:val="003C6A57"/>
    <w:rsid w:val="003C6AA7"/>
    <w:rsid w:val="003C6B92"/>
    <w:rsid w:val="003C6D08"/>
    <w:rsid w:val="003C73CE"/>
    <w:rsid w:val="003C7AFF"/>
    <w:rsid w:val="003D02B3"/>
    <w:rsid w:val="003D064A"/>
    <w:rsid w:val="003D06FF"/>
    <w:rsid w:val="003D07AD"/>
    <w:rsid w:val="003D081D"/>
    <w:rsid w:val="003D08D1"/>
    <w:rsid w:val="003D0E33"/>
    <w:rsid w:val="003D1045"/>
    <w:rsid w:val="003D10F5"/>
    <w:rsid w:val="003D1191"/>
    <w:rsid w:val="003D172D"/>
    <w:rsid w:val="003D19E2"/>
    <w:rsid w:val="003D1A1F"/>
    <w:rsid w:val="003D1B29"/>
    <w:rsid w:val="003D1D1E"/>
    <w:rsid w:val="003D1DF8"/>
    <w:rsid w:val="003D1FE8"/>
    <w:rsid w:val="003D20D6"/>
    <w:rsid w:val="003D22E9"/>
    <w:rsid w:val="003D2784"/>
    <w:rsid w:val="003D27D2"/>
    <w:rsid w:val="003D2B0B"/>
    <w:rsid w:val="003D2F61"/>
    <w:rsid w:val="003D3001"/>
    <w:rsid w:val="003D314F"/>
    <w:rsid w:val="003D31F8"/>
    <w:rsid w:val="003D36AE"/>
    <w:rsid w:val="003D3AE8"/>
    <w:rsid w:val="003D3DF6"/>
    <w:rsid w:val="003D3E84"/>
    <w:rsid w:val="003D4149"/>
    <w:rsid w:val="003D41E7"/>
    <w:rsid w:val="003D43F8"/>
    <w:rsid w:val="003D461C"/>
    <w:rsid w:val="003D462F"/>
    <w:rsid w:val="003D464E"/>
    <w:rsid w:val="003D46F5"/>
    <w:rsid w:val="003D486A"/>
    <w:rsid w:val="003D48CF"/>
    <w:rsid w:val="003D4A93"/>
    <w:rsid w:val="003D4C6F"/>
    <w:rsid w:val="003D4D53"/>
    <w:rsid w:val="003D55B6"/>
    <w:rsid w:val="003D5981"/>
    <w:rsid w:val="003D5ABB"/>
    <w:rsid w:val="003D5ACA"/>
    <w:rsid w:val="003D5B6F"/>
    <w:rsid w:val="003D5EB7"/>
    <w:rsid w:val="003D5EE6"/>
    <w:rsid w:val="003D61E7"/>
    <w:rsid w:val="003D64FA"/>
    <w:rsid w:val="003D6715"/>
    <w:rsid w:val="003D68B0"/>
    <w:rsid w:val="003D69F4"/>
    <w:rsid w:val="003D6B6E"/>
    <w:rsid w:val="003D6C4C"/>
    <w:rsid w:val="003D6CEA"/>
    <w:rsid w:val="003D6CF2"/>
    <w:rsid w:val="003D7250"/>
    <w:rsid w:val="003D7513"/>
    <w:rsid w:val="003D75DD"/>
    <w:rsid w:val="003D77A7"/>
    <w:rsid w:val="003E0173"/>
    <w:rsid w:val="003E0194"/>
    <w:rsid w:val="003E0A4D"/>
    <w:rsid w:val="003E0C0E"/>
    <w:rsid w:val="003E0D5D"/>
    <w:rsid w:val="003E0DEE"/>
    <w:rsid w:val="003E0FB1"/>
    <w:rsid w:val="003E17F7"/>
    <w:rsid w:val="003E19AA"/>
    <w:rsid w:val="003E1A2C"/>
    <w:rsid w:val="003E1D38"/>
    <w:rsid w:val="003E1D76"/>
    <w:rsid w:val="003E1E86"/>
    <w:rsid w:val="003E2184"/>
    <w:rsid w:val="003E2621"/>
    <w:rsid w:val="003E268B"/>
    <w:rsid w:val="003E2D79"/>
    <w:rsid w:val="003E2EF0"/>
    <w:rsid w:val="003E305B"/>
    <w:rsid w:val="003E30F8"/>
    <w:rsid w:val="003E36E1"/>
    <w:rsid w:val="003E378B"/>
    <w:rsid w:val="003E37D2"/>
    <w:rsid w:val="003E408F"/>
    <w:rsid w:val="003E4292"/>
    <w:rsid w:val="003E4465"/>
    <w:rsid w:val="003E4740"/>
    <w:rsid w:val="003E4C71"/>
    <w:rsid w:val="003E4CDA"/>
    <w:rsid w:val="003E543D"/>
    <w:rsid w:val="003E5733"/>
    <w:rsid w:val="003E58A8"/>
    <w:rsid w:val="003E59D3"/>
    <w:rsid w:val="003E5F06"/>
    <w:rsid w:val="003E5FBC"/>
    <w:rsid w:val="003E5FE4"/>
    <w:rsid w:val="003E6B3A"/>
    <w:rsid w:val="003E6E7F"/>
    <w:rsid w:val="003E7027"/>
    <w:rsid w:val="003E722A"/>
    <w:rsid w:val="003E778E"/>
    <w:rsid w:val="003E77A5"/>
    <w:rsid w:val="003E7832"/>
    <w:rsid w:val="003E7B19"/>
    <w:rsid w:val="003E7C3C"/>
    <w:rsid w:val="003E7D02"/>
    <w:rsid w:val="003E7E5F"/>
    <w:rsid w:val="003E7FA4"/>
    <w:rsid w:val="003F0351"/>
    <w:rsid w:val="003F0615"/>
    <w:rsid w:val="003F08B9"/>
    <w:rsid w:val="003F1057"/>
    <w:rsid w:val="003F10B7"/>
    <w:rsid w:val="003F1127"/>
    <w:rsid w:val="003F1325"/>
    <w:rsid w:val="003F13A9"/>
    <w:rsid w:val="003F1AAA"/>
    <w:rsid w:val="003F2136"/>
    <w:rsid w:val="003F21A3"/>
    <w:rsid w:val="003F2638"/>
    <w:rsid w:val="003F27D2"/>
    <w:rsid w:val="003F2D43"/>
    <w:rsid w:val="003F2D77"/>
    <w:rsid w:val="003F2DD6"/>
    <w:rsid w:val="003F2EF3"/>
    <w:rsid w:val="003F3349"/>
    <w:rsid w:val="003F3523"/>
    <w:rsid w:val="003F3728"/>
    <w:rsid w:val="003F375C"/>
    <w:rsid w:val="003F3816"/>
    <w:rsid w:val="003F3B5A"/>
    <w:rsid w:val="003F3BCF"/>
    <w:rsid w:val="003F4041"/>
    <w:rsid w:val="003F4073"/>
    <w:rsid w:val="003F40A8"/>
    <w:rsid w:val="003F5004"/>
    <w:rsid w:val="003F5139"/>
    <w:rsid w:val="003F61BA"/>
    <w:rsid w:val="003F632A"/>
    <w:rsid w:val="003F658C"/>
    <w:rsid w:val="003F6783"/>
    <w:rsid w:val="003F6A2B"/>
    <w:rsid w:val="003F6CEA"/>
    <w:rsid w:val="003F6E15"/>
    <w:rsid w:val="003F712A"/>
    <w:rsid w:val="003F7263"/>
    <w:rsid w:val="003F7335"/>
    <w:rsid w:val="003F7337"/>
    <w:rsid w:val="003F7364"/>
    <w:rsid w:val="003F73CE"/>
    <w:rsid w:val="003F7481"/>
    <w:rsid w:val="003F79A5"/>
    <w:rsid w:val="003F7AE6"/>
    <w:rsid w:val="003F7B37"/>
    <w:rsid w:val="003F7BCA"/>
    <w:rsid w:val="004001A3"/>
    <w:rsid w:val="00400224"/>
    <w:rsid w:val="0040077F"/>
    <w:rsid w:val="00400E93"/>
    <w:rsid w:val="00400F51"/>
    <w:rsid w:val="00401920"/>
    <w:rsid w:val="00401F09"/>
    <w:rsid w:val="004022A7"/>
    <w:rsid w:val="004026E2"/>
    <w:rsid w:val="00402800"/>
    <w:rsid w:val="00402C2C"/>
    <w:rsid w:val="00402E16"/>
    <w:rsid w:val="00402FC9"/>
    <w:rsid w:val="0040300F"/>
    <w:rsid w:val="00403178"/>
    <w:rsid w:val="0040319D"/>
    <w:rsid w:val="00403932"/>
    <w:rsid w:val="004039B2"/>
    <w:rsid w:val="00403D88"/>
    <w:rsid w:val="00403E48"/>
    <w:rsid w:val="00403F61"/>
    <w:rsid w:val="004041D6"/>
    <w:rsid w:val="004043B7"/>
    <w:rsid w:val="004043F1"/>
    <w:rsid w:val="00404491"/>
    <w:rsid w:val="004046E3"/>
    <w:rsid w:val="00404777"/>
    <w:rsid w:val="004048CA"/>
    <w:rsid w:val="00405084"/>
    <w:rsid w:val="004052B2"/>
    <w:rsid w:val="004053D4"/>
    <w:rsid w:val="0040558E"/>
    <w:rsid w:val="004055AB"/>
    <w:rsid w:val="00405BD4"/>
    <w:rsid w:val="00405DDC"/>
    <w:rsid w:val="0040650E"/>
    <w:rsid w:val="0040657E"/>
    <w:rsid w:val="004068B3"/>
    <w:rsid w:val="00407293"/>
    <w:rsid w:val="00407B25"/>
    <w:rsid w:val="00407BB7"/>
    <w:rsid w:val="004100BB"/>
    <w:rsid w:val="0041016E"/>
    <w:rsid w:val="004101C8"/>
    <w:rsid w:val="00410230"/>
    <w:rsid w:val="0041024D"/>
    <w:rsid w:val="00410303"/>
    <w:rsid w:val="004103F2"/>
    <w:rsid w:val="004108E9"/>
    <w:rsid w:val="00410951"/>
    <w:rsid w:val="004109BB"/>
    <w:rsid w:val="00410DF3"/>
    <w:rsid w:val="00410EE3"/>
    <w:rsid w:val="00410F5C"/>
    <w:rsid w:val="0041119E"/>
    <w:rsid w:val="0041126E"/>
    <w:rsid w:val="0041134A"/>
    <w:rsid w:val="00411AB9"/>
    <w:rsid w:val="00411CD5"/>
    <w:rsid w:val="00411EA8"/>
    <w:rsid w:val="004120C5"/>
    <w:rsid w:val="00412659"/>
    <w:rsid w:val="00412AD2"/>
    <w:rsid w:val="00412BA4"/>
    <w:rsid w:val="00412D9C"/>
    <w:rsid w:val="00412DE5"/>
    <w:rsid w:val="00412E28"/>
    <w:rsid w:val="00413023"/>
    <w:rsid w:val="00413194"/>
    <w:rsid w:val="004136C5"/>
    <w:rsid w:val="00413780"/>
    <w:rsid w:val="004137DB"/>
    <w:rsid w:val="0041399E"/>
    <w:rsid w:val="00413BC3"/>
    <w:rsid w:val="00413D94"/>
    <w:rsid w:val="0041405B"/>
    <w:rsid w:val="00414580"/>
    <w:rsid w:val="004145CD"/>
    <w:rsid w:val="0041490F"/>
    <w:rsid w:val="0041499A"/>
    <w:rsid w:val="00414B99"/>
    <w:rsid w:val="00414E9A"/>
    <w:rsid w:val="00414F02"/>
    <w:rsid w:val="00414F9D"/>
    <w:rsid w:val="0041530B"/>
    <w:rsid w:val="00415365"/>
    <w:rsid w:val="00415A17"/>
    <w:rsid w:val="004165C5"/>
    <w:rsid w:val="00416AD4"/>
    <w:rsid w:val="00416D8D"/>
    <w:rsid w:val="0041700E"/>
    <w:rsid w:val="0041735B"/>
    <w:rsid w:val="0041741A"/>
    <w:rsid w:val="00417456"/>
    <w:rsid w:val="00417873"/>
    <w:rsid w:val="00417C1C"/>
    <w:rsid w:val="004202BF"/>
    <w:rsid w:val="00420779"/>
    <w:rsid w:val="00421A59"/>
    <w:rsid w:val="00422285"/>
    <w:rsid w:val="004223B1"/>
    <w:rsid w:val="00422650"/>
    <w:rsid w:val="0042273A"/>
    <w:rsid w:val="00422A53"/>
    <w:rsid w:val="00422B41"/>
    <w:rsid w:val="00422C4B"/>
    <w:rsid w:val="00422D76"/>
    <w:rsid w:val="00422E60"/>
    <w:rsid w:val="00422F99"/>
    <w:rsid w:val="00423168"/>
    <w:rsid w:val="00423264"/>
    <w:rsid w:val="004234FF"/>
    <w:rsid w:val="00423B0F"/>
    <w:rsid w:val="00423C35"/>
    <w:rsid w:val="00423CCB"/>
    <w:rsid w:val="00423E5A"/>
    <w:rsid w:val="00424144"/>
    <w:rsid w:val="0042473F"/>
    <w:rsid w:val="00424863"/>
    <w:rsid w:val="004249D5"/>
    <w:rsid w:val="00424A95"/>
    <w:rsid w:val="00424E98"/>
    <w:rsid w:val="00424F9C"/>
    <w:rsid w:val="00425185"/>
    <w:rsid w:val="00425267"/>
    <w:rsid w:val="00425484"/>
    <w:rsid w:val="00425556"/>
    <w:rsid w:val="00425798"/>
    <w:rsid w:val="00425813"/>
    <w:rsid w:val="00425CAC"/>
    <w:rsid w:val="00425F00"/>
    <w:rsid w:val="00425F64"/>
    <w:rsid w:val="00426282"/>
    <w:rsid w:val="004268C1"/>
    <w:rsid w:val="0042690A"/>
    <w:rsid w:val="004269B2"/>
    <w:rsid w:val="004269B4"/>
    <w:rsid w:val="00426A0F"/>
    <w:rsid w:val="00426A56"/>
    <w:rsid w:val="00426A8F"/>
    <w:rsid w:val="004271F3"/>
    <w:rsid w:val="00427289"/>
    <w:rsid w:val="00427320"/>
    <w:rsid w:val="004277A1"/>
    <w:rsid w:val="00427BAF"/>
    <w:rsid w:val="00427C3F"/>
    <w:rsid w:val="00427EB0"/>
    <w:rsid w:val="00430127"/>
    <w:rsid w:val="004309AD"/>
    <w:rsid w:val="00430A03"/>
    <w:rsid w:val="00430BF2"/>
    <w:rsid w:val="00430EC6"/>
    <w:rsid w:val="00430EEE"/>
    <w:rsid w:val="00430FD7"/>
    <w:rsid w:val="0043121C"/>
    <w:rsid w:val="00431391"/>
    <w:rsid w:val="00431577"/>
    <w:rsid w:val="00431690"/>
    <w:rsid w:val="0043176D"/>
    <w:rsid w:val="00431785"/>
    <w:rsid w:val="00431C65"/>
    <w:rsid w:val="00431CF6"/>
    <w:rsid w:val="00431FBE"/>
    <w:rsid w:val="004321D7"/>
    <w:rsid w:val="0043254D"/>
    <w:rsid w:val="00432704"/>
    <w:rsid w:val="00432912"/>
    <w:rsid w:val="00432977"/>
    <w:rsid w:val="004329CE"/>
    <w:rsid w:val="00432A2F"/>
    <w:rsid w:val="00432BB3"/>
    <w:rsid w:val="00432C1A"/>
    <w:rsid w:val="00432D38"/>
    <w:rsid w:val="00432D77"/>
    <w:rsid w:val="004330E6"/>
    <w:rsid w:val="00433245"/>
    <w:rsid w:val="00433330"/>
    <w:rsid w:val="004336C9"/>
    <w:rsid w:val="00433F60"/>
    <w:rsid w:val="00433F8D"/>
    <w:rsid w:val="004342AF"/>
    <w:rsid w:val="0043443C"/>
    <w:rsid w:val="00434604"/>
    <w:rsid w:val="0043465E"/>
    <w:rsid w:val="00434858"/>
    <w:rsid w:val="004348D0"/>
    <w:rsid w:val="00434B0F"/>
    <w:rsid w:val="00434D3D"/>
    <w:rsid w:val="00435323"/>
    <w:rsid w:val="0043567A"/>
    <w:rsid w:val="004356D1"/>
    <w:rsid w:val="0043577A"/>
    <w:rsid w:val="00435BC1"/>
    <w:rsid w:val="00435F03"/>
    <w:rsid w:val="004360CC"/>
    <w:rsid w:val="0043610C"/>
    <w:rsid w:val="004361E1"/>
    <w:rsid w:val="004363DD"/>
    <w:rsid w:val="00436712"/>
    <w:rsid w:val="00436878"/>
    <w:rsid w:val="00436A96"/>
    <w:rsid w:val="00436CBE"/>
    <w:rsid w:val="00437021"/>
    <w:rsid w:val="0043705F"/>
    <w:rsid w:val="004371A5"/>
    <w:rsid w:val="00437457"/>
    <w:rsid w:val="004376EF"/>
    <w:rsid w:val="00437A24"/>
    <w:rsid w:val="00437AA1"/>
    <w:rsid w:val="00440233"/>
    <w:rsid w:val="004403DC"/>
    <w:rsid w:val="00440533"/>
    <w:rsid w:val="004405DE"/>
    <w:rsid w:val="004407FE"/>
    <w:rsid w:val="00440AB5"/>
    <w:rsid w:val="00440B55"/>
    <w:rsid w:val="0044122F"/>
    <w:rsid w:val="00441350"/>
    <w:rsid w:val="004414EB"/>
    <w:rsid w:val="0044159A"/>
    <w:rsid w:val="00441F18"/>
    <w:rsid w:val="00441F80"/>
    <w:rsid w:val="00442083"/>
    <w:rsid w:val="00442269"/>
    <w:rsid w:val="004422DC"/>
    <w:rsid w:val="0044245A"/>
    <w:rsid w:val="004426B9"/>
    <w:rsid w:val="00442780"/>
    <w:rsid w:val="0044298C"/>
    <w:rsid w:val="00442B00"/>
    <w:rsid w:val="00442C91"/>
    <w:rsid w:val="004433AD"/>
    <w:rsid w:val="004433FB"/>
    <w:rsid w:val="004434F5"/>
    <w:rsid w:val="00443729"/>
    <w:rsid w:val="00443765"/>
    <w:rsid w:val="004439A9"/>
    <w:rsid w:val="00443A5F"/>
    <w:rsid w:val="00443CFF"/>
    <w:rsid w:val="0044433B"/>
    <w:rsid w:val="0044474F"/>
    <w:rsid w:val="00444ABC"/>
    <w:rsid w:val="00444BFC"/>
    <w:rsid w:val="0044519F"/>
    <w:rsid w:val="00445532"/>
    <w:rsid w:val="0044561B"/>
    <w:rsid w:val="0044562D"/>
    <w:rsid w:val="004458A2"/>
    <w:rsid w:val="00445B92"/>
    <w:rsid w:val="00445D82"/>
    <w:rsid w:val="00445FCE"/>
    <w:rsid w:val="00446624"/>
    <w:rsid w:val="0044665C"/>
    <w:rsid w:val="00446951"/>
    <w:rsid w:val="00446C75"/>
    <w:rsid w:val="00446C7D"/>
    <w:rsid w:val="00446D70"/>
    <w:rsid w:val="00447551"/>
    <w:rsid w:val="00447950"/>
    <w:rsid w:val="004479C5"/>
    <w:rsid w:val="00447CD4"/>
    <w:rsid w:val="00447E6D"/>
    <w:rsid w:val="00450476"/>
    <w:rsid w:val="00450598"/>
    <w:rsid w:val="0045081F"/>
    <w:rsid w:val="00450994"/>
    <w:rsid w:val="004509C4"/>
    <w:rsid w:val="00450B5A"/>
    <w:rsid w:val="00450D14"/>
    <w:rsid w:val="004510C7"/>
    <w:rsid w:val="00451128"/>
    <w:rsid w:val="004517D4"/>
    <w:rsid w:val="004517D7"/>
    <w:rsid w:val="00451B45"/>
    <w:rsid w:val="00451D42"/>
    <w:rsid w:val="00451E18"/>
    <w:rsid w:val="00451E22"/>
    <w:rsid w:val="00451E36"/>
    <w:rsid w:val="00451E70"/>
    <w:rsid w:val="00451EA7"/>
    <w:rsid w:val="00451F95"/>
    <w:rsid w:val="004521EF"/>
    <w:rsid w:val="00452305"/>
    <w:rsid w:val="004523F1"/>
    <w:rsid w:val="00452401"/>
    <w:rsid w:val="00452648"/>
    <w:rsid w:val="004527D3"/>
    <w:rsid w:val="004531CD"/>
    <w:rsid w:val="0045347A"/>
    <w:rsid w:val="004536C3"/>
    <w:rsid w:val="00453A04"/>
    <w:rsid w:val="00453C81"/>
    <w:rsid w:val="00453C9A"/>
    <w:rsid w:val="00454098"/>
    <w:rsid w:val="0045437B"/>
    <w:rsid w:val="00454427"/>
    <w:rsid w:val="0045450C"/>
    <w:rsid w:val="00454807"/>
    <w:rsid w:val="00454E45"/>
    <w:rsid w:val="00454F13"/>
    <w:rsid w:val="00454F87"/>
    <w:rsid w:val="00455381"/>
    <w:rsid w:val="0045553E"/>
    <w:rsid w:val="00455708"/>
    <w:rsid w:val="0045574E"/>
    <w:rsid w:val="00455884"/>
    <w:rsid w:val="004559FE"/>
    <w:rsid w:val="00456106"/>
    <w:rsid w:val="004564AE"/>
    <w:rsid w:val="004568C7"/>
    <w:rsid w:val="004568D8"/>
    <w:rsid w:val="00456F2C"/>
    <w:rsid w:val="00456F9B"/>
    <w:rsid w:val="00457201"/>
    <w:rsid w:val="004574D3"/>
    <w:rsid w:val="00457F84"/>
    <w:rsid w:val="004602FC"/>
    <w:rsid w:val="004610DB"/>
    <w:rsid w:val="0046134F"/>
    <w:rsid w:val="004614BD"/>
    <w:rsid w:val="00461514"/>
    <w:rsid w:val="00461549"/>
    <w:rsid w:val="00461DCA"/>
    <w:rsid w:val="00461DFC"/>
    <w:rsid w:val="00462270"/>
    <w:rsid w:val="004622D1"/>
    <w:rsid w:val="00462912"/>
    <w:rsid w:val="00462D64"/>
    <w:rsid w:val="0046300B"/>
    <w:rsid w:val="00463411"/>
    <w:rsid w:val="00463432"/>
    <w:rsid w:val="004637D5"/>
    <w:rsid w:val="00463F54"/>
    <w:rsid w:val="00464040"/>
    <w:rsid w:val="0046412E"/>
    <w:rsid w:val="0046417F"/>
    <w:rsid w:val="00464192"/>
    <w:rsid w:val="0046419A"/>
    <w:rsid w:val="004647CC"/>
    <w:rsid w:val="004647D2"/>
    <w:rsid w:val="00464C17"/>
    <w:rsid w:val="00465043"/>
    <w:rsid w:val="0046525F"/>
    <w:rsid w:val="004652FB"/>
    <w:rsid w:val="004654B8"/>
    <w:rsid w:val="0046558B"/>
    <w:rsid w:val="0046567F"/>
    <w:rsid w:val="0046585D"/>
    <w:rsid w:val="0046595D"/>
    <w:rsid w:val="00466386"/>
    <w:rsid w:val="004663DC"/>
    <w:rsid w:val="0046656D"/>
    <w:rsid w:val="004667E8"/>
    <w:rsid w:val="00466AC4"/>
    <w:rsid w:val="00466C0B"/>
    <w:rsid w:val="00466EB0"/>
    <w:rsid w:val="00466ED6"/>
    <w:rsid w:val="00466FC4"/>
    <w:rsid w:val="004670DE"/>
    <w:rsid w:val="00467155"/>
    <w:rsid w:val="004675B5"/>
    <w:rsid w:val="004676F8"/>
    <w:rsid w:val="00467725"/>
    <w:rsid w:val="00467735"/>
    <w:rsid w:val="00467D12"/>
    <w:rsid w:val="004701B7"/>
    <w:rsid w:val="00470257"/>
    <w:rsid w:val="004705C0"/>
    <w:rsid w:val="00470811"/>
    <w:rsid w:val="00470A28"/>
    <w:rsid w:val="00470BBC"/>
    <w:rsid w:val="00470CB2"/>
    <w:rsid w:val="00470D23"/>
    <w:rsid w:val="00471334"/>
    <w:rsid w:val="004713F4"/>
    <w:rsid w:val="00471548"/>
    <w:rsid w:val="00471756"/>
    <w:rsid w:val="00471850"/>
    <w:rsid w:val="00471BCB"/>
    <w:rsid w:val="00471CC2"/>
    <w:rsid w:val="00472057"/>
    <w:rsid w:val="00472126"/>
    <w:rsid w:val="004727DC"/>
    <w:rsid w:val="00472867"/>
    <w:rsid w:val="00472B91"/>
    <w:rsid w:val="00472E24"/>
    <w:rsid w:val="00472E80"/>
    <w:rsid w:val="00473300"/>
    <w:rsid w:val="00473B35"/>
    <w:rsid w:val="00473F5F"/>
    <w:rsid w:val="004743B5"/>
    <w:rsid w:val="00474A01"/>
    <w:rsid w:val="00474B0C"/>
    <w:rsid w:val="00474CA8"/>
    <w:rsid w:val="00475172"/>
    <w:rsid w:val="0047529B"/>
    <w:rsid w:val="00475399"/>
    <w:rsid w:val="00475B73"/>
    <w:rsid w:val="00475BCA"/>
    <w:rsid w:val="004760B5"/>
    <w:rsid w:val="00476206"/>
    <w:rsid w:val="004762C5"/>
    <w:rsid w:val="004764F1"/>
    <w:rsid w:val="004767B6"/>
    <w:rsid w:val="00477149"/>
    <w:rsid w:val="00477370"/>
    <w:rsid w:val="00477416"/>
    <w:rsid w:val="004776F7"/>
    <w:rsid w:val="00477817"/>
    <w:rsid w:val="00477A90"/>
    <w:rsid w:val="0048048D"/>
    <w:rsid w:val="004805EE"/>
    <w:rsid w:val="004809AE"/>
    <w:rsid w:val="004809DF"/>
    <w:rsid w:val="00480ABB"/>
    <w:rsid w:val="00480E7D"/>
    <w:rsid w:val="00480F7D"/>
    <w:rsid w:val="00481003"/>
    <w:rsid w:val="004819A9"/>
    <w:rsid w:val="00481E82"/>
    <w:rsid w:val="0048215E"/>
    <w:rsid w:val="004822FE"/>
    <w:rsid w:val="004824A3"/>
    <w:rsid w:val="00482784"/>
    <w:rsid w:val="0048323B"/>
    <w:rsid w:val="0048361C"/>
    <w:rsid w:val="0048366D"/>
    <w:rsid w:val="00483C90"/>
    <w:rsid w:val="00483CB4"/>
    <w:rsid w:val="00483DD6"/>
    <w:rsid w:val="0048410B"/>
    <w:rsid w:val="00484175"/>
    <w:rsid w:val="004841A0"/>
    <w:rsid w:val="0048423D"/>
    <w:rsid w:val="00484327"/>
    <w:rsid w:val="00484333"/>
    <w:rsid w:val="00484524"/>
    <w:rsid w:val="004849DB"/>
    <w:rsid w:val="00484C12"/>
    <w:rsid w:val="00484CA0"/>
    <w:rsid w:val="00484D07"/>
    <w:rsid w:val="004856CB"/>
    <w:rsid w:val="00485E27"/>
    <w:rsid w:val="0048628B"/>
    <w:rsid w:val="004863D6"/>
    <w:rsid w:val="004866D4"/>
    <w:rsid w:val="00486776"/>
    <w:rsid w:val="004867A1"/>
    <w:rsid w:val="004867C4"/>
    <w:rsid w:val="00486A62"/>
    <w:rsid w:val="00486CEB"/>
    <w:rsid w:val="00486E23"/>
    <w:rsid w:val="00486FC1"/>
    <w:rsid w:val="00486FDD"/>
    <w:rsid w:val="004871C0"/>
    <w:rsid w:val="00487318"/>
    <w:rsid w:val="00487A2A"/>
    <w:rsid w:val="00487B6F"/>
    <w:rsid w:val="00487B99"/>
    <w:rsid w:val="00487BE5"/>
    <w:rsid w:val="0049010F"/>
    <w:rsid w:val="0049031B"/>
    <w:rsid w:val="00490429"/>
    <w:rsid w:val="004908A7"/>
    <w:rsid w:val="00490E1E"/>
    <w:rsid w:val="00490F09"/>
    <w:rsid w:val="0049177C"/>
    <w:rsid w:val="0049197B"/>
    <w:rsid w:val="00491AA9"/>
    <w:rsid w:val="00491B69"/>
    <w:rsid w:val="00491FE4"/>
    <w:rsid w:val="00492556"/>
    <w:rsid w:val="004929FC"/>
    <w:rsid w:val="00492BAB"/>
    <w:rsid w:val="00492D2E"/>
    <w:rsid w:val="00492FB5"/>
    <w:rsid w:val="0049316B"/>
    <w:rsid w:val="00493509"/>
    <w:rsid w:val="004948D3"/>
    <w:rsid w:val="00494BB8"/>
    <w:rsid w:val="00494C20"/>
    <w:rsid w:val="00494FEC"/>
    <w:rsid w:val="0049538F"/>
    <w:rsid w:val="004955D8"/>
    <w:rsid w:val="00495B66"/>
    <w:rsid w:val="00495D08"/>
    <w:rsid w:val="00495E7C"/>
    <w:rsid w:val="00495EFB"/>
    <w:rsid w:val="004961FD"/>
    <w:rsid w:val="0049623B"/>
    <w:rsid w:val="00496462"/>
    <w:rsid w:val="004964FF"/>
    <w:rsid w:val="00496A11"/>
    <w:rsid w:val="00496BE7"/>
    <w:rsid w:val="00496C99"/>
    <w:rsid w:val="00497039"/>
    <w:rsid w:val="004971AF"/>
    <w:rsid w:val="004971B6"/>
    <w:rsid w:val="00497331"/>
    <w:rsid w:val="0049746E"/>
    <w:rsid w:val="00497B26"/>
    <w:rsid w:val="004A039B"/>
    <w:rsid w:val="004A03BF"/>
    <w:rsid w:val="004A08C1"/>
    <w:rsid w:val="004A091C"/>
    <w:rsid w:val="004A0B50"/>
    <w:rsid w:val="004A0D07"/>
    <w:rsid w:val="004A0DFC"/>
    <w:rsid w:val="004A0E32"/>
    <w:rsid w:val="004A0E7C"/>
    <w:rsid w:val="004A0F4A"/>
    <w:rsid w:val="004A106C"/>
    <w:rsid w:val="004A11B9"/>
    <w:rsid w:val="004A13C7"/>
    <w:rsid w:val="004A1471"/>
    <w:rsid w:val="004A1ACD"/>
    <w:rsid w:val="004A1B78"/>
    <w:rsid w:val="004A1D34"/>
    <w:rsid w:val="004A27AC"/>
    <w:rsid w:val="004A2809"/>
    <w:rsid w:val="004A285E"/>
    <w:rsid w:val="004A29E7"/>
    <w:rsid w:val="004A2BEA"/>
    <w:rsid w:val="004A2DF8"/>
    <w:rsid w:val="004A3288"/>
    <w:rsid w:val="004A346D"/>
    <w:rsid w:val="004A3571"/>
    <w:rsid w:val="004A3EF9"/>
    <w:rsid w:val="004A401B"/>
    <w:rsid w:val="004A40B9"/>
    <w:rsid w:val="004A4111"/>
    <w:rsid w:val="004A41A7"/>
    <w:rsid w:val="004A4973"/>
    <w:rsid w:val="004A49AA"/>
    <w:rsid w:val="004A4C3B"/>
    <w:rsid w:val="004A4DB2"/>
    <w:rsid w:val="004A4E50"/>
    <w:rsid w:val="004A4EA6"/>
    <w:rsid w:val="004A4F6E"/>
    <w:rsid w:val="004A4FB6"/>
    <w:rsid w:val="004A51FA"/>
    <w:rsid w:val="004A59EE"/>
    <w:rsid w:val="004A5A11"/>
    <w:rsid w:val="004A5D40"/>
    <w:rsid w:val="004A5E3E"/>
    <w:rsid w:val="004A5EC4"/>
    <w:rsid w:val="004A5EF0"/>
    <w:rsid w:val="004A611A"/>
    <w:rsid w:val="004A61E0"/>
    <w:rsid w:val="004A65BF"/>
    <w:rsid w:val="004A6656"/>
    <w:rsid w:val="004A6B02"/>
    <w:rsid w:val="004A6D41"/>
    <w:rsid w:val="004A702C"/>
    <w:rsid w:val="004A707F"/>
    <w:rsid w:val="004A710C"/>
    <w:rsid w:val="004A711F"/>
    <w:rsid w:val="004A7633"/>
    <w:rsid w:val="004A76A0"/>
    <w:rsid w:val="004A78CD"/>
    <w:rsid w:val="004A7ACD"/>
    <w:rsid w:val="004A7CE2"/>
    <w:rsid w:val="004A7FB6"/>
    <w:rsid w:val="004B0100"/>
    <w:rsid w:val="004B05C1"/>
    <w:rsid w:val="004B0935"/>
    <w:rsid w:val="004B0964"/>
    <w:rsid w:val="004B0DC9"/>
    <w:rsid w:val="004B0DF6"/>
    <w:rsid w:val="004B144B"/>
    <w:rsid w:val="004B161D"/>
    <w:rsid w:val="004B17E4"/>
    <w:rsid w:val="004B1AD9"/>
    <w:rsid w:val="004B1B9B"/>
    <w:rsid w:val="004B1C29"/>
    <w:rsid w:val="004B2387"/>
    <w:rsid w:val="004B2736"/>
    <w:rsid w:val="004B2AE2"/>
    <w:rsid w:val="004B2DCA"/>
    <w:rsid w:val="004B3035"/>
    <w:rsid w:val="004B382A"/>
    <w:rsid w:val="004B3D78"/>
    <w:rsid w:val="004B4151"/>
    <w:rsid w:val="004B432E"/>
    <w:rsid w:val="004B44EB"/>
    <w:rsid w:val="004B4A22"/>
    <w:rsid w:val="004B4EA8"/>
    <w:rsid w:val="004B55BB"/>
    <w:rsid w:val="004B5ACD"/>
    <w:rsid w:val="004B5BCA"/>
    <w:rsid w:val="004B5C37"/>
    <w:rsid w:val="004B6291"/>
    <w:rsid w:val="004B66B3"/>
    <w:rsid w:val="004B716F"/>
    <w:rsid w:val="004B72F5"/>
    <w:rsid w:val="004B77BD"/>
    <w:rsid w:val="004B790F"/>
    <w:rsid w:val="004B79F0"/>
    <w:rsid w:val="004B7D03"/>
    <w:rsid w:val="004B7F91"/>
    <w:rsid w:val="004C021F"/>
    <w:rsid w:val="004C041B"/>
    <w:rsid w:val="004C04D6"/>
    <w:rsid w:val="004C050C"/>
    <w:rsid w:val="004C063C"/>
    <w:rsid w:val="004C0CD2"/>
    <w:rsid w:val="004C0D16"/>
    <w:rsid w:val="004C0DED"/>
    <w:rsid w:val="004C0E8D"/>
    <w:rsid w:val="004C1281"/>
    <w:rsid w:val="004C133F"/>
    <w:rsid w:val="004C136A"/>
    <w:rsid w:val="004C1404"/>
    <w:rsid w:val="004C18BD"/>
    <w:rsid w:val="004C1B03"/>
    <w:rsid w:val="004C1F47"/>
    <w:rsid w:val="004C21BF"/>
    <w:rsid w:val="004C21F0"/>
    <w:rsid w:val="004C2399"/>
    <w:rsid w:val="004C239F"/>
    <w:rsid w:val="004C23A0"/>
    <w:rsid w:val="004C2455"/>
    <w:rsid w:val="004C299A"/>
    <w:rsid w:val="004C2BC2"/>
    <w:rsid w:val="004C2CBE"/>
    <w:rsid w:val="004C2D00"/>
    <w:rsid w:val="004C2F8B"/>
    <w:rsid w:val="004C325A"/>
    <w:rsid w:val="004C3396"/>
    <w:rsid w:val="004C36F7"/>
    <w:rsid w:val="004C4169"/>
    <w:rsid w:val="004C4191"/>
    <w:rsid w:val="004C4256"/>
    <w:rsid w:val="004C4281"/>
    <w:rsid w:val="004C4366"/>
    <w:rsid w:val="004C484A"/>
    <w:rsid w:val="004C4BA7"/>
    <w:rsid w:val="004C4C9E"/>
    <w:rsid w:val="004C4E01"/>
    <w:rsid w:val="004C4EAA"/>
    <w:rsid w:val="004C50C0"/>
    <w:rsid w:val="004C54F2"/>
    <w:rsid w:val="004C561F"/>
    <w:rsid w:val="004C58A3"/>
    <w:rsid w:val="004C5CF1"/>
    <w:rsid w:val="004C5E6E"/>
    <w:rsid w:val="004C5F33"/>
    <w:rsid w:val="004C5F86"/>
    <w:rsid w:val="004C605F"/>
    <w:rsid w:val="004C6148"/>
    <w:rsid w:val="004C66FF"/>
    <w:rsid w:val="004C6713"/>
    <w:rsid w:val="004C6B1F"/>
    <w:rsid w:val="004C6DFB"/>
    <w:rsid w:val="004C7153"/>
    <w:rsid w:val="004C7A3C"/>
    <w:rsid w:val="004C7B06"/>
    <w:rsid w:val="004C7DBC"/>
    <w:rsid w:val="004D0148"/>
    <w:rsid w:val="004D02A9"/>
    <w:rsid w:val="004D033F"/>
    <w:rsid w:val="004D055D"/>
    <w:rsid w:val="004D0A85"/>
    <w:rsid w:val="004D0AD6"/>
    <w:rsid w:val="004D0BC4"/>
    <w:rsid w:val="004D0D86"/>
    <w:rsid w:val="004D11E0"/>
    <w:rsid w:val="004D1293"/>
    <w:rsid w:val="004D1778"/>
    <w:rsid w:val="004D1868"/>
    <w:rsid w:val="004D188A"/>
    <w:rsid w:val="004D1B56"/>
    <w:rsid w:val="004D1D12"/>
    <w:rsid w:val="004D22E0"/>
    <w:rsid w:val="004D2373"/>
    <w:rsid w:val="004D28E9"/>
    <w:rsid w:val="004D2A13"/>
    <w:rsid w:val="004D2B5D"/>
    <w:rsid w:val="004D2DD4"/>
    <w:rsid w:val="004D2EC7"/>
    <w:rsid w:val="004D3227"/>
    <w:rsid w:val="004D3468"/>
    <w:rsid w:val="004D396E"/>
    <w:rsid w:val="004D3A23"/>
    <w:rsid w:val="004D3AE0"/>
    <w:rsid w:val="004D3B0F"/>
    <w:rsid w:val="004D3B6F"/>
    <w:rsid w:val="004D43CC"/>
    <w:rsid w:val="004D470D"/>
    <w:rsid w:val="004D4BAA"/>
    <w:rsid w:val="004D4F4E"/>
    <w:rsid w:val="004D4F58"/>
    <w:rsid w:val="004D525F"/>
    <w:rsid w:val="004D527D"/>
    <w:rsid w:val="004D5366"/>
    <w:rsid w:val="004D55AD"/>
    <w:rsid w:val="004D5640"/>
    <w:rsid w:val="004D57C3"/>
    <w:rsid w:val="004D5924"/>
    <w:rsid w:val="004D598C"/>
    <w:rsid w:val="004D5AB1"/>
    <w:rsid w:val="004D5CA5"/>
    <w:rsid w:val="004D5E74"/>
    <w:rsid w:val="004D6113"/>
    <w:rsid w:val="004D62EE"/>
    <w:rsid w:val="004D6367"/>
    <w:rsid w:val="004D6576"/>
    <w:rsid w:val="004D658F"/>
    <w:rsid w:val="004D6989"/>
    <w:rsid w:val="004D7111"/>
    <w:rsid w:val="004D744D"/>
    <w:rsid w:val="004D7551"/>
    <w:rsid w:val="004D7FFC"/>
    <w:rsid w:val="004E05BE"/>
    <w:rsid w:val="004E0B2C"/>
    <w:rsid w:val="004E10B8"/>
    <w:rsid w:val="004E15E4"/>
    <w:rsid w:val="004E178C"/>
    <w:rsid w:val="004E1DA4"/>
    <w:rsid w:val="004E1F43"/>
    <w:rsid w:val="004E1F6D"/>
    <w:rsid w:val="004E1FB6"/>
    <w:rsid w:val="004E2046"/>
    <w:rsid w:val="004E21DD"/>
    <w:rsid w:val="004E23D0"/>
    <w:rsid w:val="004E308D"/>
    <w:rsid w:val="004E31D0"/>
    <w:rsid w:val="004E3571"/>
    <w:rsid w:val="004E36AE"/>
    <w:rsid w:val="004E36BF"/>
    <w:rsid w:val="004E3A52"/>
    <w:rsid w:val="004E3BD9"/>
    <w:rsid w:val="004E3E83"/>
    <w:rsid w:val="004E3FD0"/>
    <w:rsid w:val="004E4233"/>
    <w:rsid w:val="004E47BA"/>
    <w:rsid w:val="004E4FEE"/>
    <w:rsid w:val="004E53B4"/>
    <w:rsid w:val="004E569E"/>
    <w:rsid w:val="004E59A8"/>
    <w:rsid w:val="004E5AA1"/>
    <w:rsid w:val="004E5BFC"/>
    <w:rsid w:val="004E5DBF"/>
    <w:rsid w:val="004E61F8"/>
    <w:rsid w:val="004E6218"/>
    <w:rsid w:val="004E627B"/>
    <w:rsid w:val="004E637D"/>
    <w:rsid w:val="004E6640"/>
    <w:rsid w:val="004E6D6B"/>
    <w:rsid w:val="004E7882"/>
    <w:rsid w:val="004E7BD3"/>
    <w:rsid w:val="004F0022"/>
    <w:rsid w:val="004F06A4"/>
    <w:rsid w:val="004F06F7"/>
    <w:rsid w:val="004F08ED"/>
    <w:rsid w:val="004F16C1"/>
    <w:rsid w:val="004F18EF"/>
    <w:rsid w:val="004F1C20"/>
    <w:rsid w:val="004F1FC7"/>
    <w:rsid w:val="004F27AC"/>
    <w:rsid w:val="004F2842"/>
    <w:rsid w:val="004F29C4"/>
    <w:rsid w:val="004F2C84"/>
    <w:rsid w:val="004F2EF5"/>
    <w:rsid w:val="004F3163"/>
    <w:rsid w:val="004F3208"/>
    <w:rsid w:val="004F3513"/>
    <w:rsid w:val="004F353D"/>
    <w:rsid w:val="004F363E"/>
    <w:rsid w:val="004F365F"/>
    <w:rsid w:val="004F3805"/>
    <w:rsid w:val="004F38F5"/>
    <w:rsid w:val="004F3924"/>
    <w:rsid w:val="004F3B8E"/>
    <w:rsid w:val="004F3FA9"/>
    <w:rsid w:val="004F419B"/>
    <w:rsid w:val="004F4330"/>
    <w:rsid w:val="004F464B"/>
    <w:rsid w:val="004F4F11"/>
    <w:rsid w:val="004F52AB"/>
    <w:rsid w:val="004F5430"/>
    <w:rsid w:val="004F5469"/>
    <w:rsid w:val="004F5488"/>
    <w:rsid w:val="004F55B7"/>
    <w:rsid w:val="004F5853"/>
    <w:rsid w:val="004F5999"/>
    <w:rsid w:val="004F5AA2"/>
    <w:rsid w:val="004F5FA7"/>
    <w:rsid w:val="004F617A"/>
    <w:rsid w:val="004F6218"/>
    <w:rsid w:val="004F66A2"/>
    <w:rsid w:val="004F6742"/>
    <w:rsid w:val="004F6915"/>
    <w:rsid w:val="004F6FD0"/>
    <w:rsid w:val="004F7657"/>
    <w:rsid w:val="004F777D"/>
    <w:rsid w:val="004F7A1A"/>
    <w:rsid w:val="004F7E9F"/>
    <w:rsid w:val="00500251"/>
    <w:rsid w:val="00500256"/>
    <w:rsid w:val="005002E5"/>
    <w:rsid w:val="00500578"/>
    <w:rsid w:val="00500949"/>
    <w:rsid w:val="00500AE0"/>
    <w:rsid w:val="00500B4A"/>
    <w:rsid w:val="00500C4C"/>
    <w:rsid w:val="00500E9D"/>
    <w:rsid w:val="00500FE6"/>
    <w:rsid w:val="0050164B"/>
    <w:rsid w:val="00501914"/>
    <w:rsid w:val="00501A5D"/>
    <w:rsid w:val="00501F69"/>
    <w:rsid w:val="0050211A"/>
    <w:rsid w:val="0050260A"/>
    <w:rsid w:val="00502664"/>
    <w:rsid w:val="0050269A"/>
    <w:rsid w:val="00502750"/>
    <w:rsid w:val="00502C0E"/>
    <w:rsid w:val="00502D36"/>
    <w:rsid w:val="00502D92"/>
    <w:rsid w:val="005031E4"/>
    <w:rsid w:val="00503361"/>
    <w:rsid w:val="005033C5"/>
    <w:rsid w:val="00503510"/>
    <w:rsid w:val="005038B1"/>
    <w:rsid w:val="00503C33"/>
    <w:rsid w:val="00503CD6"/>
    <w:rsid w:val="00503E24"/>
    <w:rsid w:val="005041F4"/>
    <w:rsid w:val="00504563"/>
    <w:rsid w:val="00504A66"/>
    <w:rsid w:val="00505110"/>
    <w:rsid w:val="0050597C"/>
    <w:rsid w:val="00505A4F"/>
    <w:rsid w:val="00505EA8"/>
    <w:rsid w:val="00505F36"/>
    <w:rsid w:val="00506572"/>
    <w:rsid w:val="005067C0"/>
    <w:rsid w:val="00506A83"/>
    <w:rsid w:val="00506D55"/>
    <w:rsid w:val="00506D5B"/>
    <w:rsid w:val="00506E33"/>
    <w:rsid w:val="00506F95"/>
    <w:rsid w:val="005072D1"/>
    <w:rsid w:val="00507A65"/>
    <w:rsid w:val="00507A8D"/>
    <w:rsid w:val="00507C47"/>
    <w:rsid w:val="00507D25"/>
    <w:rsid w:val="00507D6C"/>
    <w:rsid w:val="00507DE9"/>
    <w:rsid w:val="00507F7A"/>
    <w:rsid w:val="00507FBE"/>
    <w:rsid w:val="0051021C"/>
    <w:rsid w:val="005103D4"/>
    <w:rsid w:val="00510706"/>
    <w:rsid w:val="00510910"/>
    <w:rsid w:val="00510A23"/>
    <w:rsid w:val="00510B32"/>
    <w:rsid w:val="00511166"/>
    <w:rsid w:val="005111C2"/>
    <w:rsid w:val="0051168B"/>
    <w:rsid w:val="00511941"/>
    <w:rsid w:val="00511950"/>
    <w:rsid w:val="00511D59"/>
    <w:rsid w:val="00511E75"/>
    <w:rsid w:val="00511EB4"/>
    <w:rsid w:val="0051208D"/>
    <w:rsid w:val="005120DD"/>
    <w:rsid w:val="00512A52"/>
    <w:rsid w:val="00512CAC"/>
    <w:rsid w:val="0051372F"/>
    <w:rsid w:val="00513954"/>
    <w:rsid w:val="00513C8E"/>
    <w:rsid w:val="00513FBB"/>
    <w:rsid w:val="0051495B"/>
    <w:rsid w:val="00514AEB"/>
    <w:rsid w:val="00514D9B"/>
    <w:rsid w:val="00515033"/>
    <w:rsid w:val="005153FF"/>
    <w:rsid w:val="005156DC"/>
    <w:rsid w:val="00515700"/>
    <w:rsid w:val="0051571E"/>
    <w:rsid w:val="005159FD"/>
    <w:rsid w:val="00516412"/>
    <w:rsid w:val="00516430"/>
    <w:rsid w:val="0051656A"/>
    <w:rsid w:val="00516930"/>
    <w:rsid w:val="00516CDC"/>
    <w:rsid w:val="00516FF9"/>
    <w:rsid w:val="005176A4"/>
    <w:rsid w:val="00517A4E"/>
    <w:rsid w:val="00517CA2"/>
    <w:rsid w:val="005200D4"/>
    <w:rsid w:val="005204C6"/>
    <w:rsid w:val="005206BE"/>
    <w:rsid w:val="00520AA3"/>
    <w:rsid w:val="00520DE3"/>
    <w:rsid w:val="00520DE7"/>
    <w:rsid w:val="00520ED9"/>
    <w:rsid w:val="00520FC7"/>
    <w:rsid w:val="005214F1"/>
    <w:rsid w:val="0052150B"/>
    <w:rsid w:val="005215A9"/>
    <w:rsid w:val="005216D0"/>
    <w:rsid w:val="005216FC"/>
    <w:rsid w:val="00521B20"/>
    <w:rsid w:val="00521C4F"/>
    <w:rsid w:val="0052204A"/>
    <w:rsid w:val="005220E1"/>
    <w:rsid w:val="00522B7D"/>
    <w:rsid w:val="00522F82"/>
    <w:rsid w:val="005230B9"/>
    <w:rsid w:val="005232C7"/>
    <w:rsid w:val="0052346C"/>
    <w:rsid w:val="00523971"/>
    <w:rsid w:val="00523AC1"/>
    <w:rsid w:val="00523EC6"/>
    <w:rsid w:val="00523F3A"/>
    <w:rsid w:val="00523FC0"/>
    <w:rsid w:val="005241C9"/>
    <w:rsid w:val="00524411"/>
    <w:rsid w:val="00524490"/>
    <w:rsid w:val="005245CA"/>
    <w:rsid w:val="00524E39"/>
    <w:rsid w:val="00524EFA"/>
    <w:rsid w:val="00524FF7"/>
    <w:rsid w:val="00525044"/>
    <w:rsid w:val="005251DD"/>
    <w:rsid w:val="00525523"/>
    <w:rsid w:val="005256B5"/>
    <w:rsid w:val="00525917"/>
    <w:rsid w:val="005259F3"/>
    <w:rsid w:val="00525E26"/>
    <w:rsid w:val="00525EB3"/>
    <w:rsid w:val="00525EF2"/>
    <w:rsid w:val="00526014"/>
    <w:rsid w:val="0052611B"/>
    <w:rsid w:val="005261D9"/>
    <w:rsid w:val="00526523"/>
    <w:rsid w:val="005265AB"/>
    <w:rsid w:val="00526A5A"/>
    <w:rsid w:val="00526B9F"/>
    <w:rsid w:val="00526BC8"/>
    <w:rsid w:val="00526F1B"/>
    <w:rsid w:val="00526FA8"/>
    <w:rsid w:val="0052701A"/>
    <w:rsid w:val="00527062"/>
    <w:rsid w:val="005271B6"/>
    <w:rsid w:val="0052776F"/>
    <w:rsid w:val="00527C73"/>
    <w:rsid w:val="00527E65"/>
    <w:rsid w:val="00527E95"/>
    <w:rsid w:val="00527EB2"/>
    <w:rsid w:val="00527FDB"/>
    <w:rsid w:val="00530353"/>
    <w:rsid w:val="00530429"/>
    <w:rsid w:val="00530B7C"/>
    <w:rsid w:val="00531235"/>
    <w:rsid w:val="005315A5"/>
    <w:rsid w:val="00531740"/>
    <w:rsid w:val="00531776"/>
    <w:rsid w:val="0053184D"/>
    <w:rsid w:val="00531AEA"/>
    <w:rsid w:val="00531B49"/>
    <w:rsid w:val="00531ED6"/>
    <w:rsid w:val="00531EE8"/>
    <w:rsid w:val="005321F6"/>
    <w:rsid w:val="005326AF"/>
    <w:rsid w:val="0053296D"/>
    <w:rsid w:val="00532B33"/>
    <w:rsid w:val="00532C5F"/>
    <w:rsid w:val="00532D4B"/>
    <w:rsid w:val="00532F4B"/>
    <w:rsid w:val="00532F80"/>
    <w:rsid w:val="0053308C"/>
    <w:rsid w:val="005335A3"/>
    <w:rsid w:val="005338ED"/>
    <w:rsid w:val="00533974"/>
    <w:rsid w:val="00533E84"/>
    <w:rsid w:val="0053409C"/>
    <w:rsid w:val="00534168"/>
    <w:rsid w:val="005345B6"/>
    <w:rsid w:val="0053475C"/>
    <w:rsid w:val="005347D6"/>
    <w:rsid w:val="0053492A"/>
    <w:rsid w:val="00534976"/>
    <w:rsid w:val="00534A07"/>
    <w:rsid w:val="00534A7C"/>
    <w:rsid w:val="00534BAE"/>
    <w:rsid w:val="005350C4"/>
    <w:rsid w:val="00535653"/>
    <w:rsid w:val="00535B41"/>
    <w:rsid w:val="00535C28"/>
    <w:rsid w:val="00535C53"/>
    <w:rsid w:val="00536441"/>
    <w:rsid w:val="00536545"/>
    <w:rsid w:val="00536970"/>
    <w:rsid w:val="00536A86"/>
    <w:rsid w:val="00536BBE"/>
    <w:rsid w:val="005371C1"/>
    <w:rsid w:val="005378F9"/>
    <w:rsid w:val="00537D6C"/>
    <w:rsid w:val="005401AE"/>
    <w:rsid w:val="0054059E"/>
    <w:rsid w:val="005406AB"/>
    <w:rsid w:val="00540897"/>
    <w:rsid w:val="00540A2C"/>
    <w:rsid w:val="00540C21"/>
    <w:rsid w:val="00540E3A"/>
    <w:rsid w:val="00540EA4"/>
    <w:rsid w:val="00540FD5"/>
    <w:rsid w:val="005410B5"/>
    <w:rsid w:val="005414A7"/>
    <w:rsid w:val="00541892"/>
    <w:rsid w:val="005418A4"/>
    <w:rsid w:val="005420BB"/>
    <w:rsid w:val="005421CD"/>
    <w:rsid w:val="005422CB"/>
    <w:rsid w:val="0054234A"/>
    <w:rsid w:val="00542976"/>
    <w:rsid w:val="00542D4D"/>
    <w:rsid w:val="00542DE6"/>
    <w:rsid w:val="00542F36"/>
    <w:rsid w:val="00542FBC"/>
    <w:rsid w:val="0054300E"/>
    <w:rsid w:val="005430E1"/>
    <w:rsid w:val="00543447"/>
    <w:rsid w:val="00543553"/>
    <w:rsid w:val="00543E27"/>
    <w:rsid w:val="00544285"/>
    <w:rsid w:val="005443C4"/>
    <w:rsid w:val="00544790"/>
    <w:rsid w:val="00544A63"/>
    <w:rsid w:val="00544D48"/>
    <w:rsid w:val="00544F12"/>
    <w:rsid w:val="00544F6F"/>
    <w:rsid w:val="00544FEB"/>
    <w:rsid w:val="00545150"/>
    <w:rsid w:val="0054515C"/>
    <w:rsid w:val="00545C53"/>
    <w:rsid w:val="00545F75"/>
    <w:rsid w:val="0054603F"/>
    <w:rsid w:val="005462DD"/>
    <w:rsid w:val="005464A9"/>
    <w:rsid w:val="005464BC"/>
    <w:rsid w:val="00546CDA"/>
    <w:rsid w:val="00546D8B"/>
    <w:rsid w:val="00546E7B"/>
    <w:rsid w:val="005472EE"/>
    <w:rsid w:val="005473AE"/>
    <w:rsid w:val="0054755B"/>
    <w:rsid w:val="00547562"/>
    <w:rsid w:val="00547594"/>
    <w:rsid w:val="00547719"/>
    <w:rsid w:val="00547A39"/>
    <w:rsid w:val="00547BD5"/>
    <w:rsid w:val="00547DE0"/>
    <w:rsid w:val="00547FB9"/>
    <w:rsid w:val="0055034C"/>
    <w:rsid w:val="0055042A"/>
    <w:rsid w:val="00550A82"/>
    <w:rsid w:val="00550C8C"/>
    <w:rsid w:val="00551C4D"/>
    <w:rsid w:val="00551F36"/>
    <w:rsid w:val="00552375"/>
    <w:rsid w:val="00552630"/>
    <w:rsid w:val="005527FD"/>
    <w:rsid w:val="0055285E"/>
    <w:rsid w:val="00552BF4"/>
    <w:rsid w:val="00552D19"/>
    <w:rsid w:val="0055337F"/>
    <w:rsid w:val="005535AD"/>
    <w:rsid w:val="00553C85"/>
    <w:rsid w:val="00553CB7"/>
    <w:rsid w:val="00553DFE"/>
    <w:rsid w:val="00553E8E"/>
    <w:rsid w:val="00553F11"/>
    <w:rsid w:val="00554BAE"/>
    <w:rsid w:val="00554C5B"/>
    <w:rsid w:val="00554EF5"/>
    <w:rsid w:val="00555E23"/>
    <w:rsid w:val="00555E73"/>
    <w:rsid w:val="00555F48"/>
    <w:rsid w:val="00555FCB"/>
    <w:rsid w:val="00556026"/>
    <w:rsid w:val="0055612A"/>
    <w:rsid w:val="00556157"/>
    <w:rsid w:val="005566DA"/>
    <w:rsid w:val="00556791"/>
    <w:rsid w:val="005568B8"/>
    <w:rsid w:val="00556C4E"/>
    <w:rsid w:val="005570D8"/>
    <w:rsid w:val="005571C2"/>
    <w:rsid w:val="005574B7"/>
    <w:rsid w:val="00557719"/>
    <w:rsid w:val="00560111"/>
    <w:rsid w:val="005604B9"/>
    <w:rsid w:val="005604F7"/>
    <w:rsid w:val="00560753"/>
    <w:rsid w:val="00560E69"/>
    <w:rsid w:val="00561123"/>
    <w:rsid w:val="00561152"/>
    <w:rsid w:val="00561DAF"/>
    <w:rsid w:val="005628E6"/>
    <w:rsid w:val="005628F1"/>
    <w:rsid w:val="005628FB"/>
    <w:rsid w:val="00562951"/>
    <w:rsid w:val="00562A89"/>
    <w:rsid w:val="00562B22"/>
    <w:rsid w:val="00562D7F"/>
    <w:rsid w:val="00562F07"/>
    <w:rsid w:val="00563268"/>
    <w:rsid w:val="00563270"/>
    <w:rsid w:val="00563505"/>
    <w:rsid w:val="0056359E"/>
    <w:rsid w:val="00563654"/>
    <w:rsid w:val="005636FD"/>
    <w:rsid w:val="00563A00"/>
    <w:rsid w:val="00563D09"/>
    <w:rsid w:val="00563DC1"/>
    <w:rsid w:val="00563F42"/>
    <w:rsid w:val="0056401A"/>
    <w:rsid w:val="00564083"/>
    <w:rsid w:val="0056413A"/>
    <w:rsid w:val="00564474"/>
    <w:rsid w:val="005649BF"/>
    <w:rsid w:val="00564A4B"/>
    <w:rsid w:val="00564DF8"/>
    <w:rsid w:val="00564E89"/>
    <w:rsid w:val="00565060"/>
    <w:rsid w:val="005651AE"/>
    <w:rsid w:val="00565205"/>
    <w:rsid w:val="0056558B"/>
    <w:rsid w:val="00565AB8"/>
    <w:rsid w:val="00565B58"/>
    <w:rsid w:val="00566541"/>
    <w:rsid w:val="005667DB"/>
    <w:rsid w:val="0056680B"/>
    <w:rsid w:val="0056687E"/>
    <w:rsid w:val="005668CD"/>
    <w:rsid w:val="00566C56"/>
    <w:rsid w:val="00566CA4"/>
    <w:rsid w:val="00566D2B"/>
    <w:rsid w:val="00566EA0"/>
    <w:rsid w:val="005670EA"/>
    <w:rsid w:val="00567494"/>
    <w:rsid w:val="005675A5"/>
    <w:rsid w:val="00567AAC"/>
    <w:rsid w:val="00567BFB"/>
    <w:rsid w:val="00567CF7"/>
    <w:rsid w:val="00567F97"/>
    <w:rsid w:val="0057014C"/>
    <w:rsid w:val="0057032E"/>
    <w:rsid w:val="00570356"/>
    <w:rsid w:val="00570A01"/>
    <w:rsid w:val="00571130"/>
    <w:rsid w:val="005712BF"/>
    <w:rsid w:val="00571467"/>
    <w:rsid w:val="00571AF1"/>
    <w:rsid w:val="00571F5E"/>
    <w:rsid w:val="00571F8C"/>
    <w:rsid w:val="005723A0"/>
    <w:rsid w:val="0057248A"/>
    <w:rsid w:val="0057251C"/>
    <w:rsid w:val="0057253D"/>
    <w:rsid w:val="005727E1"/>
    <w:rsid w:val="00572BDD"/>
    <w:rsid w:val="00572E77"/>
    <w:rsid w:val="00572EE2"/>
    <w:rsid w:val="005730A1"/>
    <w:rsid w:val="0057323C"/>
    <w:rsid w:val="005732DF"/>
    <w:rsid w:val="00573340"/>
    <w:rsid w:val="00573BA8"/>
    <w:rsid w:val="00573D06"/>
    <w:rsid w:val="00573DD5"/>
    <w:rsid w:val="00573F32"/>
    <w:rsid w:val="005742B7"/>
    <w:rsid w:val="00574497"/>
    <w:rsid w:val="005746BF"/>
    <w:rsid w:val="005749E1"/>
    <w:rsid w:val="00574B1C"/>
    <w:rsid w:val="00574BA1"/>
    <w:rsid w:val="00574BED"/>
    <w:rsid w:val="00575378"/>
    <w:rsid w:val="00575613"/>
    <w:rsid w:val="0057568E"/>
    <w:rsid w:val="005756F9"/>
    <w:rsid w:val="00575722"/>
    <w:rsid w:val="00575890"/>
    <w:rsid w:val="00575BBF"/>
    <w:rsid w:val="00575D9A"/>
    <w:rsid w:val="0057623F"/>
    <w:rsid w:val="0057658D"/>
    <w:rsid w:val="005765E4"/>
    <w:rsid w:val="005769D1"/>
    <w:rsid w:val="00576B51"/>
    <w:rsid w:val="00576C03"/>
    <w:rsid w:val="0057739B"/>
    <w:rsid w:val="005775DB"/>
    <w:rsid w:val="0057777B"/>
    <w:rsid w:val="00577DD5"/>
    <w:rsid w:val="00577E1F"/>
    <w:rsid w:val="00580022"/>
    <w:rsid w:val="0058021B"/>
    <w:rsid w:val="005802DC"/>
    <w:rsid w:val="005805D2"/>
    <w:rsid w:val="0058083F"/>
    <w:rsid w:val="00580892"/>
    <w:rsid w:val="00581247"/>
    <w:rsid w:val="005813A3"/>
    <w:rsid w:val="005813BA"/>
    <w:rsid w:val="00581785"/>
    <w:rsid w:val="00581A56"/>
    <w:rsid w:val="00581EA4"/>
    <w:rsid w:val="00581F81"/>
    <w:rsid w:val="005820B0"/>
    <w:rsid w:val="0058250C"/>
    <w:rsid w:val="00582DDD"/>
    <w:rsid w:val="005830A2"/>
    <w:rsid w:val="00583163"/>
    <w:rsid w:val="00583185"/>
    <w:rsid w:val="005831B9"/>
    <w:rsid w:val="00583672"/>
    <w:rsid w:val="0058382A"/>
    <w:rsid w:val="00583C2A"/>
    <w:rsid w:val="00583D3F"/>
    <w:rsid w:val="00583EA3"/>
    <w:rsid w:val="00583F3B"/>
    <w:rsid w:val="00584063"/>
    <w:rsid w:val="00584B68"/>
    <w:rsid w:val="00585215"/>
    <w:rsid w:val="005857EB"/>
    <w:rsid w:val="00585B29"/>
    <w:rsid w:val="00585C2A"/>
    <w:rsid w:val="00585E7C"/>
    <w:rsid w:val="00585FF4"/>
    <w:rsid w:val="00586338"/>
    <w:rsid w:val="005863C1"/>
    <w:rsid w:val="00586AC4"/>
    <w:rsid w:val="00586ADE"/>
    <w:rsid w:val="00586BD7"/>
    <w:rsid w:val="00586D7E"/>
    <w:rsid w:val="00586DEA"/>
    <w:rsid w:val="005870D5"/>
    <w:rsid w:val="005870F1"/>
    <w:rsid w:val="00587204"/>
    <w:rsid w:val="005876D9"/>
    <w:rsid w:val="00587C8D"/>
    <w:rsid w:val="005906FA"/>
    <w:rsid w:val="005909CF"/>
    <w:rsid w:val="00590A24"/>
    <w:rsid w:val="00590E5C"/>
    <w:rsid w:val="00590FFF"/>
    <w:rsid w:val="005915F4"/>
    <w:rsid w:val="00591DBC"/>
    <w:rsid w:val="00591F54"/>
    <w:rsid w:val="0059266C"/>
    <w:rsid w:val="00592781"/>
    <w:rsid w:val="0059296D"/>
    <w:rsid w:val="00592C18"/>
    <w:rsid w:val="00592EAF"/>
    <w:rsid w:val="00593009"/>
    <w:rsid w:val="00593909"/>
    <w:rsid w:val="00593911"/>
    <w:rsid w:val="00593967"/>
    <w:rsid w:val="00593F67"/>
    <w:rsid w:val="00593FEF"/>
    <w:rsid w:val="0059417A"/>
    <w:rsid w:val="005943FD"/>
    <w:rsid w:val="00594979"/>
    <w:rsid w:val="00594AC6"/>
    <w:rsid w:val="00594AFF"/>
    <w:rsid w:val="005955C4"/>
    <w:rsid w:val="00595878"/>
    <w:rsid w:val="005958FA"/>
    <w:rsid w:val="00595C3E"/>
    <w:rsid w:val="00595D4C"/>
    <w:rsid w:val="00595EC6"/>
    <w:rsid w:val="00595EE3"/>
    <w:rsid w:val="00596095"/>
    <w:rsid w:val="005961C4"/>
    <w:rsid w:val="00596427"/>
    <w:rsid w:val="0059649B"/>
    <w:rsid w:val="0059656D"/>
    <w:rsid w:val="0059663A"/>
    <w:rsid w:val="00596762"/>
    <w:rsid w:val="0059689C"/>
    <w:rsid w:val="00596A67"/>
    <w:rsid w:val="00596D76"/>
    <w:rsid w:val="00597072"/>
    <w:rsid w:val="005973A8"/>
    <w:rsid w:val="0059752B"/>
    <w:rsid w:val="005975F8"/>
    <w:rsid w:val="0059780D"/>
    <w:rsid w:val="005979CE"/>
    <w:rsid w:val="00597F97"/>
    <w:rsid w:val="005A0048"/>
    <w:rsid w:val="005A0397"/>
    <w:rsid w:val="005A0402"/>
    <w:rsid w:val="005A0A69"/>
    <w:rsid w:val="005A0CA6"/>
    <w:rsid w:val="005A1326"/>
    <w:rsid w:val="005A1439"/>
    <w:rsid w:val="005A167D"/>
    <w:rsid w:val="005A1C20"/>
    <w:rsid w:val="005A1E5B"/>
    <w:rsid w:val="005A24F5"/>
    <w:rsid w:val="005A27DF"/>
    <w:rsid w:val="005A284C"/>
    <w:rsid w:val="005A2B51"/>
    <w:rsid w:val="005A3552"/>
    <w:rsid w:val="005A3704"/>
    <w:rsid w:val="005A37E4"/>
    <w:rsid w:val="005A38D6"/>
    <w:rsid w:val="005A3AB0"/>
    <w:rsid w:val="005A3B32"/>
    <w:rsid w:val="005A3EA8"/>
    <w:rsid w:val="005A48A0"/>
    <w:rsid w:val="005A4C3A"/>
    <w:rsid w:val="005A5A29"/>
    <w:rsid w:val="005A5C60"/>
    <w:rsid w:val="005A656A"/>
    <w:rsid w:val="005A6640"/>
    <w:rsid w:val="005A6A6B"/>
    <w:rsid w:val="005A6B05"/>
    <w:rsid w:val="005A6D3B"/>
    <w:rsid w:val="005A6DA3"/>
    <w:rsid w:val="005A7973"/>
    <w:rsid w:val="005A7B06"/>
    <w:rsid w:val="005A7BBD"/>
    <w:rsid w:val="005A7C6E"/>
    <w:rsid w:val="005A7E8F"/>
    <w:rsid w:val="005B0E46"/>
    <w:rsid w:val="005B163F"/>
    <w:rsid w:val="005B189E"/>
    <w:rsid w:val="005B2101"/>
    <w:rsid w:val="005B25EC"/>
    <w:rsid w:val="005B2703"/>
    <w:rsid w:val="005B33E8"/>
    <w:rsid w:val="005B3851"/>
    <w:rsid w:val="005B3A78"/>
    <w:rsid w:val="005B3AC6"/>
    <w:rsid w:val="005B3C86"/>
    <w:rsid w:val="005B459A"/>
    <w:rsid w:val="005B4A4B"/>
    <w:rsid w:val="005B4A97"/>
    <w:rsid w:val="005B4C80"/>
    <w:rsid w:val="005B4D5D"/>
    <w:rsid w:val="005B4D7C"/>
    <w:rsid w:val="005B4E24"/>
    <w:rsid w:val="005B5355"/>
    <w:rsid w:val="005B5384"/>
    <w:rsid w:val="005B5821"/>
    <w:rsid w:val="005B58A0"/>
    <w:rsid w:val="005B5CE1"/>
    <w:rsid w:val="005B5D02"/>
    <w:rsid w:val="005B5D94"/>
    <w:rsid w:val="005B62C3"/>
    <w:rsid w:val="005B6664"/>
    <w:rsid w:val="005B66D1"/>
    <w:rsid w:val="005B716E"/>
    <w:rsid w:val="005B725F"/>
    <w:rsid w:val="005B72CF"/>
    <w:rsid w:val="005B76FD"/>
    <w:rsid w:val="005B7AA8"/>
    <w:rsid w:val="005B7D4C"/>
    <w:rsid w:val="005B7D8C"/>
    <w:rsid w:val="005B7DA8"/>
    <w:rsid w:val="005B7F91"/>
    <w:rsid w:val="005C0867"/>
    <w:rsid w:val="005C0A66"/>
    <w:rsid w:val="005C0A92"/>
    <w:rsid w:val="005C0F12"/>
    <w:rsid w:val="005C11EA"/>
    <w:rsid w:val="005C132D"/>
    <w:rsid w:val="005C13B0"/>
    <w:rsid w:val="005C147C"/>
    <w:rsid w:val="005C16C1"/>
    <w:rsid w:val="005C1AED"/>
    <w:rsid w:val="005C2784"/>
    <w:rsid w:val="005C2B57"/>
    <w:rsid w:val="005C2BAC"/>
    <w:rsid w:val="005C2DCE"/>
    <w:rsid w:val="005C2FBE"/>
    <w:rsid w:val="005C351E"/>
    <w:rsid w:val="005C389E"/>
    <w:rsid w:val="005C38DF"/>
    <w:rsid w:val="005C392C"/>
    <w:rsid w:val="005C3CDA"/>
    <w:rsid w:val="005C41FB"/>
    <w:rsid w:val="005C45E8"/>
    <w:rsid w:val="005C479E"/>
    <w:rsid w:val="005C4B9B"/>
    <w:rsid w:val="005C4E74"/>
    <w:rsid w:val="005C4F5C"/>
    <w:rsid w:val="005C52BC"/>
    <w:rsid w:val="005C566F"/>
    <w:rsid w:val="005C569E"/>
    <w:rsid w:val="005C5958"/>
    <w:rsid w:val="005C6C5C"/>
    <w:rsid w:val="005C7150"/>
    <w:rsid w:val="005C73B8"/>
    <w:rsid w:val="005C76F6"/>
    <w:rsid w:val="005C7719"/>
    <w:rsid w:val="005C77AB"/>
    <w:rsid w:val="005C7E67"/>
    <w:rsid w:val="005C8DB2"/>
    <w:rsid w:val="005D0186"/>
    <w:rsid w:val="005D0199"/>
    <w:rsid w:val="005D0431"/>
    <w:rsid w:val="005D10E3"/>
    <w:rsid w:val="005D1249"/>
    <w:rsid w:val="005D1261"/>
    <w:rsid w:val="005D131A"/>
    <w:rsid w:val="005D1B56"/>
    <w:rsid w:val="005D1B76"/>
    <w:rsid w:val="005D2244"/>
    <w:rsid w:val="005D22C2"/>
    <w:rsid w:val="005D2C05"/>
    <w:rsid w:val="005D2DE6"/>
    <w:rsid w:val="005D2E62"/>
    <w:rsid w:val="005D2EFA"/>
    <w:rsid w:val="005D30F9"/>
    <w:rsid w:val="005D3326"/>
    <w:rsid w:val="005D3360"/>
    <w:rsid w:val="005D3593"/>
    <w:rsid w:val="005D371C"/>
    <w:rsid w:val="005D371F"/>
    <w:rsid w:val="005D399E"/>
    <w:rsid w:val="005D3A34"/>
    <w:rsid w:val="005D3C40"/>
    <w:rsid w:val="005D3FAB"/>
    <w:rsid w:val="005D4A2A"/>
    <w:rsid w:val="005D4C96"/>
    <w:rsid w:val="005D4E1B"/>
    <w:rsid w:val="005D4EA1"/>
    <w:rsid w:val="005D57F4"/>
    <w:rsid w:val="005D5E1F"/>
    <w:rsid w:val="005D5EA9"/>
    <w:rsid w:val="005D65C3"/>
    <w:rsid w:val="005D6C0D"/>
    <w:rsid w:val="005D6CEF"/>
    <w:rsid w:val="005D6D1A"/>
    <w:rsid w:val="005E00D2"/>
    <w:rsid w:val="005E027A"/>
    <w:rsid w:val="005E04F5"/>
    <w:rsid w:val="005E08D8"/>
    <w:rsid w:val="005E0927"/>
    <w:rsid w:val="005E0AFD"/>
    <w:rsid w:val="005E0C71"/>
    <w:rsid w:val="005E115F"/>
    <w:rsid w:val="005E11E0"/>
    <w:rsid w:val="005E132C"/>
    <w:rsid w:val="005E18C6"/>
    <w:rsid w:val="005E1AB5"/>
    <w:rsid w:val="005E1FE4"/>
    <w:rsid w:val="005E22F5"/>
    <w:rsid w:val="005E26F8"/>
    <w:rsid w:val="005E2871"/>
    <w:rsid w:val="005E2D34"/>
    <w:rsid w:val="005E2ED0"/>
    <w:rsid w:val="005E2EF8"/>
    <w:rsid w:val="005E2F2B"/>
    <w:rsid w:val="005E38FB"/>
    <w:rsid w:val="005E39B5"/>
    <w:rsid w:val="005E3C6A"/>
    <w:rsid w:val="005E4025"/>
    <w:rsid w:val="005E4451"/>
    <w:rsid w:val="005E4838"/>
    <w:rsid w:val="005E4BD6"/>
    <w:rsid w:val="005E4BE0"/>
    <w:rsid w:val="005E4E21"/>
    <w:rsid w:val="005E5072"/>
    <w:rsid w:val="005E5428"/>
    <w:rsid w:val="005E5608"/>
    <w:rsid w:val="005E578A"/>
    <w:rsid w:val="005E5994"/>
    <w:rsid w:val="005E5A71"/>
    <w:rsid w:val="005E5C9C"/>
    <w:rsid w:val="005E5D09"/>
    <w:rsid w:val="005E618C"/>
    <w:rsid w:val="005E63B8"/>
    <w:rsid w:val="005E6F32"/>
    <w:rsid w:val="005E7246"/>
    <w:rsid w:val="005E72EC"/>
    <w:rsid w:val="005E7876"/>
    <w:rsid w:val="005E78F4"/>
    <w:rsid w:val="005E7C34"/>
    <w:rsid w:val="005E7DB2"/>
    <w:rsid w:val="005E7ED4"/>
    <w:rsid w:val="005F0327"/>
    <w:rsid w:val="005F0758"/>
    <w:rsid w:val="005F0864"/>
    <w:rsid w:val="005F0C36"/>
    <w:rsid w:val="005F0D52"/>
    <w:rsid w:val="005F0FCF"/>
    <w:rsid w:val="005F1446"/>
    <w:rsid w:val="005F1589"/>
    <w:rsid w:val="005F15C6"/>
    <w:rsid w:val="005F198C"/>
    <w:rsid w:val="005F1F32"/>
    <w:rsid w:val="005F1F4F"/>
    <w:rsid w:val="005F2036"/>
    <w:rsid w:val="005F2332"/>
    <w:rsid w:val="005F26EB"/>
    <w:rsid w:val="005F27A0"/>
    <w:rsid w:val="005F3014"/>
    <w:rsid w:val="005F3121"/>
    <w:rsid w:val="005F3259"/>
    <w:rsid w:val="005F33D0"/>
    <w:rsid w:val="005F3661"/>
    <w:rsid w:val="005F3D7C"/>
    <w:rsid w:val="005F3DF0"/>
    <w:rsid w:val="005F3FF6"/>
    <w:rsid w:val="005F4202"/>
    <w:rsid w:val="005F46E3"/>
    <w:rsid w:val="005F4714"/>
    <w:rsid w:val="005F4922"/>
    <w:rsid w:val="005F4C76"/>
    <w:rsid w:val="005F4D04"/>
    <w:rsid w:val="005F4FD0"/>
    <w:rsid w:val="005F51AB"/>
    <w:rsid w:val="005F54DB"/>
    <w:rsid w:val="005F559C"/>
    <w:rsid w:val="005F5691"/>
    <w:rsid w:val="005F58BD"/>
    <w:rsid w:val="005F594E"/>
    <w:rsid w:val="005F59DC"/>
    <w:rsid w:val="005F5B64"/>
    <w:rsid w:val="005F5D35"/>
    <w:rsid w:val="005F60A4"/>
    <w:rsid w:val="005F60E9"/>
    <w:rsid w:val="005F629B"/>
    <w:rsid w:val="005F6950"/>
    <w:rsid w:val="005F6B49"/>
    <w:rsid w:val="005F6CDB"/>
    <w:rsid w:val="005F74B5"/>
    <w:rsid w:val="005F74C5"/>
    <w:rsid w:val="005F75FB"/>
    <w:rsid w:val="005F7A12"/>
    <w:rsid w:val="005F7B2B"/>
    <w:rsid w:val="005F7C5F"/>
    <w:rsid w:val="005F7CDF"/>
    <w:rsid w:val="005F7D8C"/>
    <w:rsid w:val="005F7EE9"/>
    <w:rsid w:val="005F7FD3"/>
    <w:rsid w:val="006004E8"/>
    <w:rsid w:val="00600866"/>
    <w:rsid w:val="00600901"/>
    <w:rsid w:val="00600A51"/>
    <w:rsid w:val="00600C5F"/>
    <w:rsid w:val="00600CA4"/>
    <w:rsid w:val="006011E6"/>
    <w:rsid w:val="0060128E"/>
    <w:rsid w:val="006012EE"/>
    <w:rsid w:val="00601402"/>
    <w:rsid w:val="0060157C"/>
    <w:rsid w:val="006017AD"/>
    <w:rsid w:val="00601881"/>
    <w:rsid w:val="00601882"/>
    <w:rsid w:val="00601BB9"/>
    <w:rsid w:val="00601FE2"/>
    <w:rsid w:val="00602380"/>
    <w:rsid w:val="00602434"/>
    <w:rsid w:val="0060298D"/>
    <w:rsid w:val="00602D2E"/>
    <w:rsid w:val="00602EF5"/>
    <w:rsid w:val="0060378F"/>
    <w:rsid w:val="00603BEF"/>
    <w:rsid w:val="00603D70"/>
    <w:rsid w:val="00603E47"/>
    <w:rsid w:val="0060408D"/>
    <w:rsid w:val="006046AD"/>
    <w:rsid w:val="00604CAA"/>
    <w:rsid w:val="00604CE1"/>
    <w:rsid w:val="00604F01"/>
    <w:rsid w:val="00605259"/>
    <w:rsid w:val="006053BA"/>
    <w:rsid w:val="00605617"/>
    <w:rsid w:val="00605688"/>
    <w:rsid w:val="00605766"/>
    <w:rsid w:val="00605904"/>
    <w:rsid w:val="0060626A"/>
    <w:rsid w:val="006064AD"/>
    <w:rsid w:val="0060652A"/>
    <w:rsid w:val="006068C1"/>
    <w:rsid w:val="00606918"/>
    <w:rsid w:val="00606B86"/>
    <w:rsid w:val="00606B8D"/>
    <w:rsid w:val="00606C02"/>
    <w:rsid w:val="00606F38"/>
    <w:rsid w:val="00606F8C"/>
    <w:rsid w:val="00606F8D"/>
    <w:rsid w:val="00607541"/>
    <w:rsid w:val="006078CA"/>
    <w:rsid w:val="00607925"/>
    <w:rsid w:val="0060794D"/>
    <w:rsid w:val="006079F1"/>
    <w:rsid w:val="00610124"/>
    <w:rsid w:val="0061028E"/>
    <w:rsid w:val="006106CD"/>
    <w:rsid w:val="00610725"/>
    <w:rsid w:val="00611212"/>
    <w:rsid w:val="00611571"/>
    <w:rsid w:val="006115F5"/>
    <w:rsid w:val="006119BF"/>
    <w:rsid w:val="00611B68"/>
    <w:rsid w:val="00611D80"/>
    <w:rsid w:val="00611E6F"/>
    <w:rsid w:val="00612018"/>
    <w:rsid w:val="0061285E"/>
    <w:rsid w:val="0061293E"/>
    <w:rsid w:val="0061295F"/>
    <w:rsid w:val="006129BC"/>
    <w:rsid w:val="00612A59"/>
    <w:rsid w:val="00612C45"/>
    <w:rsid w:val="006130E4"/>
    <w:rsid w:val="0061363D"/>
    <w:rsid w:val="0061370E"/>
    <w:rsid w:val="00613837"/>
    <w:rsid w:val="00613C68"/>
    <w:rsid w:val="00613C86"/>
    <w:rsid w:val="0061461A"/>
    <w:rsid w:val="00614890"/>
    <w:rsid w:val="00615121"/>
    <w:rsid w:val="006156D3"/>
    <w:rsid w:val="00615852"/>
    <w:rsid w:val="0061586F"/>
    <w:rsid w:val="006158DA"/>
    <w:rsid w:val="0061595F"/>
    <w:rsid w:val="00615F0F"/>
    <w:rsid w:val="00616167"/>
    <w:rsid w:val="00616C68"/>
    <w:rsid w:val="00616E5D"/>
    <w:rsid w:val="00617041"/>
    <w:rsid w:val="006171F2"/>
    <w:rsid w:val="00617304"/>
    <w:rsid w:val="006177BA"/>
    <w:rsid w:val="00617963"/>
    <w:rsid w:val="00617A6F"/>
    <w:rsid w:val="00617A7E"/>
    <w:rsid w:val="00617D48"/>
    <w:rsid w:val="00617E22"/>
    <w:rsid w:val="0062042B"/>
    <w:rsid w:val="006207E3"/>
    <w:rsid w:val="00620B81"/>
    <w:rsid w:val="00620BA7"/>
    <w:rsid w:val="00620BC6"/>
    <w:rsid w:val="0062112B"/>
    <w:rsid w:val="006215A3"/>
    <w:rsid w:val="00621727"/>
    <w:rsid w:val="006217FB"/>
    <w:rsid w:val="00621B90"/>
    <w:rsid w:val="00621CAB"/>
    <w:rsid w:val="00621CDA"/>
    <w:rsid w:val="00621D17"/>
    <w:rsid w:val="00621F92"/>
    <w:rsid w:val="0062284F"/>
    <w:rsid w:val="0062299F"/>
    <w:rsid w:val="00622F37"/>
    <w:rsid w:val="00622FEC"/>
    <w:rsid w:val="0062330A"/>
    <w:rsid w:val="0062330B"/>
    <w:rsid w:val="0062373C"/>
    <w:rsid w:val="00623A79"/>
    <w:rsid w:val="00623FA2"/>
    <w:rsid w:val="006240CA"/>
    <w:rsid w:val="006242D6"/>
    <w:rsid w:val="006242FB"/>
    <w:rsid w:val="006243A7"/>
    <w:rsid w:val="00624619"/>
    <w:rsid w:val="00624AE3"/>
    <w:rsid w:val="00624D22"/>
    <w:rsid w:val="00624DAB"/>
    <w:rsid w:val="00624DDD"/>
    <w:rsid w:val="006250B4"/>
    <w:rsid w:val="0062538A"/>
    <w:rsid w:val="0062598C"/>
    <w:rsid w:val="00625C84"/>
    <w:rsid w:val="00625D68"/>
    <w:rsid w:val="0062617E"/>
    <w:rsid w:val="006261EF"/>
    <w:rsid w:val="00626448"/>
    <w:rsid w:val="006265EB"/>
    <w:rsid w:val="00626C4D"/>
    <w:rsid w:val="00626F40"/>
    <w:rsid w:val="00626F8F"/>
    <w:rsid w:val="006271A9"/>
    <w:rsid w:val="006272D5"/>
    <w:rsid w:val="00627398"/>
    <w:rsid w:val="00627458"/>
    <w:rsid w:val="00627763"/>
    <w:rsid w:val="00627B56"/>
    <w:rsid w:val="00627F46"/>
    <w:rsid w:val="006300BD"/>
    <w:rsid w:val="0063098C"/>
    <w:rsid w:val="00630A36"/>
    <w:rsid w:val="006310F1"/>
    <w:rsid w:val="00631268"/>
    <w:rsid w:val="00631370"/>
    <w:rsid w:val="0063147C"/>
    <w:rsid w:val="00631615"/>
    <w:rsid w:val="00631C82"/>
    <w:rsid w:val="00631F42"/>
    <w:rsid w:val="00631FF5"/>
    <w:rsid w:val="006321DB"/>
    <w:rsid w:val="006328D6"/>
    <w:rsid w:val="006329EE"/>
    <w:rsid w:val="006333B2"/>
    <w:rsid w:val="006336BD"/>
    <w:rsid w:val="006336C8"/>
    <w:rsid w:val="006337A2"/>
    <w:rsid w:val="00633B0A"/>
    <w:rsid w:val="00633B9F"/>
    <w:rsid w:val="00633E06"/>
    <w:rsid w:val="00633F17"/>
    <w:rsid w:val="00633F80"/>
    <w:rsid w:val="00633FD4"/>
    <w:rsid w:val="0063415B"/>
    <w:rsid w:val="00634308"/>
    <w:rsid w:val="006343CD"/>
    <w:rsid w:val="006346D7"/>
    <w:rsid w:val="006346E3"/>
    <w:rsid w:val="0063479C"/>
    <w:rsid w:val="006347A9"/>
    <w:rsid w:val="006347F1"/>
    <w:rsid w:val="00634B42"/>
    <w:rsid w:val="00634D14"/>
    <w:rsid w:val="00635252"/>
    <w:rsid w:val="00635380"/>
    <w:rsid w:val="00635404"/>
    <w:rsid w:val="0063550F"/>
    <w:rsid w:val="006356F4"/>
    <w:rsid w:val="00635A72"/>
    <w:rsid w:val="00635D2E"/>
    <w:rsid w:val="00636327"/>
    <w:rsid w:val="0063666E"/>
    <w:rsid w:val="00636AA7"/>
    <w:rsid w:val="00636BE7"/>
    <w:rsid w:val="00636C1C"/>
    <w:rsid w:val="00636F8A"/>
    <w:rsid w:val="0063729E"/>
    <w:rsid w:val="00637315"/>
    <w:rsid w:val="006373AD"/>
    <w:rsid w:val="006373FA"/>
    <w:rsid w:val="00637B73"/>
    <w:rsid w:val="00637F33"/>
    <w:rsid w:val="00640A58"/>
    <w:rsid w:val="00640AAF"/>
    <w:rsid w:val="00640C87"/>
    <w:rsid w:val="00640DEB"/>
    <w:rsid w:val="00640ECD"/>
    <w:rsid w:val="00640F88"/>
    <w:rsid w:val="0064120C"/>
    <w:rsid w:val="00641526"/>
    <w:rsid w:val="00641700"/>
    <w:rsid w:val="0064187E"/>
    <w:rsid w:val="00641D55"/>
    <w:rsid w:val="00641EBC"/>
    <w:rsid w:val="0064253B"/>
    <w:rsid w:val="00642574"/>
    <w:rsid w:val="006425AF"/>
    <w:rsid w:val="00642C7F"/>
    <w:rsid w:val="00642F34"/>
    <w:rsid w:val="00643297"/>
    <w:rsid w:val="00643382"/>
    <w:rsid w:val="00643A59"/>
    <w:rsid w:val="00643D00"/>
    <w:rsid w:val="00643E64"/>
    <w:rsid w:val="00644089"/>
    <w:rsid w:val="006443E6"/>
    <w:rsid w:val="006448A5"/>
    <w:rsid w:val="0064494D"/>
    <w:rsid w:val="00644AAC"/>
    <w:rsid w:val="00644B2B"/>
    <w:rsid w:val="00644C25"/>
    <w:rsid w:val="00644CD4"/>
    <w:rsid w:val="00644E3A"/>
    <w:rsid w:val="00644F86"/>
    <w:rsid w:val="0064518A"/>
    <w:rsid w:val="006452BA"/>
    <w:rsid w:val="006461B5"/>
    <w:rsid w:val="006462C8"/>
    <w:rsid w:val="0064649F"/>
    <w:rsid w:val="006466A2"/>
    <w:rsid w:val="00646989"/>
    <w:rsid w:val="006469BA"/>
    <w:rsid w:val="00646BD0"/>
    <w:rsid w:val="00646E1F"/>
    <w:rsid w:val="00646F8D"/>
    <w:rsid w:val="006470C7"/>
    <w:rsid w:val="0064725C"/>
    <w:rsid w:val="006476E1"/>
    <w:rsid w:val="00647834"/>
    <w:rsid w:val="00647D68"/>
    <w:rsid w:val="00647F4A"/>
    <w:rsid w:val="00650143"/>
    <w:rsid w:val="0065045B"/>
    <w:rsid w:val="00650483"/>
    <w:rsid w:val="00650488"/>
    <w:rsid w:val="00650AD8"/>
    <w:rsid w:val="006512BD"/>
    <w:rsid w:val="006519AE"/>
    <w:rsid w:val="00651EC4"/>
    <w:rsid w:val="00651F53"/>
    <w:rsid w:val="0065297E"/>
    <w:rsid w:val="006529FF"/>
    <w:rsid w:val="00652DC8"/>
    <w:rsid w:val="00653320"/>
    <w:rsid w:val="006534C7"/>
    <w:rsid w:val="006537F9"/>
    <w:rsid w:val="00653851"/>
    <w:rsid w:val="00653ABD"/>
    <w:rsid w:val="00653B6D"/>
    <w:rsid w:val="00653BEE"/>
    <w:rsid w:val="00654351"/>
    <w:rsid w:val="00654732"/>
    <w:rsid w:val="00654B1E"/>
    <w:rsid w:val="00654C08"/>
    <w:rsid w:val="0065503C"/>
    <w:rsid w:val="00655132"/>
    <w:rsid w:val="006552E3"/>
    <w:rsid w:val="00655320"/>
    <w:rsid w:val="0065547E"/>
    <w:rsid w:val="00655571"/>
    <w:rsid w:val="0065602E"/>
    <w:rsid w:val="0065604C"/>
    <w:rsid w:val="006566BC"/>
    <w:rsid w:val="0065686E"/>
    <w:rsid w:val="00656CF9"/>
    <w:rsid w:val="00656DF0"/>
    <w:rsid w:val="00657032"/>
    <w:rsid w:val="00657670"/>
    <w:rsid w:val="00657702"/>
    <w:rsid w:val="00657AFD"/>
    <w:rsid w:val="00657C95"/>
    <w:rsid w:val="00657EB6"/>
    <w:rsid w:val="0066016B"/>
    <w:rsid w:val="006601F4"/>
    <w:rsid w:val="00660207"/>
    <w:rsid w:val="006602D5"/>
    <w:rsid w:val="00660769"/>
    <w:rsid w:val="00660B72"/>
    <w:rsid w:val="00661533"/>
    <w:rsid w:val="0066168D"/>
    <w:rsid w:val="006617FB"/>
    <w:rsid w:val="00661809"/>
    <w:rsid w:val="00661980"/>
    <w:rsid w:val="00661CF6"/>
    <w:rsid w:val="00661F2F"/>
    <w:rsid w:val="00662050"/>
    <w:rsid w:val="00662544"/>
    <w:rsid w:val="00662639"/>
    <w:rsid w:val="0066270D"/>
    <w:rsid w:val="00662725"/>
    <w:rsid w:val="006628AE"/>
    <w:rsid w:val="00662FA7"/>
    <w:rsid w:val="006631CA"/>
    <w:rsid w:val="00663243"/>
    <w:rsid w:val="006633A3"/>
    <w:rsid w:val="0066361C"/>
    <w:rsid w:val="006638BA"/>
    <w:rsid w:val="00664175"/>
    <w:rsid w:val="00664620"/>
    <w:rsid w:val="0066479F"/>
    <w:rsid w:val="006648BF"/>
    <w:rsid w:val="0066494F"/>
    <w:rsid w:val="006649AD"/>
    <w:rsid w:val="0066520E"/>
    <w:rsid w:val="006652F2"/>
    <w:rsid w:val="00665827"/>
    <w:rsid w:val="00665DD7"/>
    <w:rsid w:val="00665F1E"/>
    <w:rsid w:val="006669AF"/>
    <w:rsid w:val="006669C6"/>
    <w:rsid w:val="00666A8E"/>
    <w:rsid w:val="00666CF2"/>
    <w:rsid w:val="0066735E"/>
    <w:rsid w:val="00667750"/>
    <w:rsid w:val="006679E1"/>
    <w:rsid w:val="00667CB0"/>
    <w:rsid w:val="0067008A"/>
    <w:rsid w:val="006700C4"/>
    <w:rsid w:val="0067016C"/>
    <w:rsid w:val="00670551"/>
    <w:rsid w:val="006707E1"/>
    <w:rsid w:val="00670BD3"/>
    <w:rsid w:val="00670FAF"/>
    <w:rsid w:val="006712D4"/>
    <w:rsid w:val="006713B3"/>
    <w:rsid w:val="00671492"/>
    <w:rsid w:val="00671497"/>
    <w:rsid w:val="006717E5"/>
    <w:rsid w:val="00671B66"/>
    <w:rsid w:val="00671B88"/>
    <w:rsid w:val="00671BFF"/>
    <w:rsid w:val="0067209B"/>
    <w:rsid w:val="0067219F"/>
    <w:rsid w:val="0067222A"/>
    <w:rsid w:val="00672291"/>
    <w:rsid w:val="00672696"/>
    <w:rsid w:val="0067292C"/>
    <w:rsid w:val="00672A7E"/>
    <w:rsid w:val="00672CD0"/>
    <w:rsid w:val="00672F7B"/>
    <w:rsid w:val="00673170"/>
    <w:rsid w:val="006731D0"/>
    <w:rsid w:val="0067324C"/>
    <w:rsid w:val="006736AD"/>
    <w:rsid w:val="006736E9"/>
    <w:rsid w:val="006737B9"/>
    <w:rsid w:val="006737D1"/>
    <w:rsid w:val="00673A29"/>
    <w:rsid w:val="00673AB1"/>
    <w:rsid w:val="00673D02"/>
    <w:rsid w:val="00673F38"/>
    <w:rsid w:val="00674226"/>
    <w:rsid w:val="00674559"/>
    <w:rsid w:val="006745B4"/>
    <w:rsid w:val="00674ADA"/>
    <w:rsid w:val="00674B84"/>
    <w:rsid w:val="006751C7"/>
    <w:rsid w:val="00675305"/>
    <w:rsid w:val="006759DF"/>
    <w:rsid w:val="00675A4E"/>
    <w:rsid w:val="00675CE2"/>
    <w:rsid w:val="00675E4B"/>
    <w:rsid w:val="00676725"/>
    <w:rsid w:val="00676765"/>
    <w:rsid w:val="0067696B"/>
    <w:rsid w:val="006769D0"/>
    <w:rsid w:val="00676A87"/>
    <w:rsid w:val="00676DF1"/>
    <w:rsid w:val="00676EAF"/>
    <w:rsid w:val="00677275"/>
    <w:rsid w:val="0067737A"/>
    <w:rsid w:val="006776D2"/>
    <w:rsid w:val="006777A2"/>
    <w:rsid w:val="0067792A"/>
    <w:rsid w:val="00677F0C"/>
    <w:rsid w:val="006803A0"/>
    <w:rsid w:val="006804AD"/>
    <w:rsid w:val="00680601"/>
    <w:rsid w:val="0068071E"/>
    <w:rsid w:val="00680A17"/>
    <w:rsid w:val="00680AE2"/>
    <w:rsid w:val="00680B0C"/>
    <w:rsid w:val="00680C5D"/>
    <w:rsid w:val="00680D93"/>
    <w:rsid w:val="00680E98"/>
    <w:rsid w:val="006815A4"/>
    <w:rsid w:val="00681819"/>
    <w:rsid w:val="00681A7B"/>
    <w:rsid w:val="00682185"/>
    <w:rsid w:val="0068226F"/>
    <w:rsid w:val="00682638"/>
    <w:rsid w:val="00682A84"/>
    <w:rsid w:val="00682ACF"/>
    <w:rsid w:val="00682F90"/>
    <w:rsid w:val="0068343F"/>
    <w:rsid w:val="006835B9"/>
    <w:rsid w:val="0068392B"/>
    <w:rsid w:val="00683B62"/>
    <w:rsid w:val="00683C52"/>
    <w:rsid w:val="00683DCE"/>
    <w:rsid w:val="00684372"/>
    <w:rsid w:val="00684776"/>
    <w:rsid w:val="00684C47"/>
    <w:rsid w:val="00684EEF"/>
    <w:rsid w:val="0068583B"/>
    <w:rsid w:val="00685B76"/>
    <w:rsid w:val="00685D8A"/>
    <w:rsid w:val="00685EC2"/>
    <w:rsid w:val="006861D2"/>
    <w:rsid w:val="006863EC"/>
    <w:rsid w:val="0068642E"/>
    <w:rsid w:val="006864DB"/>
    <w:rsid w:val="00686AF0"/>
    <w:rsid w:val="00686B26"/>
    <w:rsid w:val="00687397"/>
    <w:rsid w:val="006873A7"/>
    <w:rsid w:val="0068756B"/>
    <w:rsid w:val="006875D1"/>
    <w:rsid w:val="00687B6F"/>
    <w:rsid w:val="00687C26"/>
    <w:rsid w:val="00687FB8"/>
    <w:rsid w:val="00690248"/>
    <w:rsid w:val="006902ED"/>
    <w:rsid w:val="00690539"/>
    <w:rsid w:val="006909CF"/>
    <w:rsid w:val="00690E21"/>
    <w:rsid w:val="00690F41"/>
    <w:rsid w:val="00690F4B"/>
    <w:rsid w:val="00690FA4"/>
    <w:rsid w:val="00691286"/>
    <w:rsid w:val="0069154A"/>
    <w:rsid w:val="0069174E"/>
    <w:rsid w:val="006917DE"/>
    <w:rsid w:val="00691ADE"/>
    <w:rsid w:val="00691AEC"/>
    <w:rsid w:val="00691BDD"/>
    <w:rsid w:val="00691E80"/>
    <w:rsid w:val="00692208"/>
    <w:rsid w:val="0069234A"/>
    <w:rsid w:val="0069242A"/>
    <w:rsid w:val="006926EC"/>
    <w:rsid w:val="00692AEC"/>
    <w:rsid w:val="00692B1D"/>
    <w:rsid w:val="00692F03"/>
    <w:rsid w:val="00693030"/>
    <w:rsid w:val="00693311"/>
    <w:rsid w:val="006938C7"/>
    <w:rsid w:val="00693940"/>
    <w:rsid w:val="00694011"/>
    <w:rsid w:val="0069408E"/>
    <w:rsid w:val="006940EC"/>
    <w:rsid w:val="00694213"/>
    <w:rsid w:val="00694613"/>
    <w:rsid w:val="00694658"/>
    <w:rsid w:val="00694D77"/>
    <w:rsid w:val="00694EDF"/>
    <w:rsid w:val="00694FE8"/>
    <w:rsid w:val="006953E2"/>
    <w:rsid w:val="006954FE"/>
    <w:rsid w:val="006957D2"/>
    <w:rsid w:val="00695A73"/>
    <w:rsid w:val="00695C5B"/>
    <w:rsid w:val="00695DCF"/>
    <w:rsid w:val="00696223"/>
    <w:rsid w:val="006962D1"/>
    <w:rsid w:val="00696A90"/>
    <w:rsid w:val="00696F0F"/>
    <w:rsid w:val="006970AA"/>
    <w:rsid w:val="006973A5"/>
    <w:rsid w:val="006973C0"/>
    <w:rsid w:val="00697660"/>
    <w:rsid w:val="00697662"/>
    <w:rsid w:val="00697F10"/>
    <w:rsid w:val="00697FFD"/>
    <w:rsid w:val="006A02A8"/>
    <w:rsid w:val="006A0510"/>
    <w:rsid w:val="006A0A7D"/>
    <w:rsid w:val="006A0C8F"/>
    <w:rsid w:val="006A0FE7"/>
    <w:rsid w:val="006A1421"/>
    <w:rsid w:val="006A14F2"/>
    <w:rsid w:val="006A1636"/>
    <w:rsid w:val="006A1880"/>
    <w:rsid w:val="006A1C23"/>
    <w:rsid w:val="006A2399"/>
    <w:rsid w:val="006A25AB"/>
    <w:rsid w:val="006A2755"/>
    <w:rsid w:val="006A2861"/>
    <w:rsid w:val="006A2AD2"/>
    <w:rsid w:val="006A3038"/>
    <w:rsid w:val="006A3061"/>
    <w:rsid w:val="006A3231"/>
    <w:rsid w:val="006A346D"/>
    <w:rsid w:val="006A353B"/>
    <w:rsid w:val="006A3952"/>
    <w:rsid w:val="006A3B14"/>
    <w:rsid w:val="006A3B4B"/>
    <w:rsid w:val="006A4292"/>
    <w:rsid w:val="006A434A"/>
    <w:rsid w:val="006A44F4"/>
    <w:rsid w:val="006A4917"/>
    <w:rsid w:val="006A49DB"/>
    <w:rsid w:val="006A4B94"/>
    <w:rsid w:val="006A4BBA"/>
    <w:rsid w:val="006A4E40"/>
    <w:rsid w:val="006A4F66"/>
    <w:rsid w:val="006A5234"/>
    <w:rsid w:val="006A52F9"/>
    <w:rsid w:val="006A534F"/>
    <w:rsid w:val="006A543B"/>
    <w:rsid w:val="006A54B8"/>
    <w:rsid w:val="006A55FF"/>
    <w:rsid w:val="006A570C"/>
    <w:rsid w:val="006A5BF0"/>
    <w:rsid w:val="006A5D15"/>
    <w:rsid w:val="006A64FA"/>
    <w:rsid w:val="006A6522"/>
    <w:rsid w:val="006A6B79"/>
    <w:rsid w:val="006A6E02"/>
    <w:rsid w:val="006A701F"/>
    <w:rsid w:val="006A73E4"/>
    <w:rsid w:val="006A7456"/>
    <w:rsid w:val="006A759D"/>
    <w:rsid w:val="006A7710"/>
    <w:rsid w:val="006A78FA"/>
    <w:rsid w:val="006A7925"/>
    <w:rsid w:val="006A7E3F"/>
    <w:rsid w:val="006A7F30"/>
    <w:rsid w:val="006A7FCD"/>
    <w:rsid w:val="006B0581"/>
    <w:rsid w:val="006B0627"/>
    <w:rsid w:val="006B06D2"/>
    <w:rsid w:val="006B0B8A"/>
    <w:rsid w:val="006B0CCD"/>
    <w:rsid w:val="006B0D63"/>
    <w:rsid w:val="006B1104"/>
    <w:rsid w:val="006B112D"/>
    <w:rsid w:val="006B1130"/>
    <w:rsid w:val="006B11A9"/>
    <w:rsid w:val="006B11AB"/>
    <w:rsid w:val="006B12D4"/>
    <w:rsid w:val="006B13EB"/>
    <w:rsid w:val="006B142D"/>
    <w:rsid w:val="006B1557"/>
    <w:rsid w:val="006B15D8"/>
    <w:rsid w:val="006B17C5"/>
    <w:rsid w:val="006B18AE"/>
    <w:rsid w:val="006B1DEA"/>
    <w:rsid w:val="006B205F"/>
    <w:rsid w:val="006B21E0"/>
    <w:rsid w:val="006B25B1"/>
    <w:rsid w:val="006B25FE"/>
    <w:rsid w:val="006B2A4A"/>
    <w:rsid w:val="006B2B49"/>
    <w:rsid w:val="006B2D27"/>
    <w:rsid w:val="006B314B"/>
    <w:rsid w:val="006B3344"/>
    <w:rsid w:val="006B335B"/>
    <w:rsid w:val="006B337A"/>
    <w:rsid w:val="006B37D4"/>
    <w:rsid w:val="006B37D6"/>
    <w:rsid w:val="006B3AE7"/>
    <w:rsid w:val="006B3D23"/>
    <w:rsid w:val="006B3E25"/>
    <w:rsid w:val="006B3FCF"/>
    <w:rsid w:val="006B4119"/>
    <w:rsid w:val="006B450D"/>
    <w:rsid w:val="006B46A4"/>
    <w:rsid w:val="006B483E"/>
    <w:rsid w:val="006B4A74"/>
    <w:rsid w:val="006B4A9D"/>
    <w:rsid w:val="006B5128"/>
    <w:rsid w:val="006B521B"/>
    <w:rsid w:val="006B5413"/>
    <w:rsid w:val="006B54D1"/>
    <w:rsid w:val="006B58A9"/>
    <w:rsid w:val="006B5B96"/>
    <w:rsid w:val="006B6067"/>
    <w:rsid w:val="006B6147"/>
    <w:rsid w:val="006B616F"/>
    <w:rsid w:val="006B6210"/>
    <w:rsid w:val="006B6388"/>
    <w:rsid w:val="006B643F"/>
    <w:rsid w:val="006B6660"/>
    <w:rsid w:val="006B67E7"/>
    <w:rsid w:val="006B6C45"/>
    <w:rsid w:val="006B6C74"/>
    <w:rsid w:val="006B6DE1"/>
    <w:rsid w:val="006B6ED0"/>
    <w:rsid w:val="006B6FC2"/>
    <w:rsid w:val="006B711D"/>
    <w:rsid w:val="006B71C2"/>
    <w:rsid w:val="006B7330"/>
    <w:rsid w:val="006B7379"/>
    <w:rsid w:val="006B738F"/>
    <w:rsid w:val="006B77FF"/>
    <w:rsid w:val="006B78B4"/>
    <w:rsid w:val="006B79E8"/>
    <w:rsid w:val="006B7BD9"/>
    <w:rsid w:val="006B7FAE"/>
    <w:rsid w:val="006C0646"/>
    <w:rsid w:val="006C0DE1"/>
    <w:rsid w:val="006C1152"/>
    <w:rsid w:val="006C1506"/>
    <w:rsid w:val="006C17E7"/>
    <w:rsid w:val="006C1CC3"/>
    <w:rsid w:val="006C1DC7"/>
    <w:rsid w:val="006C1E4E"/>
    <w:rsid w:val="006C1EDF"/>
    <w:rsid w:val="006C2120"/>
    <w:rsid w:val="006C2162"/>
    <w:rsid w:val="006C21AF"/>
    <w:rsid w:val="006C225E"/>
    <w:rsid w:val="006C2744"/>
    <w:rsid w:val="006C32D3"/>
    <w:rsid w:val="006C32F5"/>
    <w:rsid w:val="006C37D6"/>
    <w:rsid w:val="006C381D"/>
    <w:rsid w:val="006C3E6F"/>
    <w:rsid w:val="006C3EC8"/>
    <w:rsid w:val="006C41A9"/>
    <w:rsid w:val="006C46DC"/>
    <w:rsid w:val="006C477D"/>
    <w:rsid w:val="006C47E5"/>
    <w:rsid w:val="006C49D9"/>
    <w:rsid w:val="006C4C88"/>
    <w:rsid w:val="006C5128"/>
    <w:rsid w:val="006C54A9"/>
    <w:rsid w:val="006C5552"/>
    <w:rsid w:val="006C581E"/>
    <w:rsid w:val="006C5A30"/>
    <w:rsid w:val="006C5D23"/>
    <w:rsid w:val="006C5ECB"/>
    <w:rsid w:val="006C6335"/>
    <w:rsid w:val="006C6345"/>
    <w:rsid w:val="006C6A3D"/>
    <w:rsid w:val="006C6C87"/>
    <w:rsid w:val="006C6E37"/>
    <w:rsid w:val="006C6EA5"/>
    <w:rsid w:val="006C774E"/>
    <w:rsid w:val="006C77F3"/>
    <w:rsid w:val="006C7BC2"/>
    <w:rsid w:val="006C7EA7"/>
    <w:rsid w:val="006D01B4"/>
    <w:rsid w:val="006D0686"/>
    <w:rsid w:val="006D0945"/>
    <w:rsid w:val="006D0985"/>
    <w:rsid w:val="006D0ABD"/>
    <w:rsid w:val="006D0B5A"/>
    <w:rsid w:val="006D177F"/>
    <w:rsid w:val="006D1E49"/>
    <w:rsid w:val="006D1F02"/>
    <w:rsid w:val="006D1F1C"/>
    <w:rsid w:val="006D1F8A"/>
    <w:rsid w:val="006D25F6"/>
    <w:rsid w:val="006D2725"/>
    <w:rsid w:val="006D2AF3"/>
    <w:rsid w:val="006D2BF6"/>
    <w:rsid w:val="006D2DD3"/>
    <w:rsid w:val="006D326D"/>
    <w:rsid w:val="006D3ED4"/>
    <w:rsid w:val="006D3EE5"/>
    <w:rsid w:val="006D3F6F"/>
    <w:rsid w:val="006D4595"/>
    <w:rsid w:val="006D478F"/>
    <w:rsid w:val="006D4C29"/>
    <w:rsid w:val="006D4CE1"/>
    <w:rsid w:val="006D4F4F"/>
    <w:rsid w:val="006D528E"/>
    <w:rsid w:val="006D5502"/>
    <w:rsid w:val="006D5561"/>
    <w:rsid w:val="006D579D"/>
    <w:rsid w:val="006D58D8"/>
    <w:rsid w:val="006D5EC2"/>
    <w:rsid w:val="006D65BC"/>
    <w:rsid w:val="006D67FA"/>
    <w:rsid w:val="006D6921"/>
    <w:rsid w:val="006D6D20"/>
    <w:rsid w:val="006D6DCC"/>
    <w:rsid w:val="006D6EB1"/>
    <w:rsid w:val="006D6FF2"/>
    <w:rsid w:val="006D7111"/>
    <w:rsid w:val="006D722E"/>
    <w:rsid w:val="006D72DD"/>
    <w:rsid w:val="006D74D3"/>
    <w:rsid w:val="006D75BF"/>
    <w:rsid w:val="006D7A33"/>
    <w:rsid w:val="006D7C43"/>
    <w:rsid w:val="006D7CB7"/>
    <w:rsid w:val="006E015B"/>
    <w:rsid w:val="006E02B4"/>
    <w:rsid w:val="006E0497"/>
    <w:rsid w:val="006E069A"/>
    <w:rsid w:val="006E0E30"/>
    <w:rsid w:val="006E1546"/>
    <w:rsid w:val="006E1581"/>
    <w:rsid w:val="006E19F6"/>
    <w:rsid w:val="006E1BDE"/>
    <w:rsid w:val="006E1BF9"/>
    <w:rsid w:val="006E1E32"/>
    <w:rsid w:val="006E2137"/>
    <w:rsid w:val="006E24E5"/>
    <w:rsid w:val="006E25BA"/>
    <w:rsid w:val="006E274D"/>
    <w:rsid w:val="006E288C"/>
    <w:rsid w:val="006E2951"/>
    <w:rsid w:val="006E2D4E"/>
    <w:rsid w:val="006E3000"/>
    <w:rsid w:val="006E3372"/>
    <w:rsid w:val="006E351F"/>
    <w:rsid w:val="006E3527"/>
    <w:rsid w:val="006E38FE"/>
    <w:rsid w:val="006E3BF0"/>
    <w:rsid w:val="006E3D11"/>
    <w:rsid w:val="006E3DF6"/>
    <w:rsid w:val="006E40D6"/>
    <w:rsid w:val="006E4147"/>
    <w:rsid w:val="006E417C"/>
    <w:rsid w:val="006E418C"/>
    <w:rsid w:val="006E420B"/>
    <w:rsid w:val="006E42F4"/>
    <w:rsid w:val="006E439F"/>
    <w:rsid w:val="006E4E71"/>
    <w:rsid w:val="006E4F07"/>
    <w:rsid w:val="006E52FB"/>
    <w:rsid w:val="006E547C"/>
    <w:rsid w:val="006E54F8"/>
    <w:rsid w:val="006E57AB"/>
    <w:rsid w:val="006E5AB5"/>
    <w:rsid w:val="006E5FB8"/>
    <w:rsid w:val="006E61A3"/>
    <w:rsid w:val="006E61D6"/>
    <w:rsid w:val="006E6211"/>
    <w:rsid w:val="006E64B3"/>
    <w:rsid w:val="006E6659"/>
    <w:rsid w:val="006E684C"/>
    <w:rsid w:val="006E68AD"/>
    <w:rsid w:val="006E6BD5"/>
    <w:rsid w:val="006E6D61"/>
    <w:rsid w:val="006E794E"/>
    <w:rsid w:val="006E7A41"/>
    <w:rsid w:val="006E7ABA"/>
    <w:rsid w:val="006E7E78"/>
    <w:rsid w:val="006E7F18"/>
    <w:rsid w:val="006E7F39"/>
    <w:rsid w:val="006F021F"/>
    <w:rsid w:val="006F056A"/>
    <w:rsid w:val="006F06DE"/>
    <w:rsid w:val="006F0A68"/>
    <w:rsid w:val="006F0C2F"/>
    <w:rsid w:val="006F0F00"/>
    <w:rsid w:val="006F15C8"/>
    <w:rsid w:val="006F16C1"/>
    <w:rsid w:val="006F1757"/>
    <w:rsid w:val="006F1C2B"/>
    <w:rsid w:val="006F1C9A"/>
    <w:rsid w:val="006F1EEF"/>
    <w:rsid w:val="006F1FA5"/>
    <w:rsid w:val="006F2093"/>
    <w:rsid w:val="006F20CF"/>
    <w:rsid w:val="006F239B"/>
    <w:rsid w:val="006F2690"/>
    <w:rsid w:val="006F27E5"/>
    <w:rsid w:val="006F2AC3"/>
    <w:rsid w:val="006F2B31"/>
    <w:rsid w:val="006F2BE6"/>
    <w:rsid w:val="006F357E"/>
    <w:rsid w:val="006F3882"/>
    <w:rsid w:val="006F3C2B"/>
    <w:rsid w:val="006F3FCD"/>
    <w:rsid w:val="006F402C"/>
    <w:rsid w:val="006F4302"/>
    <w:rsid w:val="006F4385"/>
    <w:rsid w:val="006F4764"/>
    <w:rsid w:val="006F4CC3"/>
    <w:rsid w:val="006F4CD8"/>
    <w:rsid w:val="006F4F13"/>
    <w:rsid w:val="006F5AD1"/>
    <w:rsid w:val="006F5AF2"/>
    <w:rsid w:val="006F5FC8"/>
    <w:rsid w:val="006F60C9"/>
    <w:rsid w:val="006F655B"/>
    <w:rsid w:val="006F6FAC"/>
    <w:rsid w:val="006F6FD3"/>
    <w:rsid w:val="006F7308"/>
    <w:rsid w:val="006F7344"/>
    <w:rsid w:val="006F73E0"/>
    <w:rsid w:val="006F76BE"/>
    <w:rsid w:val="006F79BC"/>
    <w:rsid w:val="00700078"/>
    <w:rsid w:val="0070030D"/>
    <w:rsid w:val="00700490"/>
    <w:rsid w:val="007008A3"/>
    <w:rsid w:val="00700952"/>
    <w:rsid w:val="00700A16"/>
    <w:rsid w:val="00700A9D"/>
    <w:rsid w:val="00700AD6"/>
    <w:rsid w:val="00700B5C"/>
    <w:rsid w:val="00701080"/>
    <w:rsid w:val="00701164"/>
    <w:rsid w:val="00701A3D"/>
    <w:rsid w:val="007020AC"/>
    <w:rsid w:val="007020CD"/>
    <w:rsid w:val="00702546"/>
    <w:rsid w:val="00702556"/>
    <w:rsid w:val="007025E9"/>
    <w:rsid w:val="00702642"/>
    <w:rsid w:val="0070264F"/>
    <w:rsid w:val="00702774"/>
    <w:rsid w:val="00702780"/>
    <w:rsid w:val="00702F0B"/>
    <w:rsid w:val="00702F5F"/>
    <w:rsid w:val="00702F6F"/>
    <w:rsid w:val="0070350D"/>
    <w:rsid w:val="007036C5"/>
    <w:rsid w:val="0070378C"/>
    <w:rsid w:val="00703C34"/>
    <w:rsid w:val="00703D08"/>
    <w:rsid w:val="00704347"/>
    <w:rsid w:val="0070456A"/>
    <w:rsid w:val="0070473E"/>
    <w:rsid w:val="00704A9B"/>
    <w:rsid w:val="0070504D"/>
    <w:rsid w:val="0070528C"/>
    <w:rsid w:val="007052A9"/>
    <w:rsid w:val="0070544D"/>
    <w:rsid w:val="00705454"/>
    <w:rsid w:val="007058EA"/>
    <w:rsid w:val="0070610F"/>
    <w:rsid w:val="0070613D"/>
    <w:rsid w:val="0070652B"/>
    <w:rsid w:val="00706D8E"/>
    <w:rsid w:val="00706E1F"/>
    <w:rsid w:val="0070739D"/>
    <w:rsid w:val="00707CC4"/>
    <w:rsid w:val="00707D17"/>
    <w:rsid w:val="00707D92"/>
    <w:rsid w:val="007100C6"/>
    <w:rsid w:val="00710191"/>
    <w:rsid w:val="00710478"/>
    <w:rsid w:val="0071050A"/>
    <w:rsid w:val="00710864"/>
    <w:rsid w:val="00710906"/>
    <w:rsid w:val="00711771"/>
    <w:rsid w:val="007118C1"/>
    <w:rsid w:val="00711D53"/>
    <w:rsid w:val="00711E45"/>
    <w:rsid w:val="00711E87"/>
    <w:rsid w:val="007122A1"/>
    <w:rsid w:val="00712355"/>
    <w:rsid w:val="00712365"/>
    <w:rsid w:val="00712447"/>
    <w:rsid w:val="0071248F"/>
    <w:rsid w:val="00712610"/>
    <w:rsid w:val="00712655"/>
    <w:rsid w:val="00712C54"/>
    <w:rsid w:val="00712CA7"/>
    <w:rsid w:val="00712CF0"/>
    <w:rsid w:val="00712E9E"/>
    <w:rsid w:val="00713844"/>
    <w:rsid w:val="00713ACF"/>
    <w:rsid w:val="00713BA7"/>
    <w:rsid w:val="00713BA9"/>
    <w:rsid w:val="00713E75"/>
    <w:rsid w:val="00714368"/>
    <w:rsid w:val="00714440"/>
    <w:rsid w:val="0071450F"/>
    <w:rsid w:val="007145DF"/>
    <w:rsid w:val="007148D3"/>
    <w:rsid w:val="00714B2B"/>
    <w:rsid w:val="00714C8B"/>
    <w:rsid w:val="00714CBF"/>
    <w:rsid w:val="007153EA"/>
    <w:rsid w:val="00715562"/>
    <w:rsid w:val="00715848"/>
    <w:rsid w:val="00715901"/>
    <w:rsid w:val="00715A67"/>
    <w:rsid w:val="00715B3F"/>
    <w:rsid w:val="00715BB2"/>
    <w:rsid w:val="00716063"/>
    <w:rsid w:val="0071642C"/>
    <w:rsid w:val="00716436"/>
    <w:rsid w:val="007165C4"/>
    <w:rsid w:val="0071669F"/>
    <w:rsid w:val="00716B98"/>
    <w:rsid w:val="00716EF9"/>
    <w:rsid w:val="0071710F"/>
    <w:rsid w:val="0071744F"/>
    <w:rsid w:val="007177D6"/>
    <w:rsid w:val="007179F7"/>
    <w:rsid w:val="00717C64"/>
    <w:rsid w:val="0072024A"/>
    <w:rsid w:val="007203E8"/>
    <w:rsid w:val="007204B1"/>
    <w:rsid w:val="007205A6"/>
    <w:rsid w:val="00720F5C"/>
    <w:rsid w:val="00720FA5"/>
    <w:rsid w:val="007212BA"/>
    <w:rsid w:val="00721366"/>
    <w:rsid w:val="00721658"/>
    <w:rsid w:val="007217C4"/>
    <w:rsid w:val="0072239F"/>
    <w:rsid w:val="0072306E"/>
    <w:rsid w:val="007231A0"/>
    <w:rsid w:val="007235B9"/>
    <w:rsid w:val="007236BA"/>
    <w:rsid w:val="00723842"/>
    <w:rsid w:val="007238C7"/>
    <w:rsid w:val="00723AD4"/>
    <w:rsid w:val="00723CF6"/>
    <w:rsid w:val="00723ED3"/>
    <w:rsid w:val="00723FB8"/>
    <w:rsid w:val="00724122"/>
    <w:rsid w:val="007247E3"/>
    <w:rsid w:val="007249F9"/>
    <w:rsid w:val="00724A70"/>
    <w:rsid w:val="00724B77"/>
    <w:rsid w:val="00724D42"/>
    <w:rsid w:val="0072554C"/>
    <w:rsid w:val="007255C5"/>
    <w:rsid w:val="0072566F"/>
    <w:rsid w:val="0072587E"/>
    <w:rsid w:val="00725E08"/>
    <w:rsid w:val="0072616F"/>
    <w:rsid w:val="00726269"/>
    <w:rsid w:val="007263A0"/>
    <w:rsid w:val="007268DC"/>
    <w:rsid w:val="00726946"/>
    <w:rsid w:val="00726F17"/>
    <w:rsid w:val="00727355"/>
    <w:rsid w:val="00727584"/>
    <w:rsid w:val="0072761E"/>
    <w:rsid w:val="00727ABA"/>
    <w:rsid w:val="007302DC"/>
    <w:rsid w:val="007303A0"/>
    <w:rsid w:val="00730418"/>
    <w:rsid w:val="0073076B"/>
    <w:rsid w:val="00730A8B"/>
    <w:rsid w:val="00730B5A"/>
    <w:rsid w:val="00730BF3"/>
    <w:rsid w:val="00730FD0"/>
    <w:rsid w:val="007311C7"/>
    <w:rsid w:val="00731233"/>
    <w:rsid w:val="0073127B"/>
    <w:rsid w:val="0073190D"/>
    <w:rsid w:val="00731DB7"/>
    <w:rsid w:val="007320EA"/>
    <w:rsid w:val="007323D5"/>
    <w:rsid w:val="007324E2"/>
    <w:rsid w:val="00732623"/>
    <w:rsid w:val="007326E9"/>
    <w:rsid w:val="00732765"/>
    <w:rsid w:val="007327BE"/>
    <w:rsid w:val="00732969"/>
    <w:rsid w:val="00732A25"/>
    <w:rsid w:val="00732B4C"/>
    <w:rsid w:val="00732C01"/>
    <w:rsid w:val="00732C51"/>
    <w:rsid w:val="00732CFD"/>
    <w:rsid w:val="00732D95"/>
    <w:rsid w:val="00732DBD"/>
    <w:rsid w:val="007331A5"/>
    <w:rsid w:val="007336D4"/>
    <w:rsid w:val="007337DC"/>
    <w:rsid w:val="007338DF"/>
    <w:rsid w:val="00733A50"/>
    <w:rsid w:val="0073401C"/>
    <w:rsid w:val="0073405C"/>
    <w:rsid w:val="007340A5"/>
    <w:rsid w:val="00734347"/>
    <w:rsid w:val="007345C2"/>
    <w:rsid w:val="007346DC"/>
    <w:rsid w:val="0073479B"/>
    <w:rsid w:val="00734915"/>
    <w:rsid w:val="00734AF7"/>
    <w:rsid w:val="00734B6C"/>
    <w:rsid w:val="007354EA"/>
    <w:rsid w:val="007356F7"/>
    <w:rsid w:val="0073582E"/>
    <w:rsid w:val="007358A7"/>
    <w:rsid w:val="00735966"/>
    <w:rsid w:val="00735A42"/>
    <w:rsid w:val="00735CAB"/>
    <w:rsid w:val="00735E6A"/>
    <w:rsid w:val="00735FA0"/>
    <w:rsid w:val="0073684F"/>
    <w:rsid w:val="00736A77"/>
    <w:rsid w:val="00736A79"/>
    <w:rsid w:val="00737270"/>
    <w:rsid w:val="007374B5"/>
    <w:rsid w:val="0073756C"/>
    <w:rsid w:val="0073780D"/>
    <w:rsid w:val="007379F1"/>
    <w:rsid w:val="00737A02"/>
    <w:rsid w:val="00737DF3"/>
    <w:rsid w:val="00737FEF"/>
    <w:rsid w:val="007402D8"/>
    <w:rsid w:val="007404E2"/>
    <w:rsid w:val="00740A7F"/>
    <w:rsid w:val="00740FDE"/>
    <w:rsid w:val="007411B1"/>
    <w:rsid w:val="0074136F"/>
    <w:rsid w:val="00741A3A"/>
    <w:rsid w:val="00741A83"/>
    <w:rsid w:val="00741BAF"/>
    <w:rsid w:val="00741C0E"/>
    <w:rsid w:val="00741F9D"/>
    <w:rsid w:val="00742308"/>
    <w:rsid w:val="00742487"/>
    <w:rsid w:val="00742962"/>
    <w:rsid w:val="00742A76"/>
    <w:rsid w:val="00742B28"/>
    <w:rsid w:val="00742F2E"/>
    <w:rsid w:val="007434C8"/>
    <w:rsid w:val="007434F0"/>
    <w:rsid w:val="00743C2D"/>
    <w:rsid w:val="00743EE0"/>
    <w:rsid w:val="0074469A"/>
    <w:rsid w:val="007447BB"/>
    <w:rsid w:val="00744CF1"/>
    <w:rsid w:val="00744D99"/>
    <w:rsid w:val="00744E67"/>
    <w:rsid w:val="00744FD2"/>
    <w:rsid w:val="007452F9"/>
    <w:rsid w:val="00745CEB"/>
    <w:rsid w:val="00745D25"/>
    <w:rsid w:val="007460D1"/>
    <w:rsid w:val="0074627E"/>
    <w:rsid w:val="0074656D"/>
    <w:rsid w:val="007467FD"/>
    <w:rsid w:val="0074682D"/>
    <w:rsid w:val="00746AEA"/>
    <w:rsid w:val="00746B2C"/>
    <w:rsid w:val="00747143"/>
    <w:rsid w:val="00747302"/>
    <w:rsid w:val="007473E7"/>
    <w:rsid w:val="007475C3"/>
    <w:rsid w:val="0074799C"/>
    <w:rsid w:val="00747AD4"/>
    <w:rsid w:val="00747C3D"/>
    <w:rsid w:val="00747C54"/>
    <w:rsid w:val="00747DE8"/>
    <w:rsid w:val="00747EF6"/>
    <w:rsid w:val="00747F67"/>
    <w:rsid w:val="0075017F"/>
    <w:rsid w:val="00750342"/>
    <w:rsid w:val="007503D2"/>
    <w:rsid w:val="007506E5"/>
    <w:rsid w:val="00750927"/>
    <w:rsid w:val="00750944"/>
    <w:rsid w:val="0075098B"/>
    <w:rsid w:val="007509FF"/>
    <w:rsid w:val="00750EDA"/>
    <w:rsid w:val="00750FC7"/>
    <w:rsid w:val="007510E2"/>
    <w:rsid w:val="00751349"/>
    <w:rsid w:val="007515D9"/>
    <w:rsid w:val="00751AF7"/>
    <w:rsid w:val="00751B67"/>
    <w:rsid w:val="00751D8C"/>
    <w:rsid w:val="0075201D"/>
    <w:rsid w:val="0075201E"/>
    <w:rsid w:val="0075201F"/>
    <w:rsid w:val="00752074"/>
    <w:rsid w:val="0075209B"/>
    <w:rsid w:val="007521EE"/>
    <w:rsid w:val="0075220A"/>
    <w:rsid w:val="007522C6"/>
    <w:rsid w:val="007523B1"/>
    <w:rsid w:val="007523B4"/>
    <w:rsid w:val="0075251A"/>
    <w:rsid w:val="00752573"/>
    <w:rsid w:val="00752668"/>
    <w:rsid w:val="007526D4"/>
    <w:rsid w:val="00752850"/>
    <w:rsid w:val="00752A06"/>
    <w:rsid w:val="00752C7F"/>
    <w:rsid w:val="00752EB7"/>
    <w:rsid w:val="007532F5"/>
    <w:rsid w:val="007533C6"/>
    <w:rsid w:val="0075360D"/>
    <w:rsid w:val="0075364B"/>
    <w:rsid w:val="00753654"/>
    <w:rsid w:val="00753C56"/>
    <w:rsid w:val="00753CD3"/>
    <w:rsid w:val="00753FCA"/>
    <w:rsid w:val="00754404"/>
    <w:rsid w:val="00754411"/>
    <w:rsid w:val="00754522"/>
    <w:rsid w:val="00755224"/>
    <w:rsid w:val="0075544F"/>
    <w:rsid w:val="00755C2F"/>
    <w:rsid w:val="00755C61"/>
    <w:rsid w:val="00755EF2"/>
    <w:rsid w:val="00756388"/>
    <w:rsid w:val="00756661"/>
    <w:rsid w:val="00756F14"/>
    <w:rsid w:val="007570C5"/>
    <w:rsid w:val="00757276"/>
    <w:rsid w:val="0075742F"/>
    <w:rsid w:val="00757470"/>
    <w:rsid w:val="00757890"/>
    <w:rsid w:val="007578A9"/>
    <w:rsid w:val="0075794F"/>
    <w:rsid w:val="00757CB4"/>
    <w:rsid w:val="00757D07"/>
    <w:rsid w:val="00760166"/>
    <w:rsid w:val="00760769"/>
    <w:rsid w:val="00760883"/>
    <w:rsid w:val="00760B0E"/>
    <w:rsid w:val="00760C29"/>
    <w:rsid w:val="00760CCA"/>
    <w:rsid w:val="00760DC5"/>
    <w:rsid w:val="00760F0E"/>
    <w:rsid w:val="00760FC5"/>
    <w:rsid w:val="0076112B"/>
    <w:rsid w:val="007613CA"/>
    <w:rsid w:val="007615A7"/>
    <w:rsid w:val="00761757"/>
    <w:rsid w:val="007617F3"/>
    <w:rsid w:val="00761C46"/>
    <w:rsid w:val="00761C7C"/>
    <w:rsid w:val="00761DF2"/>
    <w:rsid w:val="007621D9"/>
    <w:rsid w:val="0076232D"/>
    <w:rsid w:val="0076259F"/>
    <w:rsid w:val="00762842"/>
    <w:rsid w:val="007628CD"/>
    <w:rsid w:val="0076292C"/>
    <w:rsid w:val="00763040"/>
    <w:rsid w:val="00763115"/>
    <w:rsid w:val="00763141"/>
    <w:rsid w:val="0076342E"/>
    <w:rsid w:val="0076364E"/>
    <w:rsid w:val="00763761"/>
    <w:rsid w:val="00763775"/>
    <w:rsid w:val="007638FC"/>
    <w:rsid w:val="007639A3"/>
    <w:rsid w:val="007639FB"/>
    <w:rsid w:val="00763A12"/>
    <w:rsid w:val="00763A98"/>
    <w:rsid w:val="00763FE2"/>
    <w:rsid w:val="00764152"/>
    <w:rsid w:val="0076441D"/>
    <w:rsid w:val="0076446F"/>
    <w:rsid w:val="0076524C"/>
    <w:rsid w:val="007653B8"/>
    <w:rsid w:val="00765556"/>
    <w:rsid w:val="0076555E"/>
    <w:rsid w:val="0076594D"/>
    <w:rsid w:val="00765A39"/>
    <w:rsid w:val="00765A6E"/>
    <w:rsid w:val="00765C85"/>
    <w:rsid w:val="0076616E"/>
    <w:rsid w:val="00766189"/>
    <w:rsid w:val="00766CB0"/>
    <w:rsid w:val="00766CD2"/>
    <w:rsid w:val="00767163"/>
    <w:rsid w:val="0076767B"/>
    <w:rsid w:val="00767CB8"/>
    <w:rsid w:val="00767CDD"/>
    <w:rsid w:val="00767DF8"/>
    <w:rsid w:val="00767EE2"/>
    <w:rsid w:val="007700ED"/>
    <w:rsid w:val="0077051E"/>
    <w:rsid w:val="007705D1"/>
    <w:rsid w:val="00770A1E"/>
    <w:rsid w:val="00770CFD"/>
    <w:rsid w:val="007711F0"/>
    <w:rsid w:val="0077153D"/>
    <w:rsid w:val="0077163A"/>
    <w:rsid w:val="00771BD0"/>
    <w:rsid w:val="00771D27"/>
    <w:rsid w:val="00772038"/>
    <w:rsid w:val="00772142"/>
    <w:rsid w:val="007721E9"/>
    <w:rsid w:val="00772961"/>
    <w:rsid w:val="00772AEA"/>
    <w:rsid w:val="00772C99"/>
    <w:rsid w:val="00772E84"/>
    <w:rsid w:val="007730B8"/>
    <w:rsid w:val="007733C7"/>
    <w:rsid w:val="007734AE"/>
    <w:rsid w:val="00773624"/>
    <w:rsid w:val="007738F9"/>
    <w:rsid w:val="00773EBA"/>
    <w:rsid w:val="00774142"/>
    <w:rsid w:val="007745C9"/>
    <w:rsid w:val="007746D4"/>
    <w:rsid w:val="007747AE"/>
    <w:rsid w:val="00774976"/>
    <w:rsid w:val="007749E6"/>
    <w:rsid w:val="00774CA3"/>
    <w:rsid w:val="007750F6"/>
    <w:rsid w:val="007750FB"/>
    <w:rsid w:val="0077511F"/>
    <w:rsid w:val="00775416"/>
    <w:rsid w:val="00775BE3"/>
    <w:rsid w:val="00775C1E"/>
    <w:rsid w:val="00775CE1"/>
    <w:rsid w:val="00775E28"/>
    <w:rsid w:val="00775E38"/>
    <w:rsid w:val="0077624D"/>
    <w:rsid w:val="00776325"/>
    <w:rsid w:val="00776592"/>
    <w:rsid w:val="00776680"/>
    <w:rsid w:val="007768CC"/>
    <w:rsid w:val="00777515"/>
    <w:rsid w:val="007778A8"/>
    <w:rsid w:val="007779EA"/>
    <w:rsid w:val="00777B18"/>
    <w:rsid w:val="00777BD1"/>
    <w:rsid w:val="00777C52"/>
    <w:rsid w:val="00777F44"/>
    <w:rsid w:val="00780046"/>
    <w:rsid w:val="007801FE"/>
    <w:rsid w:val="00780A2F"/>
    <w:rsid w:val="00780A3E"/>
    <w:rsid w:val="00780EEA"/>
    <w:rsid w:val="00781030"/>
    <w:rsid w:val="00781BB9"/>
    <w:rsid w:val="00781CFF"/>
    <w:rsid w:val="00781D28"/>
    <w:rsid w:val="00781FFE"/>
    <w:rsid w:val="007820E1"/>
    <w:rsid w:val="007820E2"/>
    <w:rsid w:val="0078263F"/>
    <w:rsid w:val="00782709"/>
    <w:rsid w:val="00782A8F"/>
    <w:rsid w:val="00782AD4"/>
    <w:rsid w:val="00782B41"/>
    <w:rsid w:val="00782D2C"/>
    <w:rsid w:val="00782DBE"/>
    <w:rsid w:val="00782F1C"/>
    <w:rsid w:val="007836DB"/>
    <w:rsid w:val="00783C73"/>
    <w:rsid w:val="00783CA8"/>
    <w:rsid w:val="00783F62"/>
    <w:rsid w:val="00784264"/>
    <w:rsid w:val="00784295"/>
    <w:rsid w:val="0078432A"/>
    <w:rsid w:val="00784665"/>
    <w:rsid w:val="0078471D"/>
    <w:rsid w:val="007849DB"/>
    <w:rsid w:val="00784AD2"/>
    <w:rsid w:val="00784D4E"/>
    <w:rsid w:val="00785B3F"/>
    <w:rsid w:val="00785BDB"/>
    <w:rsid w:val="00785E03"/>
    <w:rsid w:val="00785E25"/>
    <w:rsid w:val="00785E8C"/>
    <w:rsid w:val="00785F00"/>
    <w:rsid w:val="00785F21"/>
    <w:rsid w:val="00786017"/>
    <w:rsid w:val="0078648E"/>
    <w:rsid w:val="007864A1"/>
    <w:rsid w:val="007864AA"/>
    <w:rsid w:val="00786F51"/>
    <w:rsid w:val="007871BF"/>
    <w:rsid w:val="0078741F"/>
    <w:rsid w:val="007874C6"/>
    <w:rsid w:val="00787829"/>
    <w:rsid w:val="00787967"/>
    <w:rsid w:val="00787BB0"/>
    <w:rsid w:val="00787DD0"/>
    <w:rsid w:val="00787EF3"/>
    <w:rsid w:val="007901E3"/>
    <w:rsid w:val="007902AC"/>
    <w:rsid w:val="007903E7"/>
    <w:rsid w:val="007903EB"/>
    <w:rsid w:val="00790710"/>
    <w:rsid w:val="00790B81"/>
    <w:rsid w:val="00790CF0"/>
    <w:rsid w:val="00791012"/>
    <w:rsid w:val="00791185"/>
    <w:rsid w:val="00791297"/>
    <w:rsid w:val="007912F4"/>
    <w:rsid w:val="0079130C"/>
    <w:rsid w:val="0079152E"/>
    <w:rsid w:val="007918AC"/>
    <w:rsid w:val="00791CAE"/>
    <w:rsid w:val="00791E36"/>
    <w:rsid w:val="007924B2"/>
    <w:rsid w:val="007929E7"/>
    <w:rsid w:val="00792B39"/>
    <w:rsid w:val="007931EA"/>
    <w:rsid w:val="00793312"/>
    <w:rsid w:val="007933B5"/>
    <w:rsid w:val="00793752"/>
    <w:rsid w:val="00793AA8"/>
    <w:rsid w:val="00793AB2"/>
    <w:rsid w:val="00794094"/>
    <w:rsid w:val="0079420B"/>
    <w:rsid w:val="007942BC"/>
    <w:rsid w:val="0079442E"/>
    <w:rsid w:val="00794777"/>
    <w:rsid w:val="0079494E"/>
    <w:rsid w:val="00794D81"/>
    <w:rsid w:val="00794F31"/>
    <w:rsid w:val="0079515E"/>
    <w:rsid w:val="007955A7"/>
    <w:rsid w:val="00795725"/>
    <w:rsid w:val="00795BA8"/>
    <w:rsid w:val="00795C31"/>
    <w:rsid w:val="00795D0E"/>
    <w:rsid w:val="00795DC9"/>
    <w:rsid w:val="0079600E"/>
    <w:rsid w:val="0079609A"/>
    <w:rsid w:val="007963C0"/>
    <w:rsid w:val="0079694E"/>
    <w:rsid w:val="00796957"/>
    <w:rsid w:val="00796BD7"/>
    <w:rsid w:val="00797472"/>
    <w:rsid w:val="00797607"/>
    <w:rsid w:val="00797A63"/>
    <w:rsid w:val="00797D95"/>
    <w:rsid w:val="00797F89"/>
    <w:rsid w:val="007A0006"/>
    <w:rsid w:val="007A023B"/>
    <w:rsid w:val="007A04B0"/>
    <w:rsid w:val="007A06A0"/>
    <w:rsid w:val="007A0792"/>
    <w:rsid w:val="007A09D7"/>
    <w:rsid w:val="007A0C53"/>
    <w:rsid w:val="007A1032"/>
    <w:rsid w:val="007A12CF"/>
    <w:rsid w:val="007A1DCD"/>
    <w:rsid w:val="007A1DF1"/>
    <w:rsid w:val="007A1E01"/>
    <w:rsid w:val="007A1E23"/>
    <w:rsid w:val="007A1FE6"/>
    <w:rsid w:val="007A2018"/>
    <w:rsid w:val="007A258A"/>
    <w:rsid w:val="007A268F"/>
    <w:rsid w:val="007A273A"/>
    <w:rsid w:val="007A2C5A"/>
    <w:rsid w:val="007A2D5E"/>
    <w:rsid w:val="007A2FC2"/>
    <w:rsid w:val="007A3331"/>
    <w:rsid w:val="007A39E1"/>
    <w:rsid w:val="007A3CA2"/>
    <w:rsid w:val="007A3D08"/>
    <w:rsid w:val="007A4162"/>
    <w:rsid w:val="007A4241"/>
    <w:rsid w:val="007A4283"/>
    <w:rsid w:val="007A42DF"/>
    <w:rsid w:val="007A43E1"/>
    <w:rsid w:val="007A453E"/>
    <w:rsid w:val="007A4607"/>
    <w:rsid w:val="007A481E"/>
    <w:rsid w:val="007A4919"/>
    <w:rsid w:val="007A4FDC"/>
    <w:rsid w:val="007A5009"/>
    <w:rsid w:val="007A507A"/>
    <w:rsid w:val="007A519B"/>
    <w:rsid w:val="007A5356"/>
    <w:rsid w:val="007A5564"/>
    <w:rsid w:val="007A55E2"/>
    <w:rsid w:val="007A59E4"/>
    <w:rsid w:val="007A5A52"/>
    <w:rsid w:val="007A5BD3"/>
    <w:rsid w:val="007A6062"/>
    <w:rsid w:val="007A6119"/>
    <w:rsid w:val="007A61B4"/>
    <w:rsid w:val="007A61B9"/>
    <w:rsid w:val="007A6373"/>
    <w:rsid w:val="007A669B"/>
    <w:rsid w:val="007A6B26"/>
    <w:rsid w:val="007A6D00"/>
    <w:rsid w:val="007A6D8B"/>
    <w:rsid w:val="007A6E32"/>
    <w:rsid w:val="007A6E8F"/>
    <w:rsid w:val="007A7089"/>
    <w:rsid w:val="007A718F"/>
    <w:rsid w:val="007A7534"/>
    <w:rsid w:val="007A7AE8"/>
    <w:rsid w:val="007A7B03"/>
    <w:rsid w:val="007A7F11"/>
    <w:rsid w:val="007B00DA"/>
    <w:rsid w:val="007B01DB"/>
    <w:rsid w:val="007B042F"/>
    <w:rsid w:val="007B04D5"/>
    <w:rsid w:val="007B06BA"/>
    <w:rsid w:val="007B0967"/>
    <w:rsid w:val="007B0BDD"/>
    <w:rsid w:val="007B0C2F"/>
    <w:rsid w:val="007B0FB5"/>
    <w:rsid w:val="007B1270"/>
    <w:rsid w:val="007B12E4"/>
    <w:rsid w:val="007B1737"/>
    <w:rsid w:val="007B18CD"/>
    <w:rsid w:val="007B1E44"/>
    <w:rsid w:val="007B2263"/>
    <w:rsid w:val="007B265D"/>
    <w:rsid w:val="007B2915"/>
    <w:rsid w:val="007B2977"/>
    <w:rsid w:val="007B2B2C"/>
    <w:rsid w:val="007B2BFA"/>
    <w:rsid w:val="007B2CB7"/>
    <w:rsid w:val="007B2FF1"/>
    <w:rsid w:val="007B33AD"/>
    <w:rsid w:val="007B34CA"/>
    <w:rsid w:val="007B376D"/>
    <w:rsid w:val="007B3A85"/>
    <w:rsid w:val="007B3D90"/>
    <w:rsid w:val="007B3E06"/>
    <w:rsid w:val="007B3ECD"/>
    <w:rsid w:val="007B425D"/>
    <w:rsid w:val="007B425F"/>
    <w:rsid w:val="007B427A"/>
    <w:rsid w:val="007B4338"/>
    <w:rsid w:val="007B4742"/>
    <w:rsid w:val="007B4768"/>
    <w:rsid w:val="007B4FFB"/>
    <w:rsid w:val="007B5337"/>
    <w:rsid w:val="007B5487"/>
    <w:rsid w:val="007B56F1"/>
    <w:rsid w:val="007B5839"/>
    <w:rsid w:val="007B58FE"/>
    <w:rsid w:val="007B59B6"/>
    <w:rsid w:val="007B5C15"/>
    <w:rsid w:val="007B5DFE"/>
    <w:rsid w:val="007B6992"/>
    <w:rsid w:val="007B6B6B"/>
    <w:rsid w:val="007B6C88"/>
    <w:rsid w:val="007B6D8D"/>
    <w:rsid w:val="007B6E11"/>
    <w:rsid w:val="007B70BD"/>
    <w:rsid w:val="007B71D3"/>
    <w:rsid w:val="007B750A"/>
    <w:rsid w:val="007B75AF"/>
    <w:rsid w:val="007C0082"/>
    <w:rsid w:val="007C02F6"/>
    <w:rsid w:val="007C09F2"/>
    <w:rsid w:val="007C0D0B"/>
    <w:rsid w:val="007C0D5B"/>
    <w:rsid w:val="007C0E39"/>
    <w:rsid w:val="007C141A"/>
    <w:rsid w:val="007C1505"/>
    <w:rsid w:val="007C1CC1"/>
    <w:rsid w:val="007C1CD4"/>
    <w:rsid w:val="007C1DB7"/>
    <w:rsid w:val="007C1FE4"/>
    <w:rsid w:val="007C269C"/>
    <w:rsid w:val="007C281F"/>
    <w:rsid w:val="007C2C5F"/>
    <w:rsid w:val="007C304D"/>
    <w:rsid w:val="007C3627"/>
    <w:rsid w:val="007C401C"/>
    <w:rsid w:val="007C4873"/>
    <w:rsid w:val="007C4D35"/>
    <w:rsid w:val="007C4E0B"/>
    <w:rsid w:val="007C4F5C"/>
    <w:rsid w:val="007C4F98"/>
    <w:rsid w:val="007C51D3"/>
    <w:rsid w:val="007C52BF"/>
    <w:rsid w:val="007C5CBC"/>
    <w:rsid w:val="007C5D88"/>
    <w:rsid w:val="007C619C"/>
    <w:rsid w:val="007C6268"/>
    <w:rsid w:val="007C67EE"/>
    <w:rsid w:val="007C697D"/>
    <w:rsid w:val="007C6B8E"/>
    <w:rsid w:val="007C6E79"/>
    <w:rsid w:val="007C77E5"/>
    <w:rsid w:val="007C7894"/>
    <w:rsid w:val="007C78A7"/>
    <w:rsid w:val="007C7BE6"/>
    <w:rsid w:val="007C7C47"/>
    <w:rsid w:val="007C7D68"/>
    <w:rsid w:val="007C7E49"/>
    <w:rsid w:val="007C7EFB"/>
    <w:rsid w:val="007C7F06"/>
    <w:rsid w:val="007D00D4"/>
    <w:rsid w:val="007D01F4"/>
    <w:rsid w:val="007D0428"/>
    <w:rsid w:val="007D046B"/>
    <w:rsid w:val="007D0B5D"/>
    <w:rsid w:val="007D0C06"/>
    <w:rsid w:val="007D0D9F"/>
    <w:rsid w:val="007D0F0A"/>
    <w:rsid w:val="007D15D7"/>
    <w:rsid w:val="007D15F8"/>
    <w:rsid w:val="007D19A2"/>
    <w:rsid w:val="007D19BC"/>
    <w:rsid w:val="007D1F74"/>
    <w:rsid w:val="007D2032"/>
    <w:rsid w:val="007D2487"/>
    <w:rsid w:val="007D2624"/>
    <w:rsid w:val="007D28E6"/>
    <w:rsid w:val="007D29A6"/>
    <w:rsid w:val="007D29DE"/>
    <w:rsid w:val="007D3307"/>
    <w:rsid w:val="007D398A"/>
    <w:rsid w:val="007D3A09"/>
    <w:rsid w:val="007D3E4A"/>
    <w:rsid w:val="007D3EA0"/>
    <w:rsid w:val="007D3EB3"/>
    <w:rsid w:val="007D40DA"/>
    <w:rsid w:val="007D46E3"/>
    <w:rsid w:val="007D4C10"/>
    <w:rsid w:val="007D4D93"/>
    <w:rsid w:val="007D4DF9"/>
    <w:rsid w:val="007D506A"/>
    <w:rsid w:val="007D5085"/>
    <w:rsid w:val="007D55A2"/>
    <w:rsid w:val="007D5621"/>
    <w:rsid w:val="007D56BF"/>
    <w:rsid w:val="007D5A8D"/>
    <w:rsid w:val="007D5CCC"/>
    <w:rsid w:val="007D618D"/>
    <w:rsid w:val="007D61D2"/>
    <w:rsid w:val="007D6572"/>
    <w:rsid w:val="007D696A"/>
    <w:rsid w:val="007D6986"/>
    <w:rsid w:val="007D6B26"/>
    <w:rsid w:val="007D6FD6"/>
    <w:rsid w:val="007D7148"/>
    <w:rsid w:val="007D7B29"/>
    <w:rsid w:val="007D7BAB"/>
    <w:rsid w:val="007E00E4"/>
    <w:rsid w:val="007E0573"/>
    <w:rsid w:val="007E05DA"/>
    <w:rsid w:val="007E08E7"/>
    <w:rsid w:val="007E0969"/>
    <w:rsid w:val="007E0A79"/>
    <w:rsid w:val="007E116C"/>
    <w:rsid w:val="007E1628"/>
    <w:rsid w:val="007E1B40"/>
    <w:rsid w:val="007E1C73"/>
    <w:rsid w:val="007E2082"/>
    <w:rsid w:val="007E216A"/>
    <w:rsid w:val="007E22B6"/>
    <w:rsid w:val="007E234B"/>
    <w:rsid w:val="007E23ED"/>
    <w:rsid w:val="007E2611"/>
    <w:rsid w:val="007E278B"/>
    <w:rsid w:val="007E2C87"/>
    <w:rsid w:val="007E2D23"/>
    <w:rsid w:val="007E2DB4"/>
    <w:rsid w:val="007E2E93"/>
    <w:rsid w:val="007E35E9"/>
    <w:rsid w:val="007E36B5"/>
    <w:rsid w:val="007E370B"/>
    <w:rsid w:val="007E3A65"/>
    <w:rsid w:val="007E3BB0"/>
    <w:rsid w:val="007E3D66"/>
    <w:rsid w:val="007E3EE9"/>
    <w:rsid w:val="007E43FE"/>
    <w:rsid w:val="007E46D4"/>
    <w:rsid w:val="007E477D"/>
    <w:rsid w:val="007E4A88"/>
    <w:rsid w:val="007E4D49"/>
    <w:rsid w:val="007E4DEB"/>
    <w:rsid w:val="007E52B5"/>
    <w:rsid w:val="007E561D"/>
    <w:rsid w:val="007E5AE5"/>
    <w:rsid w:val="007E5D4A"/>
    <w:rsid w:val="007E5EFC"/>
    <w:rsid w:val="007E5F0A"/>
    <w:rsid w:val="007E60C9"/>
    <w:rsid w:val="007E629A"/>
    <w:rsid w:val="007E65AD"/>
    <w:rsid w:val="007E6C99"/>
    <w:rsid w:val="007E6FF5"/>
    <w:rsid w:val="007E744B"/>
    <w:rsid w:val="007E74F7"/>
    <w:rsid w:val="007E78A5"/>
    <w:rsid w:val="007E7B1E"/>
    <w:rsid w:val="007E7C70"/>
    <w:rsid w:val="007E7FB1"/>
    <w:rsid w:val="007F00CF"/>
    <w:rsid w:val="007F020E"/>
    <w:rsid w:val="007F028B"/>
    <w:rsid w:val="007F0291"/>
    <w:rsid w:val="007F036B"/>
    <w:rsid w:val="007F03CF"/>
    <w:rsid w:val="007F0852"/>
    <w:rsid w:val="007F0D4E"/>
    <w:rsid w:val="007F1000"/>
    <w:rsid w:val="007F111A"/>
    <w:rsid w:val="007F1217"/>
    <w:rsid w:val="007F148D"/>
    <w:rsid w:val="007F16B0"/>
    <w:rsid w:val="007F183B"/>
    <w:rsid w:val="007F18CB"/>
    <w:rsid w:val="007F197D"/>
    <w:rsid w:val="007F2714"/>
    <w:rsid w:val="007F299A"/>
    <w:rsid w:val="007F2AAD"/>
    <w:rsid w:val="007F2C5E"/>
    <w:rsid w:val="007F2C9D"/>
    <w:rsid w:val="007F2CE2"/>
    <w:rsid w:val="007F2E56"/>
    <w:rsid w:val="007F303E"/>
    <w:rsid w:val="007F3486"/>
    <w:rsid w:val="007F3668"/>
    <w:rsid w:val="007F3790"/>
    <w:rsid w:val="007F37C3"/>
    <w:rsid w:val="007F3E58"/>
    <w:rsid w:val="007F3E93"/>
    <w:rsid w:val="007F3E94"/>
    <w:rsid w:val="007F4011"/>
    <w:rsid w:val="007F459E"/>
    <w:rsid w:val="007F46EC"/>
    <w:rsid w:val="007F47F7"/>
    <w:rsid w:val="007F4974"/>
    <w:rsid w:val="007F4E96"/>
    <w:rsid w:val="007F4F95"/>
    <w:rsid w:val="007F4FFC"/>
    <w:rsid w:val="007F519B"/>
    <w:rsid w:val="007F579F"/>
    <w:rsid w:val="007F5A69"/>
    <w:rsid w:val="007F5FDE"/>
    <w:rsid w:val="007F60F1"/>
    <w:rsid w:val="007F6421"/>
    <w:rsid w:val="007F648A"/>
    <w:rsid w:val="007F65A8"/>
    <w:rsid w:val="007F6846"/>
    <w:rsid w:val="007F6D78"/>
    <w:rsid w:val="007F6DC3"/>
    <w:rsid w:val="007F775F"/>
    <w:rsid w:val="007F77A8"/>
    <w:rsid w:val="007F7BC8"/>
    <w:rsid w:val="008003B9"/>
    <w:rsid w:val="008004EB"/>
    <w:rsid w:val="0080052F"/>
    <w:rsid w:val="008005E2"/>
    <w:rsid w:val="008005E6"/>
    <w:rsid w:val="0080085C"/>
    <w:rsid w:val="008009BE"/>
    <w:rsid w:val="00800E18"/>
    <w:rsid w:val="008015D7"/>
    <w:rsid w:val="00801797"/>
    <w:rsid w:val="00801CC7"/>
    <w:rsid w:val="00801D8C"/>
    <w:rsid w:val="008020F1"/>
    <w:rsid w:val="0080288F"/>
    <w:rsid w:val="0080299F"/>
    <w:rsid w:val="00803113"/>
    <w:rsid w:val="00803191"/>
    <w:rsid w:val="00803241"/>
    <w:rsid w:val="0080324D"/>
    <w:rsid w:val="00803A18"/>
    <w:rsid w:val="00803BD3"/>
    <w:rsid w:val="00803FE7"/>
    <w:rsid w:val="008040E8"/>
    <w:rsid w:val="0080414B"/>
    <w:rsid w:val="008045AA"/>
    <w:rsid w:val="008045BA"/>
    <w:rsid w:val="008047FE"/>
    <w:rsid w:val="00804856"/>
    <w:rsid w:val="00804EF4"/>
    <w:rsid w:val="00804F07"/>
    <w:rsid w:val="008053D3"/>
    <w:rsid w:val="00805514"/>
    <w:rsid w:val="00805540"/>
    <w:rsid w:val="00805B46"/>
    <w:rsid w:val="00806039"/>
    <w:rsid w:val="008062FD"/>
    <w:rsid w:val="0080630C"/>
    <w:rsid w:val="008063C4"/>
    <w:rsid w:val="00806446"/>
    <w:rsid w:val="0080653D"/>
    <w:rsid w:val="008068A8"/>
    <w:rsid w:val="00806A62"/>
    <w:rsid w:val="00806AF0"/>
    <w:rsid w:val="00806FA8"/>
    <w:rsid w:val="00807287"/>
    <w:rsid w:val="0080728E"/>
    <w:rsid w:val="008074C4"/>
    <w:rsid w:val="00807C51"/>
    <w:rsid w:val="00807D46"/>
    <w:rsid w:val="00807EA7"/>
    <w:rsid w:val="00807FF0"/>
    <w:rsid w:val="00810054"/>
    <w:rsid w:val="00810371"/>
    <w:rsid w:val="0081052A"/>
    <w:rsid w:val="00810644"/>
    <w:rsid w:val="00810840"/>
    <w:rsid w:val="00810A5D"/>
    <w:rsid w:val="00810A9B"/>
    <w:rsid w:val="00810B91"/>
    <w:rsid w:val="00810EC9"/>
    <w:rsid w:val="008117CB"/>
    <w:rsid w:val="00811828"/>
    <w:rsid w:val="008118E5"/>
    <w:rsid w:val="008118EE"/>
    <w:rsid w:val="00811C03"/>
    <w:rsid w:val="00812606"/>
    <w:rsid w:val="008127D8"/>
    <w:rsid w:val="0081295C"/>
    <w:rsid w:val="00812D11"/>
    <w:rsid w:val="00813377"/>
    <w:rsid w:val="008133C8"/>
    <w:rsid w:val="0081342B"/>
    <w:rsid w:val="00813679"/>
    <w:rsid w:val="00813705"/>
    <w:rsid w:val="008139B0"/>
    <w:rsid w:val="0081407A"/>
    <w:rsid w:val="0081414B"/>
    <w:rsid w:val="0081418A"/>
    <w:rsid w:val="008142BB"/>
    <w:rsid w:val="00814446"/>
    <w:rsid w:val="008148FF"/>
    <w:rsid w:val="00814A70"/>
    <w:rsid w:val="00814B66"/>
    <w:rsid w:val="00814C64"/>
    <w:rsid w:val="00814D51"/>
    <w:rsid w:val="00814F6B"/>
    <w:rsid w:val="008153A6"/>
    <w:rsid w:val="00815C57"/>
    <w:rsid w:val="00815D1A"/>
    <w:rsid w:val="00815EA2"/>
    <w:rsid w:val="00816352"/>
    <w:rsid w:val="00816DAD"/>
    <w:rsid w:val="0081758C"/>
    <w:rsid w:val="00817A05"/>
    <w:rsid w:val="0082001D"/>
    <w:rsid w:val="0082076E"/>
    <w:rsid w:val="0082097D"/>
    <w:rsid w:val="00820B1D"/>
    <w:rsid w:val="00820F3E"/>
    <w:rsid w:val="00821050"/>
    <w:rsid w:val="00821069"/>
    <w:rsid w:val="0082107A"/>
    <w:rsid w:val="008210E4"/>
    <w:rsid w:val="00821188"/>
    <w:rsid w:val="00821292"/>
    <w:rsid w:val="0082142D"/>
    <w:rsid w:val="00821830"/>
    <w:rsid w:val="00821A61"/>
    <w:rsid w:val="00821BAD"/>
    <w:rsid w:val="008220C1"/>
    <w:rsid w:val="008222F0"/>
    <w:rsid w:val="00822477"/>
    <w:rsid w:val="00822B38"/>
    <w:rsid w:val="00822C9A"/>
    <w:rsid w:val="00822E09"/>
    <w:rsid w:val="00822E6E"/>
    <w:rsid w:val="00823145"/>
    <w:rsid w:val="008231E0"/>
    <w:rsid w:val="00823203"/>
    <w:rsid w:val="00824023"/>
    <w:rsid w:val="0082403F"/>
    <w:rsid w:val="00824417"/>
    <w:rsid w:val="00824481"/>
    <w:rsid w:val="008244DA"/>
    <w:rsid w:val="00824C16"/>
    <w:rsid w:val="00824FD8"/>
    <w:rsid w:val="008250AB"/>
    <w:rsid w:val="00825211"/>
    <w:rsid w:val="008256E1"/>
    <w:rsid w:val="0082587F"/>
    <w:rsid w:val="008259C6"/>
    <w:rsid w:val="00825DDE"/>
    <w:rsid w:val="00825FC0"/>
    <w:rsid w:val="00826147"/>
    <w:rsid w:val="008266BD"/>
    <w:rsid w:val="0082675A"/>
    <w:rsid w:val="008269DB"/>
    <w:rsid w:val="00826B4B"/>
    <w:rsid w:val="00826BCF"/>
    <w:rsid w:val="00826CB8"/>
    <w:rsid w:val="00826D84"/>
    <w:rsid w:val="008272C7"/>
    <w:rsid w:val="00827803"/>
    <w:rsid w:val="008278CF"/>
    <w:rsid w:val="00827E24"/>
    <w:rsid w:val="00827FF3"/>
    <w:rsid w:val="00830283"/>
    <w:rsid w:val="00830593"/>
    <w:rsid w:val="00830733"/>
    <w:rsid w:val="00830ACE"/>
    <w:rsid w:val="00830C59"/>
    <w:rsid w:val="00830CFD"/>
    <w:rsid w:val="00830D36"/>
    <w:rsid w:val="0083116B"/>
    <w:rsid w:val="008316B7"/>
    <w:rsid w:val="00831968"/>
    <w:rsid w:val="00831D12"/>
    <w:rsid w:val="00831DDD"/>
    <w:rsid w:val="00831E61"/>
    <w:rsid w:val="0083235A"/>
    <w:rsid w:val="00832631"/>
    <w:rsid w:val="00832DD0"/>
    <w:rsid w:val="00832EBD"/>
    <w:rsid w:val="008330A0"/>
    <w:rsid w:val="00833299"/>
    <w:rsid w:val="00833577"/>
    <w:rsid w:val="0083397F"/>
    <w:rsid w:val="00833D0F"/>
    <w:rsid w:val="00834082"/>
    <w:rsid w:val="008340B6"/>
    <w:rsid w:val="008342BB"/>
    <w:rsid w:val="0083441F"/>
    <w:rsid w:val="00834656"/>
    <w:rsid w:val="00835403"/>
    <w:rsid w:val="0083564C"/>
    <w:rsid w:val="00835665"/>
    <w:rsid w:val="00835769"/>
    <w:rsid w:val="008359E8"/>
    <w:rsid w:val="00835AB4"/>
    <w:rsid w:val="00835E27"/>
    <w:rsid w:val="00835F15"/>
    <w:rsid w:val="0083608A"/>
    <w:rsid w:val="008365CD"/>
    <w:rsid w:val="00836B4F"/>
    <w:rsid w:val="00836C81"/>
    <w:rsid w:val="00836F51"/>
    <w:rsid w:val="008372B4"/>
    <w:rsid w:val="0083797F"/>
    <w:rsid w:val="00837BBD"/>
    <w:rsid w:val="00837CBC"/>
    <w:rsid w:val="00837EB7"/>
    <w:rsid w:val="0084001D"/>
    <w:rsid w:val="008400F8"/>
    <w:rsid w:val="00840177"/>
    <w:rsid w:val="008401F7"/>
    <w:rsid w:val="008402FE"/>
    <w:rsid w:val="008406E3"/>
    <w:rsid w:val="0084098C"/>
    <w:rsid w:val="00840DE6"/>
    <w:rsid w:val="0084109C"/>
    <w:rsid w:val="0084140E"/>
    <w:rsid w:val="00841772"/>
    <w:rsid w:val="008417A6"/>
    <w:rsid w:val="00841C2B"/>
    <w:rsid w:val="008420B9"/>
    <w:rsid w:val="00842117"/>
    <w:rsid w:val="008424D8"/>
    <w:rsid w:val="00842565"/>
    <w:rsid w:val="008427C2"/>
    <w:rsid w:val="008428ED"/>
    <w:rsid w:val="00842A31"/>
    <w:rsid w:val="00842AEC"/>
    <w:rsid w:val="00842AF6"/>
    <w:rsid w:val="00842B2A"/>
    <w:rsid w:val="008431EC"/>
    <w:rsid w:val="00843223"/>
    <w:rsid w:val="008436E6"/>
    <w:rsid w:val="008437E2"/>
    <w:rsid w:val="008437EE"/>
    <w:rsid w:val="00843878"/>
    <w:rsid w:val="008440F9"/>
    <w:rsid w:val="0084485D"/>
    <w:rsid w:val="008449E8"/>
    <w:rsid w:val="00844AE4"/>
    <w:rsid w:val="00844E1D"/>
    <w:rsid w:val="00844EA8"/>
    <w:rsid w:val="00845615"/>
    <w:rsid w:val="008457F7"/>
    <w:rsid w:val="00845997"/>
    <w:rsid w:val="00845ADB"/>
    <w:rsid w:val="00845BB9"/>
    <w:rsid w:val="008461E9"/>
    <w:rsid w:val="00846223"/>
    <w:rsid w:val="00846486"/>
    <w:rsid w:val="00846614"/>
    <w:rsid w:val="00846C41"/>
    <w:rsid w:val="00846FDB"/>
    <w:rsid w:val="00847297"/>
    <w:rsid w:val="0084752E"/>
    <w:rsid w:val="00847694"/>
    <w:rsid w:val="00847871"/>
    <w:rsid w:val="00847F54"/>
    <w:rsid w:val="00847FAB"/>
    <w:rsid w:val="0085003F"/>
    <w:rsid w:val="00850107"/>
    <w:rsid w:val="00850526"/>
    <w:rsid w:val="0085057E"/>
    <w:rsid w:val="00850C07"/>
    <w:rsid w:val="008518B5"/>
    <w:rsid w:val="00851A41"/>
    <w:rsid w:val="00851C13"/>
    <w:rsid w:val="00851C3B"/>
    <w:rsid w:val="00851CDE"/>
    <w:rsid w:val="00851ED5"/>
    <w:rsid w:val="00851F68"/>
    <w:rsid w:val="0085223C"/>
    <w:rsid w:val="00852E9C"/>
    <w:rsid w:val="00853425"/>
    <w:rsid w:val="008535C4"/>
    <w:rsid w:val="008536FF"/>
    <w:rsid w:val="00853886"/>
    <w:rsid w:val="00853A5D"/>
    <w:rsid w:val="00853ED6"/>
    <w:rsid w:val="0085417B"/>
    <w:rsid w:val="008546D1"/>
    <w:rsid w:val="00854AD1"/>
    <w:rsid w:val="00854B8A"/>
    <w:rsid w:val="00854DEA"/>
    <w:rsid w:val="008554AE"/>
    <w:rsid w:val="00855705"/>
    <w:rsid w:val="0085585B"/>
    <w:rsid w:val="00855994"/>
    <w:rsid w:val="00855B66"/>
    <w:rsid w:val="00855D4E"/>
    <w:rsid w:val="008568C6"/>
    <w:rsid w:val="008571A6"/>
    <w:rsid w:val="008573F6"/>
    <w:rsid w:val="00857558"/>
    <w:rsid w:val="0085756B"/>
    <w:rsid w:val="008578D4"/>
    <w:rsid w:val="00857975"/>
    <w:rsid w:val="0086027C"/>
    <w:rsid w:val="00860D6B"/>
    <w:rsid w:val="00861028"/>
    <w:rsid w:val="00861145"/>
    <w:rsid w:val="00861230"/>
    <w:rsid w:val="0086128F"/>
    <w:rsid w:val="00861717"/>
    <w:rsid w:val="00861762"/>
    <w:rsid w:val="008619D7"/>
    <w:rsid w:val="00861CB9"/>
    <w:rsid w:val="00861CF7"/>
    <w:rsid w:val="00861EA6"/>
    <w:rsid w:val="00861F83"/>
    <w:rsid w:val="00861FEA"/>
    <w:rsid w:val="008620B2"/>
    <w:rsid w:val="0086231B"/>
    <w:rsid w:val="008624CF"/>
    <w:rsid w:val="00862698"/>
    <w:rsid w:val="00862C72"/>
    <w:rsid w:val="00862CCF"/>
    <w:rsid w:val="00862CEF"/>
    <w:rsid w:val="00862D92"/>
    <w:rsid w:val="00862DD8"/>
    <w:rsid w:val="00863022"/>
    <w:rsid w:val="00863227"/>
    <w:rsid w:val="0086327F"/>
    <w:rsid w:val="008632CD"/>
    <w:rsid w:val="00863705"/>
    <w:rsid w:val="00863909"/>
    <w:rsid w:val="00863D5B"/>
    <w:rsid w:val="00863EA9"/>
    <w:rsid w:val="00865087"/>
    <w:rsid w:val="00865327"/>
    <w:rsid w:val="0086553B"/>
    <w:rsid w:val="00865A61"/>
    <w:rsid w:val="00865C09"/>
    <w:rsid w:val="008662CB"/>
    <w:rsid w:val="00866982"/>
    <w:rsid w:val="008669F6"/>
    <w:rsid w:val="00866A32"/>
    <w:rsid w:val="00866DAC"/>
    <w:rsid w:val="00866F51"/>
    <w:rsid w:val="00866FE7"/>
    <w:rsid w:val="008674C7"/>
    <w:rsid w:val="008674FF"/>
    <w:rsid w:val="008677A9"/>
    <w:rsid w:val="00867B05"/>
    <w:rsid w:val="00870007"/>
    <w:rsid w:val="0087005D"/>
    <w:rsid w:val="008701A0"/>
    <w:rsid w:val="00870560"/>
    <w:rsid w:val="00870958"/>
    <w:rsid w:val="00870A4C"/>
    <w:rsid w:val="008715EB"/>
    <w:rsid w:val="008716BA"/>
    <w:rsid w:val="008716D9"/>
    <w:rsid w:val="00871E4F"/>
    <w:rsid w:val="00871FB1"/>
    <w:rsid w:val="00872044"/>
    <w:rsid w:val="0087204A"/>
    <w:rsid w:val="00872141"/>
    <w:rsid w:val="00872991"/>
    <w:rsid w:val="008729E0"/>
    <w:rsid w:val="00873044"/>
    <w:rsid w:val="008731F9"/>
    <w:rsid w:val="00873605"/>
    <w:rsid w:val="008739F7"/>
    <w:rsid w:val="00873A3C"/>
    <w:rsid w:val="0087461F"/>
    <w:rsid w:val="00874D49"/>
    <w:rsid w:val="0087505D"/>
    <w:rsid w:val="008752DF"/>
    <w:rsid w:val="00875719"/>
    <w:rsid w:val="008758CC"/>
    <w:rsid w:val="00875B65"/>
    <w:rsid w:val="008762BD"/>
    <w:rsid w:val="008763B1"/>
    <w:rsid w:val="008767A5"/>
    <w:rsid w:val="008769C6"/>
    <w:rsid w:val="00877109"/>
    <w:rsid w:val="0087750A"/>
    <w:rsid w:val="00877CD4"/>
    <w:rsid w:val="00877D9A"/>
    <w:rsid w:val="00880351"/>
    <w:rsid w:val="008805FC"/>
    <w:rsid w:val="00880A08"/>
    <w:rsid w:val="00880BC2"/>
    <w:rsid w:val="00880D24"/>
    <w:rsid w:val="00880EB9"/>
    <w:rsid w:val="00881551"/>
    <w:rsid w:val="008817FB"/>
    <w:rsid w:val="00881A4C"/>
    <w:rsid w:val="00882721"/>
    <w:rsid w:val="00882BE3"/>
    <w:rsid w:val="0088362D"/>
    <w:rsid w:val="0088387A"/>
    <w:rsid w:val="00883AE3"/>
    <w:rsid w:val="00883CC9"/>
    <w:rsid w:val="00883CD4"/>
    <w:rsid w:val="00884143"/>
    <w:rsid w:val="00884302"/>
    <w:rsid w:val="0088491A"/>
    <w:rsid w:val="00884F70"/>
    <w:rsid w:val="008850DF"/>
    <w:rsid w:val="0088566B"/>
    <w:rsid w:val="00885725"/>
    <w:rsid w:val="00885928"/>
    <w:rsid w:val="00885DBE"/>
    <w:rsid w:val="00885EB3"/>
    <w:rsid w:val="00885F9C"/>
    <w:rsid w:val="008860EC"/>
    <w:rsid w:val="008861CC"/>
    <w:rsid w:val="00886275"/>
    <w:rsid w:val="008867B4"/>
    <w:rsid w:val="00886C2F"/>
    <w:rsid w:val="008870EF"/>
    <w:rsid w:val="008871FD"/>
    <w:rsid w:val="008873F3"/>
    <w:rsid w:val="008877CB"/>
    <w:rsid w:val="00887853"/>
    <w:rsid w:val="008878B9"/>
    <w:rsid w:val="00887C3C"/>
    <w:rsid w:val="00887D90"/>
    <w:rsid w:val="0089057A"/>
    <w:rsid w:val="00890909"/>
    <w:rsid w:val="00890EE8"/>
    <w:rsid w:val="008919CD"/>
    <w:rsid w:val="00891CB8"/>
    <w:rsid w:val="00892C61"/>
    <w:rsid w:val="00892E61"/>
    <w:rsid w:val="00893292"/>
    <w:rsid w:val="008935AB"/>
    <w:rsid w:val="00893614"/>
    <w:rsid w:val="00893DA4"/>
    <w:rsid w:val="00893FAA"/>
    <w:rsid w:val="00894433"/>
    <w:rsid w:val="008945BB"/>
    <w:rsid w:val="008947B4"/>
    <w:rsid w:val="00895108"/>
    <w:rsid w:val="0089517D"/>
    <w:rsid w:val="008955E1"/>
    <w:rsid w:val="00895709"/>
    <w:rsid w:val="008957C3"/>
    <w:rsid w:val="00895837"/>
    <w:rsid w:val="008959ED"/>
    <w:rsid w:val="00895AFA"/>
    <w:rsid w:val="00895B6D"/>
    <w:rsid w:val="00895C3B"/>
    <w:rsid w:val="00895EC1"/>
    <w:rsid w:val="00896953"/>
    <w:rsid w:val="00896C01"/>
    <w:rsid w:val="00896E42"/>
    <w:rsid w:val="0089766A"/>
    <w:rsid w:val="008978E7"/>
    <w:rsid w:val="00897AE9"/>
    <w:rsid w:val="008A01A2"/>
    <w:rsid w:val="008A02C4"/>
    <w:rsid w:val="008A0351"/>
    <w:rsid w:val="008A07D6"/>
    <w:rsid w:val="008A0D4B"/>
    <w:rsid w:val="008A0DAF"/>
    <w:rsid w:val="008A0F2A"/>
    <w:rsid w:val="008A1311"/>
    <w:rsid w:val="008A134C"/>
    <w:rsid w:val="008A14EB"/>
    <w:rsid w:val="008A15D4"/>
    <w:rsid w:val="008A15FF"/>
    <w:rsid w:val="008A177A"/>
    <w:rsid w:val="008A1C75"/>
    <w:rsid w:val="008A1D13"/>
    <w:rsid w:val="008A1EF4"/>
    <w:rsid w:val="008A2409"/>
    <w:rsid w:val="008A2674"/>
    <w:rsid w:val="008A26AA"/>
    <w:rsid w:val="008A2F4C"/>
    <w:rsid w:val="008A2FF9"/>
    <w:rsid w:val="008A3AE4"/>
    <w:rsid w:val="008A3DC4"/>
    <w:rsid w:val="008A483E"/>
    <w:rsid w:val="008A4BF7"/>
    <w:rsid w:val="008A5146"/>
    <w:rsid w:val="008A51CD"/>
    <w:rsid w:val="008A5216"/>
    <w:rsid w:val="008A522C"/>
    <w:rsid w:val="008A5439"/>
    <w:rsid w:val="008A552B"/>
    <w:rsid w:val="008A5623"/>
    <w:rsid w:val="008A5642"/>
    <w:rsid w:val="008A5A4C"/>
    <w:rsid w:val="008A5A90"/>
    <w:rsid w:val="008A5BAE"/>
    <w:rsid w:val="008A5C1C"/>
    <w:rsid w:val="008A5F6E"/>
    <w:rsid w:val="008A6013"/>
    <w:rsid w:val="008A6488"/>
    <w:rsid w:val="008A65DF"/>
    <w:rsid w:val="008A6702"/>
    <w:rsid w:val="008A690C"/>
    <w:rsid w:val="008A6973"/>
    <w:rsid w:val="008A6B27"/>
    <w:rsid w:val="008A701E"/>
    <w:rsid w:val="008A7245"/>
    <w:rsid w:val="008A74F6"/>
    <w:rsid w:val="008A751D"/>
    <w:rsid w:val="008A7548"/>
    <w:rsid w:val="008A77FB"/>
    <w:rsid w:val="008A79F6"/>
    <w:rsid w:val="008A7A85"/>
    <w:rsid w:val="008A7EAC"/>
    <w:rsid w:val="008A7F7B"/>
    <w:rsid w:val="008B00B7"/>
    <w:rsid w:val="008B02D9"/>
    <w:rsid w:val="008B04D0"/>
    <w:rsid w:val="008B0D78"/>
    <w:rsid w:val="008B0E14"/>
    <w:rsid w:val="008B10B3"/>
    <w:rsid w:val="008B1196"/>
    <w:rsid w:val="008B1228"/>
    <w:rsid w:val="008B1435"/>
    <w:rsid w:val="008B17B0"/>
    <w:rsid w:val="008B182D"/>
    <w:rsid w:val="008B1991"/>
    <w:rsid w:val="008B1A10"/>
    <w:rsid w:val="008B1AFE"/>
    <w:rsid w:val="008B1F2F"/>
    <w:rsid w:val="008B1F40"/>
    <w:rsid w:val="008B2196"/>
    <w:rsid w:val="008B281E"/>
    <w:rsid w:val="008B29CC"/>
    <w:rsid w:val="008B2CDC"/>
    <w:rsid w:val="008B2D4A"/>
    <w:rsid w:val="008B2DA8"/>
    <w:rsid w:val="008B2E8F"/>
    <w:rsid w:val="008B3002"/>
    <w:rsid w:val="008B30CB"/>
    <w:rsid w:val="008B322C"/>
    <w:rsid w:val="008B36A2"/>
    <w:rsid w:val="008B3987"/>
    <w:rsid w:val="008B39CD"/>
    <w:rsid w:val="008B3BD6"/>
    <w:rsid w:val="008B3C92"/>
    <w:rsid w:val="008B3DE4"/>
    <w:rsid w:val="008B4019"/>
    <w:rsid w:val="008B4288"/>
    <w:rsid w:val="008B450D"/>
    <w:rsid w:val="008B4DEC"/>
    <w:rsid w:val="008B5185"/>
    <w:rsid w:val="008B5223"/>
    <w:rsid w:val="008B5288"/>
    <w:rsid w:val="008B53FE"/>
    <w:rsid w:val="008B58E8"/>
    <w:rsid w:val="008B59E8"/>
    <w:rsid w:val="008B5FD9"/>
    <w:rsid w:val="008B671C"/>
    <w:rsid w:val="008B6750"/>
    <w:rsid w:val="008B6758"/>
    <w:rsid w:val="008B67E2"/>
    <w:rsid w:val="008B695D"/>
    <w:rsid w:val="008B6B31"/>
    <w:rsid w:val="008B6B81"/>
    <w:rsid w:val="008B6D00"/>
    <w:rsid w:val="008B75FC"/>
    <w:rsid w:val="008B7B22"/>
    <w:rsid w:val="008B7BBF"/>
    <w:rsid w:val="008C0587"/>
    <w:rsid w:val="008C0623"/>
    <w:rsid w:val="008C06F2"/>
    <w:rsid w:val="008C08DE"/>
    <w:rsid w:val="008C0AAC"/>
    <w:rsid w:val="008C0AFD"/>
    <w:rsid w:val="008C0B99"/>
    <w:rsid w:val="008C0C21"/>
    <w:rsid w:val="008C0DAE"/>
    <w:rsid w:val="008C0DE1"/>
    <w:rsid w:val="008C0E28"/>
    <w:rsid w:val="008C0FD3"/>
    <w:rsid w:val="008C0FE5"/>
    <w:rsid w:val="008C10D8"/>
    <w:rsid w:val="008C13C8"/>
    <w:rsid w:val="008C1497"/>
    <w:rsid w:val="008C1500"/>
    <w:rsid w:val="008C1866"/>
    <w:rsid w:val="008C1C1D"/>
    <w:rsid w:val="008C1CB4"/>
    <w:rsid w:val="008C234D"/>
    <w:rsid w:val="008C291E"/>
    <w:rsid w:val="008C2D20"/>
    <w:rsid w:val="008C2E17"/>
    <w:rsid w:val="008C32E8"/>
    <w:rsid w:val="008C3436"/>
    <w:rsid w:val="008C36F7"/>
    <w:rsid w:val="008C3840"/>
    <w:rsid w:val="008C3CEB"/>
    <w:rsid w:val="008C4098"/>
    <w:rsid w:val="008C475D"/>
    <w:rsid w:val="008C483E"/>
    <w:rsid w:val="008C4D2D"/>
    <w:rsid w:val="008C5398"/>
    <w:rsid w:val="008C539C"/>
    <w:rsid w:val="008C53AC"/>
    <w:rsid w:val="008C53AF"/>
    <w:rsid w:val="008C5472"/>
    <w:rsid w:val="008C559E"/>
    <w:rsid w:val="008C564A"/>
    <w:rsid w:val="008C5762"/>
    <w:rsid w:val="008C5885"/>
    <w:rsid w:val="008C5A0D"/>
    <w:rsid w:val="008C5BC9"/>
    <w:rsid w:val="008C5E07"/>
    <w:rsid w:val="008C5F41"/>
    <w:rsid w:val="008C5FFF"/>
    <w:rsid w:val="008C606D"/>
    <w:rsid w:val="008C6168"/>
    <w:rsid w:val="008C6169"/>
    <w:rsid w:val="008C624A"/>
    <w:rsid w:val="008C6497"/>
    <w:rsid w:val="008C64F6"/>
    <w:rsid w:val="008C6683"/>
    <w:rsid w:val="008C6716"/>
    <w:rsid w:val="008C67C2"/>
    <w:rsid w:val="008C6935"/>
    <w:rsid w:val="008C6EA4"/>
    <w:rsid w:val="008C6FF0"/>
    <w:rsid w:val="008C738B"/>
    <w:rsid w:val="008C762A"/>
    <w:rsid w:val="008C769E"/>
    <w:rsid w:val="008C7921"/>
    <w:rsid w:val="008C7A16"/>
    <w:rsid w:val="008C7B4A"/>
    <w:rsid w:val="008C7B7E"/>
    <w:rsid w:val="008C7DF7"/>
    <w:rsid w:val="008C7F1E"/>
    <w:rsid w:val="008C7F43"/>
    <w:rsid w:val="008C7F77"/>
    <w:rsid w:val="008D008A"/>
    <w:rsid w:val="008D00F5"/>
    <w:rsid w:val="008D09CE"/>
    <w:rsid w:val="008D0BCA"/>
    <w:rsid w:val="008D0CB7"/>
    <w:rsid w:val="008D0F58"/>
    <w:rsid w:val="008D12CB"/>
    <w:rsid w:val="008D1A1D"/>
    <w:rsid w:val="008D1B88"/>
    <w:rsid w:val="008D1C53"/>
    <w:rsid w:val="008D1DD8"/>
    <w:rsid w:val="008D226D"/>
    <w:rsid w:val="008D262F"/>
    <w:rsid w:val="008D2641"/>
    <w:rsid w:val="008D2A7A"/>
    <w:rsid w:val="008D2D5F"/>
    <w:rsid w:val="008D3A49"/>
    <w:rsid w:val="008D3EB4"/>
    <w:rsid w:val="008D3F5F"/>
    <w:rsid w:val="008D40C6"/>
    <w:rsid w:val="008D4161"/>
    <w:rsid w:val="008D41E7"/>
    <w:rsid w:val="008D4605"/>
    <w:rsid w:val="008D471F"/>
    <w:rsid w:val="008D4A0B"/>
    <w:rsid w:val="008D4C91"/>
    <w:rsid w:val="008D4CD8"/>
    <w:rsid w:val="008D5343"/>
    <w:rsid w:val="008D576F"/>
    <w:rsid w:val="008D5C69"/>
    <w:rsid w:val="008D5FE5"/>
    <w:rsid w:val="008D64A2"/>
    <w:rsid w:val="008D6A87"/>
    <w:rsid w:val="008D6E08"/>
    <w:rsid w:val="008D72DB"/>
    <w:rsid w:val="008D73B9"/>
    <w:rsid w:val="008D75C6"/>
    <w:rsid w:val="008D7749"/>
    <w:rsid w:val="008D7809"/>
    <w:rsid w:val="008D798B"/>
    <w:rsid w:val="008D7BB8"/>
    <w:rsid w:val="008D7E4F"/>
    <w:rsid w:val="008D7F08"/>
    <w:rsid w:val="008E0179"/>
    <w:rsid w:val="008E0203"/>
    <w:rsid w:val="008E0497"/>
    <w:rsid w:val="008E04DC"/>
    <w:rsid w:val="008E0D94"/>
    <w:rsid w:val="008E0F58"/>
    <w:rsid w:val="008E19B0"/>
    <w:rsid w:val="008E1A4F"/>
    <w:rsid w:val="008E1AEC"/>
    <w:rsid w:val="008E1DF9"/>
    <w:rsid w:val="008E1E61"/>
    <w:rsid w:val="008E1F8A"/>
    <w:rsid w:val="008E2429"/>
    <w:rsid w:val="008E27B8"/>
    <w:rsid w:val="008E27D3"/>
    <w:rsid w:val="008E28D9"/>
    <w:rsid w:val="008E2A72"/>
    <w:rsid w:val="008E2C3C"/>
    <w:rsid w:val="008E2C51"/>
    <w:rsid w:val="008E2D56"/>
    <w:rsid w:val="008E2DF6"/>
    <w:rsid w:val="008E3520"/>
    <w:rsid w:val="008E359B"/>
    <w:rsid w:val="008E37AF"/>
    <w:rsid w:val="008E38E6"/>
    <w:rsid w:val="008E3A47"/>
    <w:rsid w:val="008E40F4"/>
    <w:rsid w:val="008E42BB"/>
    <w:rsid w:val="008E4E25"/>
    <w:rsid w:val="008E4EF6"/>
    <w:rsid w:val="008E592F"/>
    <w:rsid w:val="008E5977"/>
    <w:rsid w:val="008E5CEA"/>
    <w:rsid w:val="008E5CF7"/>
    <w:rsid w:val="008E60DB"/>
    <w:rsid w:val="008E60E6"/>
    <w:rsid w:val="008E616D"/>
    <w:rsid w:val="008E631D"/>
    <w:rsid w:val="008E6522"/>
    <w:rsid w:val="008E65F8"/>
    <w:rsid w:val="008E663D"/>
    <w:rsid w:val="008E67A3"/>
    <w:rsid w:val="008E6F23"/>
    <w:rsid w:val="008E7026"/>
    <w:rsid w:val="008E753F"/>
    <w:rsid w:val="008E77A9"/>
    <w:rsid w:val="008F00E6"/>
    <w:rsid w:val="008F0696"/>
    <w:rsid w:val="008F071E"/>
    <w:rsid w:val="008F0B9D"/>
    <w:rsid w:val="008F0D1A"/>
    <w:rsid w:val="008F0D4D"/>
    <w:rsid w:val="008F0E77"/>
    <w:rsid w:val="008F1001"/>
    <w:rsid w:val="008F14F7"/>
    <w:rsid w:val="008F151F"/>
    <w:rsid w:val="008F157C"/>
    <w:rsid w:val="008F15A8"/>
    <w:rsid w:val="008F1BA1"/>
    <w:rsid w:val="008F1F33"/>
    <w:rsid w:val="008F205D"/>
    <w:rsid w:val="008F2254"/>
    <w:rsid w:val="008F22C3"/>
    <w:rsid w:val="008F24BA"/>
    <w:rsid w:val="008F26D1"/>
    <w:rsid w:val="008F27DF"/>
    <w:rsid w:val="008F2A4C"/>
    <w:rsid w:val="008F2BB8"/>
    <w:rsid w:val="008F2BEB"/>
    <w:rsid w:val="008F2C72"/>
    <w:rsid w:val="008F2D2A"/>
    <w:rsid w:val="008F2DF3"/>
    <w:rsid w:val="008F2DFD"/>
    <w:rsid w:val="008F2F42"/>
    <w:rsid w:val="008F3168"/>
    <w:rsid w:val="008F322F"/>
    <w:rsid w:val="008F3A89"/>
    <w:rsid w:val="008F3B2C"/>
    <w:rsid w:val="008F4B28"/>
    <w:rsid w:val="008F4D8C"/>
    <w:rsid w:val="008F4F6A"/>
    <w:rsid w:val="008F5205"/>
    <w:rsid w:val="008F5625"/>
    <w:rsid w:val="008F57EE"/>
    <w:rsid w:val="008F58B4"/>
    <w:rsid w:val="008F5AE8"/>
    <w:rsid w:val="008F5F19"/>
    <w:rsid w:val="008F6152"/>
    <w:rsid w:val="008F6326"/>
    <w:rsid w:val="008F6339"/>
    <w:rsid w:val="008F66BC"/>
    <w:rsid w:val="008F6836"/>
    <w:rsid w:val="008F69D4"/>
    <w:rsid w:val="008F6AB2"/>
    <w:rsid w:val="008F6F53"/>
    <w:rsid w:val="008F6F8E"/>
    <w:rsid w:val="008F73AB"/>
    <w:rsid w:val="008F7531"/>
    <w:rsid w:val="008F7578"/>
    <w:rsid w:val="008F7814"/>
    <w:rsid w:val="008F78DE"/>
    <w:rsid w:val="008F7954"/>
    <w:rsid w:val="008F7A25"/>
    <w:rsid w:val="008F7AFD"/>
    <w:rsid w:val="008F7DF7"/>
    <w:rsid w:val="008F7E47"/>
    <w:rsid w:val="008F7EEE"/>
    <w:rsid w:val="008F7F0F"/>
    <w:rsid w:val="008F7FE5"/>
    <w:rsid w:val="009003E8"/>
    <w:rsid w:val="0090041A"/>
    <w:rsid w:val="00900433"/>
    <w:rsid w:val="0090043F"/>
    <w:rsid w:val="00900493"/>
    <w:rsid w:val="00900546"/>
    <w:rsid w:val="00900923"/>
    <w:rsid w:val="009009B2"/>
    <w:rsid w:val="00900A99"/>
    <w:rsid w:val="00900C9F"/>
    <w:rsid w:val="00900D1D"/>
    <w:rsid w:val="0090105D"/>
    <w:rsid w:val="009014A9"/>
    <w:rsid w:val="00901519"/>
    <w:rsid w:val="00901638"/>
    <w:rsid w:val="0090163E"/>
    <w:rsid w:val="00901667"/>
    <w:rsid w:val="00901B0B"/>
    <w:rsid w:val="00901E98"/>
    <w:rsid w:val="009021CD"/>
    <w:rsid w:val="009024BA"/>
    <w:rsid w:val="0090279A"/>
    <w:rsid w:val="0090281B"/>
    <w:rsid w:val="0090288C"/>
    <w:rsid w:val="00902B36"/>
    <w:rsid w:val="00902EC9"/>
    <w:rsid w:val="00902F4A"/>
    <w:rsid w:val="00903173"/>
    <w:rsid w:val="0090324D"/>
    <w:rsid w:val="0090371D"/>
    <w:rsid w:val="0090379B"/>
    <w:rsid w:val="009037FD"/>
    <w:rsid w:val="0090398F"/>
    <w:rsid w:val="00903E08"/>
    <w:rsid w:val="00903F50"/>
    <w:rsid w:val="00904263"/>
    <w:rsid w:val="009042C1"/>
    <w:rsid w:val="009043CB"/>
    <w:rsid w:val="009043F5"/>
    <w:rsid w:val="00904578"/>
    <w:rsid w:val="009046BF"/>
    <w:rsid w:val="0090485B"/>
    <w:rsid w:val="00904ADC"/>
    <w:rsid w:val="00904BD1"/>
    <w:rsid w:val="00904C9D"/>
    <w:rsid w:val="00904D94"/>
    <w:rsid w:val="00904E76"/>
    <w:rsid w:val="00904FCA"/>
    <w:rsid w:val="00905186"/>
    <w:rsid w:val="0090529C"/>
    <w:rsid w:val="00905498"/>
    <w:rsid w:val="0090558E"/>
    <w:rsid w:val="009055AD"/>
    <w:rsid w:val="00905733"/>
    <w:rsid w:val="00905791"/>
    <w:rsid w:val="00905814"/>
    <w:rsid w:val="009058AE"/>
    <w:rsid w:val="0090591F"/>
    <w:rsid w:val="00905F16"/>
    <w:rsid w:val="00905F91"/>
    <w:rsid w:val="009062A3"/>
    <w:rsid w:val="00906453"/>
    <w:rsid w:val="0090685A"/>
    <w:rsid w:val="00906860"/>
    <w:rsid w:val="00906BD9"/>
    <w:rsid w:val="00906D2E"/>
    <w:rsid w:val="00906D34"/>
    <w:rsid w:val="00906EFD"/>
    <w:rsid w:val="0090716F"/>
    <w:rsid w:val="00907502"/>
    <w:rsid w:val="009077CB"/>
    <w:rsid w:val="00907AD3"/>
    <w:rsid w:val="00907F65"/>
    <w:rsid w:val="009108A5"/>
    <w:rsid w:val="0091093C"/>
    <w:rsid w:val="00910AC9"/>
    <w:rsid w:val="00910C1E"/>
    <w:rsid w:val="00910C94"/>
    <w:rsid w:val="00910EB3"/>
    <w:rsid w:val="00911173"/>
    <w:rsid w:val="009111CE"/>
    <w:rsid w:val="00911225"/>
    <w:rsid w:val="0091154F"/>
    <w:rsid w:val="009115CE"/>
    <w:rsid w:val="00911986"/>
    <w:rsid w:val="00911AF6"/>
    <w:rsid w:val="00911E44"/>
    <w:rsid w:val="00911F1A"/>
    <w:rsid w:val="009120BF"/>
    <w:rsid w:val="009126F0"/>
    <w:rsid w:val="009128E0"/>
    <w:rsid w:val="00912BB0"/>
    <w:rsid w:val="00912C8C"/>
    <w:rsid w:val="00912CC9"/>
    <w:rsid w:val="00912F69"/>
    <w:rsid w:val="009134D1"/>
    <w:rsid w:val="0091355F"/>
    <w:rsid w:val="009138E0"/>
    <w:rsid w:val="00913D39"/>
    <w:rsid w:val="00913D63"/>
    <w:rsid w:val="00913DE8"/>
    <w:rsid w:val="00913EDD"/>
    <w:rsid w:val="00913F0A"/>
    <w:rsid w:val="009140B8"/>
    <w:rsid w:val="0091420A"/>
    <w:rsid w:val="00914295"/>
    <w:rsid w:val="00914552"/>
    <w:rsid w:val="00914EE9"/>
    <w:rsid w:val="00914FB9"/>
    <w:rsid w:val="0091554A"/>
    <w:rsid w:val="009158B8"/>
    <w:rsid w:val="00915C6F"/>
    <w:rsid w:val="009162EB"/>
    <w:rsid w:val="009166E6"/>
    <w:rsid w:val="00916A82"/>
    <w:rsid w:val="00916B91"/>
    <w:rsid w:val="00917675"/>
    <w:rsid w:val="009176B4"/>
    <w:rsid w:val="009178AA"/>
    <w:rsid w:val="00917A59"/>
    <w:rsid w:val="00917C3F"/>
    <w:rsid w:val="00917F9A"/>
    <w:rsid w:val="009208D1"/>
    <w:rsid w:val="00920A25"/>
    <w:rsid w:val="00920DBF"/>
    <w:rsid w:val="00920E05"/>
    <w:rsid w:val="0092115A"/>
    <w:rsid w:val="009214AB"/>
    <w:rsid w:val="009216A6"/>
    <w:rsid w:val="00921727"/>
    <w:rsid w:val="00921CDD"/>
    <w:rsid w:val="0092253A"/>
    <w:rsid w:val="0092286D"/>
    <w:rsid w:val="009228A2"/>
    <w:rsid w:val="00922A10"/>
    <w:rsid w:val="00922DBF"/>
    <w:rsid w:val="009230CA"/>
    <w:rsid w:val="00923144"/>
    <w:rsid w:val="00923256"/>
    <w:rsid w:val="009232BA"/>
    <w:rsid w:val="00923489"/>
    <w:rsid w:val="0092351F"/>
    <w:rsid w:val="0092367E"/>
    <w:rsid w:val="009241B6"/>
    <w:rsid w:val="0092468E"/>
    <w:rsid w:val="009248D5"/>
    <w:rsid w:val="00924A84"/>
    <w:rsid w:val="00924E85"/>
    <w:rsid w:val="00924FF1"/>
    <w:rsid w:val="009251E4"/>
    <w:rsid w:val="009252FA"/>
    <w:rsid w:val="00925683"/>
    <w:rsid w:val="00925A73"/>
    <w:rsid w:val="00925AD6"/>
    <w:rsid w:val="00925F04"/>
    <w:rsid w:val="009263B4"/>
    <w:rsid w:val="00926407"/>
    <w:rsid w:val="0092640F"/>
    <w:rsid w:val="009265E2"/>
    <w:rsid w:val="00926A8C"/>
    <w:rsid w:val="009271D3"/>
    <w:rsid w:val="009276B0"/>
    <w:rsid w:val="009279A6"/>
    <w:rsid w:val="00927BBE"/>
    <w:rsid w:val="00927D21"/>
    <w:rsid w:val="00930002"/>
    <w:rsid w:val="009300E6"/>
    <w:rsid w:val="009302D1"/>
    <w:rsid w:val="009307AB"/>
    <w:rsid w:val="00930A93"/>
    <w:rsid w:val="00930C4F"/>
    <w:rsid w:val="00930C6B"/>
    <w:rsid w:val="00931281"/>
    <w:rsid w:val="0093136F"/>
    <w:rsid w:val="00931463"/>
    <w:rsid w:val="00931977"/>
    <w:rsid w:val="00931AD6"/>
    <w:rsid w:val="00931D7B"/>
    <w:rsid w:val="00931E70"/>
    <w:rsid w:val="00932005"/>
    <w:rsid w:val="0093209D"/>
    <w:rsid w:val="0093221E"/>
    <w:rsid w:val="009324EF"/>
    <w:rsid w:val="009326F7"/>
    <w:rsid w:val="00932967"/>
    <w:rsid w:val="00932C5B"/>
    <w:rsid w:val="009330FC"/>
    <w:rsid w:val="009333E4"/>
    <w:rsid w:val="009335B9"/>
    <w:rsid w:val="00933844"/>
    <w:rsid w:val="00933AC1"/>
    <w:rsid w:val="009341C3"/>
    <w:rsid w:val="00934673"/>
    <w:rsid w:val="00934852"/>
    <w:rsid w:val="009350AD"/>
    <w:rsid w:val="009352E1"/>
    <w:rsid w:val="00935662"/>
    <w:rsid w:val="009356CF"/>
    <w:rsid w:val="0093590D"/>
    <w:rsid w:val="00935A3E"/>
    <w:rsid w:val="00935E8C"/>
    <w:rsid w:val="00936177"/>
    <w:rsid w:val="00936269"/>
    <w:rsid w:val="00936412"/>
    <w:rsid w:val="0093674D"/>
    <w:rsid w:val="00936886"/>
    <w:rsid w:val="00936C15"/>
    <w:rsid w:val="00936E4D"/>
    <w:rsid w:val="00936E8C"/>
    <w:rsid w:val="00936ED2"/>
    <w:rsid w:val="009370AF"/>
    <w:rsid w:val="009375DC"/>
    <w:rsid w:val="00937674"/>
    <w:rsid w:val="00937852"/>
    <w:rsid w:val="00937ADC"/>
    <w:rsid w:val="00937B33"/>
    <w:rsid w:val="00937BD4"/>
    <w:rsid w:val="00937C2D"/>
    <w:rsid w:val="00940942"/>
    <w:rsid w:val="00940C8A"/>
    <w:rsid w:val="00940C8B"/>
    <w:rsid w:val="00941546"/>
    <w:rsid w:val="00942136"/>
    <w:rsid w:val="00942318"/>
    <w:rsid w:val="009425D3"/>
    <w:rsid w:val="009427AC"/>
    <w:rsid w:val="009427C1"/>
    <w:rsid w:val="00942A3F"/>
    <w:rsid w:val="00942E9B"/>
    <w:rsid w:val="00943290"/>
    <w:rsid w:val="0094338B"/>
    <w:rsid w:val="0094372C"/>
    <w:rsid w:val="00943A5D"/>
    <w:rsid w:val="00943A6B"/>
    <w:rsid w:val="009442A5"/>
    <w:rsid w:val="00944436"/>
    <w:rsid w:val="0094448A"/>
    <w:rsid w:val="009444DE"/>
    <w:rsid w:val="00944605"/>
    <w:rsid w:val="009447B8"/>
    <w:rsid w:val="00944C6C"/>
    <w:rsid w:val="0094547D"/>
    <w:rsid w:val="009455A1"/>
    <w:rsid w:val="00945B64"/>
    <w:rsid w:val="00945F56"/>
    <w:rsid w:val="009463D2"/>
    <w:rsid w:val="0094645F"/>
    <w:rsid w:val="009464CD"/>
    <w:rsid w:val="00946652"/>
    <w:rsid w:val="009467B7"/>
    <w:rsid w:val="00946E23"/>
    <w:rsid w:val="00947237"/>
    <w:rsid w:val="009474D7"/>
    <w:rsid w:val="009477AC"/>
    <w:rsid w:val="00947974"/>
    <w:rsid w:val="00950419"/>
    <w:rsid w:val="0095054C"/>
    <w:rsid w:val="0095062C"/>
    <w:rsid w:val="00950724"/>
    <w:rsid w:val="0095098C"/>
    <w:rsid w:val="00950AB7"/>
    <w:rsid w:val="009516F7"/>
    <w:rsid w:val="009517BA"/>
    <w:rsid w:val="00952048"/>
    <w:rsid w:val="00952262"/>
    <w:rsid w:val="009522B1"/>
    <w:rsid w:val="00952353"/>
    <w:rsid w:val="0095247A"/>
    <w:rsid w:val="009529CF"/>
    <w:rsid w:val="00952A9A"/>
    <w:rsid w:val="00952CAB"/>
    <w:rsid w:val="00952D8B"/>
    <w:rsid w:val="00952F70"/>
    <w:rsid w:val="00953175"/>
    <w:rsid w:val="009532A5"/>
    <w:rsid w:val="00953623"/>
    <w:rsid w:val="00953656"/>
    <w:rsid w:val="00953924"/>
    <w:rsid w:val="00953A89"/>
    <w:rsid w:val="00953B6C"/>
    <w:rsid w:val="00953EFE"/>
    <w:rsid w:val="00954130"/>
    <w:rsid w:val="00954221"/>
    <w:rsid w:val="0095436C"/>
    <w:rsid w:val="009546CE"/>
    <w:rsid w:val="0095473B"/>
    <w:rsid w:val="0095483F"/>
    <w:rsid w:val="00954AFE"/>
    <w:rsid w:val="00955536"/>
    <w:rsid w:val="00955646"/>
    <w:rsid w:val="009559F2"/>
    <w:rsid w:val="00955E72"/>
    <w:rsid w:val="00955F67"/>
    <w:rsid w:val="00955FB7"/>
    <w:rsid w:val="009560C5"/>
    <w:rsid w:val="0095630E"/>
    <w:rsid w:val="0095636F"/>
    <w:rsid w:val="00956BAF"/>
    <w:rsid w:val="00956DB0"/>
    <w:rsid w:val="00957686"/>
    <w:rsid w:val="009578C7"/>
    <w:rsid w:val="009578FC"/>
    <w:rsid w:val="00957B45"/>
    <w:rsid w:val="0096018A"/>
    <w:rsid w:val="0096045F"/>
    <w:rsid w:val="00960519"/>
    <w:rsid w:val="00960F2B"/>
    <w:rsid w:val="0096108D"/>
    <w:rsid w:val="0096162B"/>
    <w:rsid w:val="00961720"/>
    <w:rsid w:val="0096190F"/>
    <w:rsid w:val="00961F8A"/>
    <w:rsid w:val="009629CB"/>
    <w:rsid w:val="00962BA4"/>
    <w:rsid w:val="00962DA4"/>
    <w:rsid w:val="00962EFE"/>
    <w:rsid w:val="009632CD"/>
    <w:rsid w:val="0096355D"/>
    <w:rsid w:val="00963641"/>
    <w:rsid w:val="009639ED"/>
    <w:rsid w:val="00963B86"/>
    <w:rsid w:val="00963FC3"/>
    <w:rsid w:val="00964085"/>
    <w:rsid w:val="009641A3"/>
    <w:rsid w:val="00964755"/>
    <w:rsid w:val="00964818"/>
    <w:rsid w:val="00964962"/>
    <w:rsid w:val="00964A62"/>
    <w:rsid w:val="00964D5C"/>
    <w:rsid w:val="00964DEF"/>
    <w:rsid w:val="0096512E"/>
    <w:rsid w:val="00965230"/>
    <w:rsid w:val="0096523C"/>
    <w:rsid w:val="00965439"/>
    <w:rsid w:val="009657CE"/>
    <w:rsid w:val="0096580C"/>
    <w:rsid w:val="00966207"/>
    <w:rsid w:val="0096676D"/>
    <w:rsid w:val="00966910"/>
    <w:rsid w:val="009669F9"/>
    <w:rsid w:val="00966C1C"/>
    <w:rsid w:val="00966D6F"/>
    <w:rsid w:val="00966EEF"/>
    <w:rsid w:val="00966F59"/>
    <w:rsid w:val="00966F8F"/>
    <w:rsid w:val="00967009"/>
    <w:rsid w:val="00967355"/>
    <w:rsid w:val="009674BF"/>
    <w:rsid w:val="009674C3"/>
    <w:rsid w:val="0096776E"/>
    <w:rsid w:val="0096777B"/>
    <w:rsid w:val="0096782F"/>
    <w:rsid w:val="00967926"/>
    <w:rsid w:val="00967DFD"/>
    <w:rsid w:val="009700F7"/>
    <w:rsid w:val="0097022B"/>
    <w:rsid w:val="009705E4"/>
    <w:rsid w:val="009706A6"/>
    <w:rsid w:val="0097080E"/>
    <w:rsid w:val="00970B4D"/>
    <w:rsid w:val="00970C75"/>
    <w:rsid w:val="00970F2F"/>
    <w:rsid w:val="00970FF9"/>
    <w:rsid w:val="00971125"/>
    <w:rsid w:val="00971149"/>
    <w:rsid w:val="0097120B"/>
    <w:rsid w:val="00971346"/>
    <w:rsid w:val="0097150F"/>
    <w:rsid w:val="0097168B"/>
    <w:rsid w:val="00971937"/>
    <w:rsid w:val="00971A58"/>
    <w:rsid w:val="00971C92"/>
    <w:rsid w:val="00971EB0"/>
    <w:rsid w:val="00971F77"/>
    <w:rsid w:val="0097223A"/>
    <w:rsid w:val="009724B2"/>
    <w:rsid w:val="00972641"/>
    <w:rsid w:val="00972911"/>
    <w:rsid w:val="00972CA6"/>
    <w:rsid w:val="00972DFB"/>
    <w:rsid w:val="00972E9E"/>
    <w:rsid w:val="00972FF0"/>
    <w:rsid w:val="0097301F"/>
    <w:rsid w:val="00973121"/>
    <w:rsid w:val="0097313F"/>
    <w:rsid w:val="0097347B"/>
    <w:rsid w:val="00973683"/>
    <w:rsid w:val="00973819"/>
    <w:rsid w:val="009739BF"/>
    <w:rsid w:val="00973A27"/>
    <w:rsid w:val="00973F12"/>
    <w:rsid w:val="009743B1"/>
    <w:rsid w:val="0097447C"/>
    <w:rsid w:val="009744A9"/>
    <w:rsid w:val="00974667"/>
    <w:rsid w:val="00974F27"/>
    <w:rsid w:val="00975221"/>
    <w:rsid w:val="009759F5"/>
    <w:rsid w:val="00975ED0"/>
    <w:rsid w:val="00975EDC"/>
    <w:rsid w:val="00975F4B"/>
    <w:rsid w:val="00976477"/>
    <w:rsid w:val="009765A6"/>
    <w:rsid w:val="0097670D"/>
    <w:rsid w:val="00976984"/>
    <w:rsid w:val="009769F8"/>
    <w:rsid w:val="00977240"/>
    <w:rsid w:val="00977256"/>
    <w:rsid w:val="00977791"/>
    <w:rsid w:val="00977A76"/>
    <w:rsid w:val="00977B00"/>
    <w:rsid w:val="00977DD8"/>
    <w:rsid w:val="009800D7"/>
    <w:rsid w:val="0098033A"/>
    <w:rsid w:val="0098037C"/>
    <w:rsid w:val="009804F3"/>
    <w:rsid w:val="0098051B"/>
    <w:rsid w:val="0098069F"/>
    <w:rsid w:val="0098084A"/>
    <w:rsid w:val="009808A4"/>
    <w:rsid w:val="00980E4C"/>
    <w:rsid w:val="00980F35"/>
    <w:rsid w:val="0098117A"/>
    <w:rsid w:val="00981298"/>
    <w:rsid w:val="00981360"/>
    <w:rsid w:val="00981706"/>
    <w:rsid w:val="00981732"/>
    <w:rsid w:val="00981735"/>
    <w:rsid w:val="00981777"/>
    <w:rsid w:val="00981853"/>
    <w:rsid w:val="009818E5"/>
    <w:rsid w:val="00981916"/>
    <w:rsid w:val="00981C6A"/>
    <w:rsid w:val="00982701"/>
    <w:rsid w:val="0098276F"/>
    <w:rsid w:val="00982880"/>
    <w:rsid w:val="00982BC2"/>
    <w:rsid w:val="00983AA4"/>
    <w:rsid w:val="00983CDA"/>
    <w:rsid w:val="00984175"/>
    <w:rsid w:val="009841F5"/>
    <w:rsid w:val="009843E7"/>
    <w:rsid w:val="00984455"/>
    <w:rsid w:val="009844D2"/>
    <w:rsid w:val="00984588"/>
    <w:rsid w:val="00984BF2"/>
    <w:rsid w:val="0098513C"/>
    <w:rsid w:val="009852C2"/>
    <w:rsid w:val="009855E9"/>
    <w:rsid w:val="00985705"/>
    <w:rsid w:val="009857C3"/>
    <w:rsid w:val="00985D71"/>
    <w:rsid w:val="00985F84"/>
    <w:rsid w:val="00986217"/>
    <w:rsid w:val="00986313"/>
    <w:rsid w:val="009864B4"/>
    <w:rsid w:val="00986AF0"/>
    <w:rsid w:val="00986B28"/>
    <w:rsid w:val="00986DC3"/>
    <w:rsid w:val="00986DF3"/>
    <w:rsid w:val="00987037"/>
    <w:rsid w:val="00987169"/>
    <w:rsid w:val="0098783E"/>
    <w:rsid w:val="00987C5F"/>
    <w:rsid w:val="00987CD2"/>
    <w:rsid w:val="00987E3A"/>
    <w:rsid w:val="0099031C"/>
    <w:rsid w:val="00990495"/>
    <w:rsid w:val="0099066B"/>
    <w:rsid w:val="00990E97"/>
    <w:rsid w:val="0099117B"/>
    <w:rsid w:val="0099130A"/>
    <w:rsid w:val="00991335"/>
    <w:rsid w:val="0099155E"/>
    <w:rsid w:val="00991938"/>
    <w:rsid w:val="00991DA4"/>
    <w:rsid w:val="00991E56"/>
    <w:rsid w:val="00991F92"/>
    <w:rsid w:val="00992186"/>
    <w:rsid w:val="009924AF"/>
    <w:rsid w:val="00992523"/>
    <w:rsid w:val="00992616"/>
    <w:rsid w:val="00992689"/>
    <w:rsid w:val="009928CA"/>
    <w:rsid w:val="00992B7F"/>
    <w:rsid w:val="00993585"/>
    <w:rsid w:val="00993A5C"/>
    <w:rsid w:val="00993B29"/>
    <w:rsid w:val="00993C42"/>
    <w:rsid w:val="00993D50"/>
    <w:rsid w:val="00993EBB"/>
    <w:rsid w:val="00994712"/>
    <w:rsid w:val="00994968"/>
    <w:rsid w:val="00994CAC"/>
    <w:rsid w:val="00994D82"/>
    <w:rsid w:val="00995039"/>
    <w:rsid w:val="00995502"/>
    <w:rsid w:val="009958E4"/>
    <w:rsid w:val="00995A94"/>
    <w:rsid w:val="00995FDF"/>
    <w:rsid w:val="00996214"/>
    <w:rsid w:val="009962CF"/>
    <w:rsid w:val="0099659F"/>
    <w:rsid w:val="00996954"/>
    <w:rsid w:val="00996AE9"/>
    <w:rsid w:val="00996C20"/>
    <w:rsid w:val="00996E7C"/>
    <w:rsid w:val="0099717A"/>
    <w:rsid w:val="00997722"/>
    <w:rsid w:val="0099781D"/>
    <w:rsid w:val="00997BC9"/>
    <w:rsid w:val="00997C33"/>
    <w:rsid w:val="00997D1A"/>
    <w:rsid w:val="00997D8A"/>
    <w:rsid w:val="009A0048"/>
    <w:rsid w:val="009A00D6"/>
    <w:rsid w:val="009A0526"/>
    <w:rsid w:val="009A07F0"/>
    <w:rsid w:val="009A0A2E"/>
    <w:rsid w:val="009A0B52"/>
    <w:rsid w:val="009A123B"/>
    <w:rsid w:val="009A12EC"/>
    <w:rsid w:val="009A14A5"/>
    <w:rsid w:val="009A16F3"/>
    <w:rsid w:val="009A17B8"/>
    <w:rsid w:val="009A1B22"/>
    <w:rsid w:val="009A1C87"/>
    <w:rsid w:val="009A1EB4"/>
    <w:rsid w:val="009A22A1"/>
    <w:rsid w:val="009A22D3"/>
    <w:rsid w:val="009A273A"/>
    <w:rsid w:val="009A2813"/>
    <w:rsid w:val="009A2890"/>
    <w:rsid w:val="009A2983"/>
    <w:rsid w:val="009A2B26"/>
    <w:rsid w:val="009A2B73"/>
    <w:rsid w:val="009A2B92"/>
    <w:rsid w:val="009A2D58"/>
    <w:rsid w:val="009A3279"/>
    <w:rsid w:val="009A32E1"/>
    <w:rsid w:val="009A34FA"/>
    <w:rsid w:val="009A3837"/>
    <w:rsid w:val="009A3D05"/>
    <w:rsid w:val="009A3F2D"/>
    <w:rsid w:val="009A3FD9"/>
    <w:rsid w:val="009A403F"/>
    <w:rsid w:val="009A4224"/>
    <w:rsid w:val="009A4262"/>
    <w:rsid w:val="009A4525"/>
    <w:rsid w:val="009A4921"/>
    <w:rsid w:val="009A5302"/>
    <w:rsid w:val="009A55DF"/>
    <w:rsid w:val="009A57FA"/>
    <w:rsid w:val="009A606E"/>
    <w:rsid w:val="009A643A"/>
    <w:rsid w:val="009A6613"/>
    <w:rsid w:val="009A6A85"/>
    <w:rsid w:val="009A6B37"/>
    <w:rsid w:val="009A6B47"/>
    <w:rsid w:val="009A6BE2"/>
    <w:rsid w:val="009A6F5D"/>
    <w:rsid w:val="009A700B"/>
    <w:rsid w:val="009A738F"/>
    <w:rsid w:val="009A76FA"/>
    <w:rsid w:val="009A7B40"/>
    <w:rsid w:val="009A7EF2"/>
    <w:rsid w:val="009B01A5"/>
    <w:rsid w:val="009B0357"/>
    <w:rsid w:val="009B06BE"/>
    <w:rsid w:val="009B0944"/>
    <w:rsid w:val="009B098E"/>
    <w:rsid w:val="009B0C6A"/>
    <w:rsid w:val="009B0EF5"/>
    <w:rsid w:val="009B0F9F"/>
    <w:rsid w:val="009B1051"/>
    <w:rsid w:val="009B12CC"/>
    <w:rsid w:val="009B178A"/>
    <w:rsid w:val="009B1B22"/>
    <w:rsid w:val="009B1BDD"/>
    <w:rsid w:val="009B1D8C"/>
    <w:rsid w:val="009B210C"/>
    <w:rsid w:val="009B24BE"/>
    <w:rsid w:val="009B2563"/>
    <w:rsid w:val="009B26C6"/>
    <w:rsid w:val="009B2743"/>
    <w:rsid w:val="009B2771"/>
    <w:rsid w:val="009B2B75"/>
    <w:rsid w:val="009B2E1A"/>
    <w:rsid w:val="009B2FB8"/>
    <w:rsid w:val="009B3561"/>
    <w:rsid w:val="009B3831"/>
    <w:rsid w:val="009B38BA"/>
    <w:rsid w:val="009B38C8"/>
    <w:rsid w:val="009B3C06"/>
    <w:rsid w:val="009B3E1F"/>
    <w:rsid w:val="009B4517"/>
    <w:rsid w:val="009B4736"/>
    <w:rsid w:val="009B4750"/>
    <w:rsid w:val="009B4F54"/>
    <w:rsid w:val="009B50DB"/>
    <w:rsid w:val="009B5112"/>
    <w:rsid w:val="009B565B"/>
    <w:rsid w:val="009B57A8"/>
    <w:rsid w:val="009B58C4"/>
    <w:rsid w:val="009B5ABA"/>
    <w:rsid w:val="009B62C4"/>
    <w:rsid w:val="009B63B8"/>
    <w:rsid w:val="009B67B8"/>
    <w:rsid w:val="009B6A50"/>
    <w:rsid w:val="009B6CB8"/>
    <w:rsid w:val="009B6E2A"/>
    <w:rsid w:val="009B6E7A"/>
    <w:rsid w:val="009B6F39"/>
    <w:rsid w:val="009B7022"/>
    <w:rsid w:val="009B727D"/>
    <w:rsid w:val="009B737C"/>
    <w:rsid w:val="009B74AA"/>
    <w:rsid w:val="009B76FF"/>
    <w:rsid w:val="009B7B7F"/>
    <w:rsid w:val="009B7BA6"/>
    <w:rsid w:val="009C02EF"/>
    <w:rsid w:val="009C08B7"/>
    <w:rsid w:val="009C0E79"/>
    <w:rsid w:val="009C1056"/>
    <w:rsid w:val="009C11A8"/>
    <w:rsid w:val="009C1335"/>
    <w:rsid w:val="009C1448"/>
    <w:rsid w:val="009C15AF"/>
    <w:rsid w:val="009C1764"/>
    <w:rsid w:val="009C2052"/>
    <w:rsid w:val="009C206E"/>
    <w:rsid w:val="009C20F2"/>
    <w:rsid w:val="009C231D"/>
    <w:rsid w:val="009C23D5"/>
    <w:rsid w:val="009C24B0"/>
    <w:rsid w:val="009C2538"/>
    <w:rsid w:val="009C2562"/>
    <w:rsid w:val="009C2860"/>
    <w:rsid w:val="009C289C"/>
    <w:rsid w:val="009C2CD4"/>
    <w:rsid w:val="009C2D92"/>
    <w:rsid w:val="009C3303"/>
    <w:rsid w:val="009C3416"/>
    <w:rsid w:val="009C36D4"/>
    <w:rsid w:val="009C3950"/>
    <w:rsid w:val="009C3C36"/>
    <w:rsid w:val="009C3EF0"/>
    <w:rsid w:val="009C433F"/>
    <w:rsid w:val="009C43B3"/>
    <w:rsid w:val="009C45AB"/>
    <w:rsid w:val="009C46A7"/>
    <w:rsid w:val="009C4786"/>
    <w:rsid w:val="009C47BF"/>
    <w:rsid w:val="009C48A6"/>
    <w:rsid w:val="009C4AC2"/>
    <w:rsid w:val="009C4B4C"/>
    <w:rsid w:val="009C4F95"/>
    <w:rsid w:val="009C5299"/>
    <w:rsid w:val="009C533C"/>
    <w:rsid w:val="009C5788"/>
    <w:rsid w:val="009C5855"/>
    <w:rsid w:val="009C5859"/>
    <w:rsid w:val="009C5AAD"/>
    <w:rsid w:val="009C5B74"/>
    <w:rsid w:val="009C5CC4"/>
    <w:rsid w:val="009C5F3F"/>
    <w:rsid w:val="009C68AB"/>
    <w:rsid w:val="009C693C"/>
    <w:rsid w:val="009C6A91"/>
    <w:rsid w:val="009C6BDF"/>
    <w:rsid w:val="009C6E40"/>
    <w:rsid w:val="009C72E4"/>
    <w:rsid w:val="009C79AC"/>
    <w:rsid w:val="009C79C0"/>
    <w:rsid w:val="009C7A78"/>
    <w:rsid w:val="009C7E53"/>
    <w:rsid w:val="009C7EE4"/>
    <w:rsid w:val="009C7F05"/>
    <w:rsid w:val="009D019C"/>
    <w:rsid w:val="009D0219"/>
    <w:rsid w:val="009D070A"/>
    <w:rsid w:val="009D0715"/>
    <w:rsid w:val="009D0985"/>
    <w:rsid w:val="009D0C3B"/>
    <w:rsid w:val="009D0C71"/>
    <w:rsid w:val="009D0E39"/>
    <w:rsid w:val="009D0EEC"/>
    <w:rsid w:val="009D1333"/>
    <w:rsid w:val="009D139B"/>
    <w:rsid w:val="009D17D7"/>
    <w:rsid w:val="009D1A8E"/>
    <w:rsid w:val="009D1CF4"/>
    <w:rsid w:val="009D1F27"/>
    <w:rsid w:val="009D20AE"/>
    <w:rsid w:val="009D221F"/>
    <w:rsid w:val="009D2492"/>
    <w:rsid w:val="009D261A"/>
    <w:rsid w:val="009D27C4"/>
    <w:rsid w:val="009D2A41"/>
    <w:rsid w:val="009D2B31"/>
    <w:rsid w:val="009D2CEC"/>
    <w:rsid w:val="009D3644"/>
    <w:rsid w:val="009D3650"/>
    <w:rsid w:val="009D36B1"/>
    <w:rsid w:val="009D3750"/>
    <w:rsid w:val="009D3B1F"/>
    <w:rsid w:val="009D3C4A"/>
    <w:rsid w:val="009D3E87"/>
    <w:rsid w:val="009D3EF3"/>
    <w:rsid w:val="009D40E4"/>
    <w:rsid w:val="009D41FC"/>
    <w:rsid w:val="009D4B37"/>
    <w:rsid w:val="009D4C13"/>
    <w:rsid w:val="009D4D21"/>
    <w:rsid w:val="009D4E37"/>
    <w:rsid w:val="009D4F82"/>
    <w:rsid w:val="009D564A"/>
    <w:rsid w:val="009D5CC3"/>
    <w:rsid w:val="009D626B"/>
    <w:rsid w:val="009D6729"/>
    <w:rsid w:val="009D6B72"/>
    <w:rsid w:val="009D6BFB"/>
    <w:rsid w:val="009D6D03"/>
    <w:rsid w:val="009D713E"/>
    <w:rsid w:val="009D734E"/>
    <w:rsid w:val="009D7581"/>
    <w:rsid w:val="009D75AF"/>
    <w:rsid w:val="009D79A9"/>
    <w:rsid w:val="009D7A25"/>
    <w:rsid w:val="009D7B39"/>
    <w:rsid w:val="009D7F61"/>
    <w:rsid w:val="009E025F"/>
    <w:rsid w:val="009E04DB"/>
    <w:rsid w:val="009E06CC"/>
    <w:rsid w:val="009E072D"/>
    <w:rsid w:val="009E0815"/>
    <w:rsid w:val="009E0826"/>
    <w:rsid w:val="009E08CB"/>
    <w:rsid w:val="009E0B14"/>
    <w:rsid w:val="009E0CE2"/>
    <w:rsid w:val="009E0F53"/>
    <w:rsid w:val="009E12DA"/>
    <w:rsid w:val="009E1EB7"/>
    <w:rsid w:val="009E1EF3"/>
    <w:rsid w:val="009E21D1"/>
    <w:rsid w:val="009E238A"/>
    <w:rsid w:val="009E2B28"/>
    <w:rsid w:val="009E2E17"/>
    <w:rsid w:val="009E3112"/>
    <w:rsid w:val="009E3136"/>
    <w:rsid w:val="009E364F"/>
    <w:rsid w:val="009E3735"/>
    <w:rsid w:val="009E3772"/>
    <w:rsid w:val="009E3818"/>
    <w:rsid w:val="009E3ED5"/>
    <w:rsid w:val="009E4210"/>
    <w:rsid w:val="009E4270"/>
    <w:rsid w:val="009E44A3"/>
    <w:rsid w:val="009E44FC"/>
    <w:rsid w:val="009E4940"/>
    <w:rsid w:val="009E4A04"/>
    <w:rsid w:val="009E4AF0"/>
    <w:rsid w:val="009E4B4A"/>
    <w:rsid w:val="009E4EE7"/>
    <w:rsid w:val="009E51E9"/>
    <w:rsid w:val="009E535A"/>
    <w:rsid w:val="009E53C9"/>
    <w:rsid w:val="009E53E2"/>
    <w:rsid w:val="009E5939"/>
    <w:rsid w:val="009E5A3B"/>
    <w:rsid w:val="009E5BDE"/>
    <w:rsid w:val="009E5D26"/>
    <w:rsid w:val="009E5DA1"/>
    <w:rsid w:val="009E621F"/>
    <w:rsid w:val="009E6410"/>
    <w:rsid w:val="009E6A3C"/>
    <w:rsid w:val="009E6BAD"/>
    <w:rsid w:val="009E6E45"/>
    <w:rsid w:val="009E701C"/>
    <w:rsid w:val="009E7110"/>
    <w:rsid w:val="009E746D"/>
    <w:rsid w:val="009E7471"/>
    <w:rsid w:val="009E7564"/>
    <w:rsid w:val="009E7695"/>
    <w:rsid w:val="009E7A56"/>
    <w:rsid w:val="009E7B46"/>
    <w:rsid w:val="009E7E08"/>
    <w:rsid w:val="009E7F77"/>
    <w:rsid w:val="009F016D"/>
    <w:rsid w:val="009F048E"/>
    <w:rsid w:val="009F07D6"/>
    <w:rsid w:val="009F089E"/>
    <w:rsid w:val="009F0992"/>
    <w:rsid w:val="009F0B02"/>
    <w:rsid w:val="009F0E44"/>
    <w:rsid w:val="009F1047"/>
    <w:rsid w:val="009F11AA"/>
    <w:rsid w:val="009F185E"/>
    <w:rsid w:val="009F191B"/>
    <w:rsid w:val="009F1DEC"/>
    <w:rsid w:val="009F1EAB"/>
    <w:rsid w:val="009F24E4"/>
    <w:rsid w:val="009F276E"/>
    <w:rsid w:val="009F27CF"/>
    <w:rsid w:val="009F2AF8"/>
    <w:rsid w:val="009F2B2E"/>
    <w:rsid w:val="009F2F4A"/>
    <w:rsid w:val="009F2F87"/>
    <w:rsid w:val="009F3327"/>
    <w:rsid w:val="009F3369"/>
    <w:rsid w:val="009F343B"/>
    <w:rsid w:val="009F36D2"/>
    <w:rsid w:val="009F3A33"/>
    <w:rsid w:val="009F3AD0"/>
    <w:rsid w:val="009F3C93"/>
    <w:rsid w:val="009F3E6E"/>
    <w:rsid w:val="009F3E82"/>
    <w:rsid w:val="009F413B"/>
    <w:rsid w:val="009F4187"/>
    <w:rsid w:val="009F48DF"/>
    <w:rsid w:val="009F4AE5"/>
    <w:rsid w:val="009F4D0F"/>
    <w:rsid w:val="009F4EED"/>
    <w:rsid w:val="009F50D8"/>
    <w:rsid w:val="009F53D8"/>
    <w:rsid w:val="009F5753"/>
    <w:rsid w:val="009F592D"/>
    <w:rsid w:val="009F5AEC"/>
    <w:rsid w:val="009F5E48"/>
    <w:rsid w:val="009F634B"/>
    <w:rsid w:val="009F67C3"/>
    <w:rsid w:val="009F6C39"/>
    <w:rsid w:val="009F6FB0"/>
    <w:rsid w:val="009F6FE1"/>
    <w:rsid w:val="009F73B0"/>
    <w:rsid w:val="009F74DF"/>
    <w:rsid w:val="009F789E"/>
    <w:rsid w:val="009F7EC3"/>
    <w:rsid w:val="00A002F9"/>
    <w:rsid w:val="00A00A5B"/>
    <w:rsid w:val="00A00B05"/>
    <w:rsid w:val="00A00BC4"/>
    <w:rsid w:val="00A0102A"/>
    <w:rsid w:val="00A01060"/>
    <w:rsid w:val="00A01163"/>
    <w:rsid w:val="00A01212"/>
    <w:rsid w:val="00A01247"/>
    <w:rsid w:val="00A0184D"/>
    <w:rsid w:val="00A01DB4"/>
    <w:rsid w:val="00A01FB4"/>
    <w:rsid w:val="00A026F7"/>
    <w:rsid w:val="00A027DB"/>
    <w:rsid w:val="00A03223"/>
    <w:rsid w:val="00A032D6"/>
    <w:rsid w:val="00A034BB"/>
    <w:rsid w:val="00A035A3"/>
    <w:rsid w:val="00A03D41"/>
    <w:rsid w:val="00A03E52"/>
    <w:rsid w:val="00A03FD3"/>
    <w:rsid w:val="00A04451"/>
    <w:rsid w:val="00A044E0"/>
    <w:rsid w:val="00A04640"/>
    <w:rsid w:val="00A0482D"/>
    <w:rsid w:val="00A04C52"/>
    <w:rsid w:val="00A04F6E"/>
    <w:rsid w:val="00A051D0"/>
    <w:rsid w:val="00A052C2"/>
    <w:rsid w:val="00A052F6"/>
    <w:rsid w:val="00A05451"/>
    <w:rsid w:val="00A059B1"/>
    <w:rsid w:val="00A060F0"/>
    <w:rsid w:val="00A06228"/>
    <w:rsid w:val="00A06B00"/>
    <w:rsid w:val="00A06B52"/>
    <w:rsid w:val="00A070BD"/>
    <w:rsid w:val="00A0719E"/>
    <w:rsid w:val="00A07238"/>
    <w:rsid w:val="00A074E1"/>
    <w:rsid w:val="00A07699"/>
    <w:rsid w:val="00A07B02"/>
    <w:rsid w:val="00A07B42"/>
    <w:rsid w:val="00A10586"/>
    <w:rsid w:val="00A106E2"/>
    <w:rsid w:val="00A108A9"/>
    <w:rsid w:val="00A108B4"/>
    <w:rsid w:val="00A10A15"/>
    <w:rsid w:val="00A10B26"/>
    <w:rsid w:val="00A10B75"/>
    <w:rsid w:val="00A10BF5"/>
    <w:rsid w:val="00A10C9A"/>
    <w:rsid w:val="00A110DA"/>
    <w:rsid w:val="00A114DB"/>
    <w:rsid w:val="00A11530"/>
    <w:rsid w:val="00A11A1F"/>
    <w:rsid w:val="00A11AD9"/>
    <w:rsid w:val="00A11B34"/>
    <w:rsid w:val="00A11ED1"/>
    <w:rsid w:val="00A11F75"/>
    <w:rsid w:val="00A12330"/>
    <w:rsid w:val="00A12CE2"/>
    <w:rsid w:val="00A12D96"/>
    <w:rsid w:val="00A12F2A"/>
    <w:rsid w:val="00A12F31"/>
    <w:rsid w:val="00A131CF"/>
    <w:rsid w:val="00A13394"/>
    <w:rsid w:val="00A13457"/>
    <w:rsid w:val="00A13BF8"/>
    <w:rsid w:val="00A13C31"/>
    <w:rsid w:val="00A145A5"/>
    <w:rsid w:val="00A147DC"/>
    <w:rsid w:val="00A149D2"/>
    <w:rsid w:val="00A14D0A"/>
    <w:rsid w:val="00A14D62"/>
    <w:rsid w:val="00A14F6A"/>
    <w:rsid w:val="00A1503A"/>
    <w:rsid w:val="00A15099"/>
    <w:rsid w:val="00A151B7"/>
    <w:rsid w:val="00A15221"/>
    <w:rsid w:val="00A15287"/>
    <w:rsid w:val="00A1555D"/>
    <w:rsid w:val="00A15665"/>
    <w:rsid w:val="00A15CBA"/>
    <w:rsid w:val="00A15DD5"/>
    <w:rsid w:val="00A1636B"/>
    <w:rsid w:val="00A1684F"/>
    <w:rsid w:val="00A16AD8"/>
    <w:rsid w:val="00A16B70"/>
    <w:rsid w:val="00A16C87"/>
    <w:rsid w:val="00A16E48"/>
    <w:rsid w:val="00A174E6"/>
    <w:rsid w:val="00A175EE"/>
    <w:rsid w:val="00A17CF5"/>
    <w:rsid w:val="00A17D7A"/>
    <w:rsid w:val="00A17FE0"/>
    <w:rsid w:val="00A20185"/>
    <w:rsid w:val="00A20576"/>
    <w:rsid w:val="00A20C7F"/>
    <w:rsid w:val="00A20CBC"/>
    <w:rsid w:val="00A21347"/>
    <w:rsid w:val="00A218E8"/>
    <w:rsid w:val="00A2194D"/>
    <w:rsid w:val="00A2196E"/>
    <w:rsid w:val="00A21B8B"/>
    <w:rsid w:val="00A21BEA"/>
    <w:rsid w:val="00A21D84"/>
    <w:rsid w:val="00A21ED2"/>
    <w:rsid w:val="00A21F10"/>
    <w:rsid w:val="00A220E7"/>
    <w:rsid w:val="00A22152"/>
    <w:rsid w:val="00A221B9"/>
    <w:rsid w:val="00A222A9"/>
    <w:rsid w:val="00A2230D"/>
    <w:rsid w:val="00A2265A"/>
    <w:rsid w:val="00A229E7"/>
    <w:rsid w:val="00A22AF7"/>
    <w:rsid w:val="00A22D65"/>
    <w:rsid w:val="00A22DF6"/>
    <w:rsid w:val="00A22EAF"/>
    <w:rsid w:val="00A22F8C"/>
    <w:rsid w:val="00A23023"/>
    <w:rsid w:val="00A230CC"/>
    <w:rsid w:val="00A23E30"/>
    <w:rsid w:val="00A23E5F"/>
    <w:rsid w:val="00A23EC0"/>
    <w:rsid w:val="00A24162"/>
    <w:rsid w:val="00A24597"/>
    <w:rsid w:val="00A247DD"/>
    <w:rsid w:val="00A24992"/>
    <w:rsid w:val="00A24A3C"/>
    <w:rsid w:val="00A24A91"/>
    <w:rsid w:val="00A24AEB"/>
    <w:rsid w:val="00A24FF8"/>
    <w:rsid w:val="00A254F3"/>
    <w:rsid w:val="00A2574D"/>
    <w:rsid w:val="00A25909"/>
    <w:rsid w:val="00A25A9F"/>
    <w:rsid w:val="00A25BC8"/>
    <w:rsid w:val="00A26299"/>
    <w:rsid w:val="00A264FA"/>
    <w:rsid w:val="00A2657A"/>
    <w:rsid w:val="00A2668A"/>
    <w:rsid w:val="00A26953"/>
    <w:rsid w:val="00A26C17"/>
    <w:rsid w:val="00A26C58"/>
    <w:rsid w:val="00A27033"/>
    <w:rsid w:val="00A27078"/>
    <w:rsid w:val="00A2730F"/>
    <w:rsid w:val="00A27AE7"/>
    <w:rsid w:val="00A3026E"/>
    <w:rsid w:val="00A302DA"/>
    <w:rsid w:val="00A30352"/>
    <w:rsid w:val="00A30539"/>
    <w:rsid w:val="00A30769"/>
    <w:rsid w:val="00A30A14"/>
    <w:rsid w:val="00A30E33"/>
    <w:rsid w:val="00A31352"/>
    <w:rsid w:val="00A3136D"/>
    <w:rsid w:val="00A31729"/>
    <w:rsid w:val="00A318BD"/>
    <w:rsid w:val="00A31DFA"/>
    <w:rsid w:val="00A31F81"/>
    <w:rsid w:val="00A32716"/>
    <w:rsid w:val="00A327E8"/>
    <w:rsid w:val="00A32857"/>
    <w:rsid w:val="00A32921"/>
    <w:rsid w:val="00A32AB6"/>
    <w:rsid w:val="00A32B82"/>
    <w:rsid w:val="00A32D24"/>
    <w:rsid w:val="00A32DD8"/>
    <w:rsid w:val="00A32F75"/>
    <w:rsid w:val="00A32FB7"/>
    <w:rsid w:val="00A32FC3"/>
    <w:rsid w:val="00A33065"/>
    <w:rsid w:val="00A333C2"/>
    <w:rsid w:val="00A333E3"/>
    <w:rsid w:val="00A33811"/>
    <w:rsid w:val="00A338CE"/>
    <w:rsid w:val="00A34013"/>
    <w:rsid w:val="00A34275"/>
    <w:rsid w:val="00A34433"/>
    <w:rsid w:val="00A3472F"/>
    <w:rsid w:val="00A34789"/>
    <w:rsid w:val="00A34B84"/>
    <w:rsid w:val="00A34C54"/>
    <w:rsid w:val="00A34CB8"/>
    <w:rsid w:val="00A34FE9"/>
    <w:rsid w:val="00A35058"/>
    <w:rsid w:val="00A352F7"/>
    <w:rsid w:val="00A354AD"/>
    <w:rsid w:val="00A355AD"/>
    <w:rsid w:val="00A35698"/>
    <w:rsid w:val="00A35E11"/>
    <w:rsid w:val="00A35E91"/>
    <w:rsid w:val="00A361BB"/>
    <w:rsid w:val="00A363E9"/>
    <w:rsid w:val="00A36813"/>
    <w:rsid w:val="00A368AE"/>
    <w:rsid w:val="00A3691A"/>
    <w:rsid w:val="00A36AAD"/>
    <w:rsid w:val="00A36C9F"/>
    <w:rsid w:val="00A36ED7"/>
    <w:rsid w:val="00A36EF7"/>
    <w:rsid w:val="00A36FE9"/>
    <w:rsid w:val="00A37300"/>
    <w:rsid w:val="00A37455"/>
    <w:rsid w:val="00A37509"/>
    <w:rsid w:val="00A3769B"/>
    <w:rsid w:val="00A37A45"/>
    <w:rsid w:val="00A37C0A"/>
    <w:rsid w:val="00A37C37"/>
    <w:rsid w:val="00A37E63"/>
    <w:rsid w:val="00A37F64"/>
    <w:rsid w:val="00A37FA8"/>
    <w:rsid w:val="00A40358"/>
    <w:rsid w:val="00A409AB"/>
    <w:rsid w:val="00A40EA1"/>
    <w:rsid w:val="00A4106F"/>
    <w:rsid w:val="00A41328"/>
    <w:rsid w:val="00A41504"/>
    <w:rsid w:val="00A4174E"/>
    <w:rsid w:val="00A41803"/>
    <w:rsid w:val="00A4197F"/>
    <w:rsid w:val="00A419AD"/>
    <w:rsid w:val="00A41B04"/>
    <w:rsid w:val="00A41F9B"/>
    <w:rsid w:val="00A41FF5"/>
    <w:rsid w:val="00A42441"/>
    <w:rsid w:val="00A42CA1"/>
    <w:rsid w:val="00A43162"/>
    <w:rsid w:val="00A433E3"/>
    <w:rsid w:val="00A439B9"/>
    <w:rsid w:val="00A43CA6"/>
    <w:rsid w:val="00A43CB6"/>
    <w:rsid w:val="00A43DB3"/>
    <w:rsid w:val="00A43E54"/>
    <w:rsid w:val="00A43ED0"/>
    <w:rsid w:val="00A4409A"/>
    <w:rsid w:val="00A440C9"/>
    <w:rsid w:val="00A443AF"/>
    <w:rsid w:val="00A4441F"/>
    <w:rsid w:val="00A4476C"/>
    <w:rsid w:val="00A44797"/>
    <w:rsid w:val="00A44A39"/>
    <w:rsid w:val="00A44B13"/>
    <w:rsid w:val="00A44EF0"/>
    <w:rsid w:val="00A452A0"/>
    <w:rsid w:val="00A456FC"/>
    <w:rsid w:val="00A45918"/>
    <w:rsid w:val="00A4600D"/>
    <w:rsid w:val="00A46275"/>
    <w:rsid w:val="00A4694C"/>
    <w:rsid w:val="00A46964"/>
    <w:rsid w:val="00A46B30"/>
    <w:rsid w:val="00A46C58"/>
    <w:rsid w:val="00A46CBA"/>
    <w:rsid w:val="00A47015"/>
    <w:rsid w:val="00A47030"/>
    <w:rsid w:val="00A475D5"/>
    <w:rsid w:val="00A476CC"/>
    <w:rsid w:val="00A4790F"/>
    <w:rsid w:val="00A47A89"/>
    <w:rsid w:val="00A47A96"/>
    <w:rsid w:val="00A47B7D"/>
    <w:rsid w:val="00A47C3E"/>
    <w:rsid w:val="00A47F0F"/>
    <w:rsid w:val="00A50016"/>
    <w:rsid w:val="00A50405"/>
    <w:rsid w:val="00A50740"/>
    <w:rsid w:val="00A50A03"/>
    <w:rsid w:val="00A50B09"/>
    <w:rsid w:val="00A50BDA"/>
    <w:rsid w:val="00A50E01"/>
    <w:rsid w:val="00A51398"/>
    <w:rsid w:val="00A5151B"/>
    <w:rsid w:val="00A5165F"/>
    <w:rsid w:val="00A51891"/>
    <w:rsid w:val="00A5212E"/>
    <w:rsid w:val="00A52373"/>
    <w:rsid w:val="00A5245F"/>
    <w:rsid w:val="00A528BA"/>
    <w:rsid w:val="00A52932"/>
    <w:rsid w:val="00A52A0F"/>
    <w:rsid w:val="00A52E71"/>
    <w:rsid w:val="00A53331"/>
    <w:rsid w:val="00A5349A"/>
    <w:rsid w:val="00A538EA"/>
    <w:rsid w:val="00A539F9"/>
    <w:rsid w:val="00A54E43"/>
    <w:rsid w:val="00A54E53"/>
    <w:rsid w:val="00A54FE1"/>
    <w:rsid w:val="00A550F6"/>
    <w:rsid w:val="00A55118"/>
    <w:rsid w:val="00A55282"/>
    <w:rsid w:val="00A5551D"/>
    <w:rsid w:val="00A55591"/>
    <w:rsid w:val="00A55625"/>
    <w:rsid w:val="00A55660"/>
    <w:rsid w:val="00A55B72"/>
    <w:rsid w:val="00A55BAD"/>
    <w:rsid w:val="00A55DF1"/>
    <w:rsid w:val="00A55E0C"/>
    <w:rsid w:val="00A5639E"/>
    <w:rsid w:val="00A5639F"/>
    <w:rsid w:val="00A56D35"/>
    <w:rsid w:val="00A56F70"/>
    <w:rsid w:val="00A575BB"/>
    <w:rsid w:val="00A57A26"/>
    <w:rsid w:val="00A57A8C"/>
    <w:rsid w:val="00A601D8"/>
    <w:rsid w:val="00A60A2F"/>
    <w:rsid w:val="00A60B1D"/>
    <w:rsid w:val="00A60B1F"/>
    <w:rsid w:val="00A60C3B"/>
    <w:rsid w:val="00A60EF2"/>
    <w:rsid w:val="00A610B1"/>
    <w:rsid w:val="00A61302"/>
    <w:rsid w:val="00A613CD"/>
    <w:rsid w:val="00A61873"/>
    <w:rsid w:val="00A61A5A"/>
    <w:rsid w:val="00A61CCB"/>
    <w:rsid w:val="00A61E51"/>
    <w:rsid w:val="00A620CC"/>
    <w:rsid w:val="00A6231C"/>
    <w:rsid w:val="00A624E4"/>
    <w:rsid w:val="00A62659"/>
    <w:rsid w:val="00A6277A"/>
    <w:rsid w:val="00A628F8"/>
    <w:rsid w:val="00A62C49"/>
    <w:rsid w:val="00A62E82"/>
    <w:rsid w:val="00A62EF0"/>
    <w:rsid w:val="00A633C0"/>
    <w:rsid w:val="00A6342C"/>
    <w:rsid w:val="00A635F3"/>
    <w:rsid w:val="00A6379F"/>
    <w:rsid w:val="00A63BB8"/>
    <w:rsid w:val="00A63D34"/>
    <w:rsid w:val="00A63E8A"/>
    <w:rsid w:val="00A6408D"/>
    <w:rsid w:val="00A6409F"/>
    <w:rsid w:val="00A64160"/>
    <w:rsid w:val="00A64539"/>
    <w:rsid w:val="00A648FC"/>
    <w:rsid w:val="00A64983"/>
    <w:rsid w:val="00A64AC0"/>
    <w:rsid w:val="00A64BE1"/>
    <w:rsid w:val="00A64FCB"/>
    <w:rsid w:val="00A65044"/>
    <w:rsid w:val="00A65104"/>
    <w:rsid w:val="00A653C8"/>
    <w:rsid w:val="00A65543"/>
    <w:rsid w:val="00A661DC"/>
    <w:rsid w:val="00A6629B"/>
    <w:rsid w:val="00A662D7"/>
    <w:rsid w:val="00A662DC"/>
    <w:rsid w:val="00A66640"/>
    <w:rsid w:val="00A666D8"/>
    <w:rsid w:val="00A669A9"/>
    <w:rsid w:val="00A66F29"/>
    <w:rsid w:val="00A670EF"/>
    <w:rsid w:val="00A6724A"/>
    <w:rsid w:val="00A672BE"/>
    <w:rsid w:val="00A6786C"/>
    <w:rsid w:val="00A67D24"/>
    <w:rsid w:val="00A67D99"/>
    <w:rsid w:val="00A67E47"/>
    <w:rsid w:val="00A701FA"/>
    <w:rsid w:val="00A7027A"/>
    <w:rsid w:val="00A70509"/>
    <w:rsid w:val="00A70E8C"/>
    <w:rsid w:val="00A71597"/>
    <w:rsid w:val="00A71629"/>
    <w:rsid w:val="00A71A29"/>
    <w:rsid w:val="00A71C76"/>
    <w:rsid w:val="00A71E60"/>
    <w:rsid w:val="00A71E8C"/>
    <w:rsid w:val="00A71F5A"/>
    <w:rsid w:val="00A72078"/>
    <w:rsid w:val="00A72425"/>
    <w:rsid w:val="00A7246C"/>
    <w:rsid w:val="00A725CA"/>
    <w:rsid w:val="00A72C04"/>
    <w:rsid w:val="00A72CEF"/>
    <w:rsid w:val="00A72DD6"/>
    <w:rsid w:val="00A72DF0"/>
    <w:rsid w:val="00A72E5E"/>
    <w:rsid w:val="00A7301C"/>
    <w:rsid w:val="00A731E9"/>
    <w:rsid w:val="00A733B4"/>
    <w:rsid w:val="00A73629"/>
    <w:rsid w:val="00A738B6"/>
    <w:rsid w:val="00A73960"/>
    <w:rsid w:val="00A73AA8"/>
    <w:rsid w:val="00A73C3D"/>
    <w:rsid w:val="00A73F3B"/>
    <w:rsid w:val="00A74811"/>
    <w:rsid w:val="00A74901"/>
    <w:rsid w:val="00A74C2D"/>
    <w:rsid w:val="00A74D79"/>
    <w:rsid w:val="00A7515E"/>
    <w:rsid w:val="00A7519D"/>
    <w:rsid w:val="00A753F3"/>
    <w:rsid w:val="00A75509"/>
    <w:rsid w:val="00A75C11"/>
    <w:rsid w:val="00A75C79"/>
    <w:rsid w:val="00A75E11"/>
    <w:rsid w:val="00A75FD0"/>
    <w:rsid w:val="00A75FD8"/>
    <w:rsid w:val="00A76351"/>
    <w:rsid w:val="00A76AD7"/>
    <w:rsid w:val="00A7713C"/>
    <w:rsid w:val="00A772BB"/>
    <w:rsid w:val="00A77623"/>
    <w:rsid w:val="00A779EF"/>
    <w:rsid w:val="00A77E7C"/>
    <w:rsid w:val="00A77EA7"/>
    <w:rsid w:val="00A80108"/>
    <w:rsid w:val="00A80AAD"/>
    <w:rsid w:val="00A80BB6"/>
    <w:rsid w:val="00A80F1E"/>
    <w:rsid w:val="00A8125D"/>
    <w:rsid w:val="00A814F3"/>
    <w:rsid w:val="00A81628"/>
    <w:rsid w:val="00A81E28"/>
    <w:rsid w:val="00A81FC1"/>
    <w:rsid w:val="00A82A3A"/>
    <w:rsid w:val="00A831B0"/>
    <w:rsid w:val="00A831F8"/>
    <w:rsid w:val="00A83243"/>
    <w:rsid w:val="00A8384D"/>
    <w:rsid w:val="00A83AB0"/>
    <w:rsid w:val="00A8408A"/>
    <w:rsid w:val="00A841AC"/>
    <w:rsid w:val="00A842B3"/>
    <w:rsid w:val="00A84892"/>
    <w:rsid w:val="00A85000"/>
    <w:rsid w:val="00A850F4"/>
    <w:rsid w:val="00A8530C"/>
    <w:rsid w:val="00A85518"/>
    <w:rsid w:val="00A856E5"/>
    <w:rsid w:val="00A85A8C"/>
    <w:rsid w:val="00A85D59"/>
    <w:rsid w:val="00A85E62"/>
    <w:rsid w:val="00A85F70"/>
    <w:rsid w:val="00A8659C"/>
    <w:rsid w:val="00A867E2"/>
    <w:rsid w:val="00A8695C"/>
    <w:rsid w:val="00A86B6C"/>
    <w:rsid w:val="00A86CA8"/>
    <w:rsid w:val="00A87208"/>
    <w:rsid w:val="00A8728B"/>
    <w:rsid w:val="00A8736B"/>
    <w:rsid w:val="00A87768"/>
    <w:rsid w:val="00A877C3"/>
    <w:rsid w:val="00A879F2"/>
    <w:rsid w:val="00A87AED"/>
    <w:rsid w:val="00A900F0"/>
    <w:rsid w:val="00A90365"/>
    <w:rsid w:val="00A9039B"/>
    <w:rsid w:val="00A906D9"/>
    <w:rsid w:val="00A90860"/>
    <w:rsid w:val="00A90B26"/>
    <w:rsid w:val="00A90D05"/>
    <w:rsid w:val="00A90EB4"/>
    <w:rsid w:val="00A90F50"/>
    <w:rsid w:val="00A9121C"/>
    <w:rsid w:val="00A91571"/>
    <w:rsid w:val="00A9170B"/>
    <w:rsid w:val="00A91861"/>
    <w:rsid w:val="00A919A8"/>
    <w:rsid w:val="00A91B87"/>
    <w:rsid w:val="00A91D82"/>
    <w:rsid w:val="00A91DF1"/>
    <w:rsid w:val="00A91EE8"/>
    <w:rsid w:val="00A92252"/>
    <w:rsid w:val="00A925AF"/>
    <w:rsid w:val="00A92820"/>
    <w:rsid w:val="00A92A06"/>
    <w:rsid w:val="00A93289"/>
    <w:rsid w:val="00A9356C"/>
    <w:rsid w:val="00A9375B"/>
    <w:rsid w:val="00A937E5"/>
    <w:rsid w:val="00A93A54"/>
    <w:rsid w:val="00A93CA2"/>
    <w:rsid w:val="00A93CF7"/>
    <w:rsid w:val="00A93D92"/>
    <w:rsid w:val="00A93E62"/>
    <w:rsid w:val="00A93E6F"/>
    <w:rsid w:val="00A942EC"/>
    <w:rsid w:val="00A943BE"/>
    <w:rsid w:val="00A948F4"/>
    <w:rsid w:val="00A9490D"/>
    <w:rsid w:val="00A9491C"/>
    <w:rsid w:val="00A94B22"/>
    <w:rsid w:val="00A94CFD"/>
    <w:rsid w:val="00A94E67"/>
    <w:rsid w:val="00A95072"/>
    <w:rsid w:val="00A952A7"/>
    <w:rsid w:val="00A952B3"/>
    <w:rsid w:val="00A954DE"/>
    <w:rsid w:val="00A95572"/>
    <w:rsid w:val="00A95575"/>
    <w:rsid w:val="00A95768"/>
    <w:rsid w:val="00A959DB"/>
    <w:rsid w:val="00A95B66"/>
    <w:rsid w:val="00A96275"/>
    <w:rsid w:val="00A96419"/>
    <w:rsid w:val="00A96622"/>
    <w:rsid w:val="00A96BB9"/>
    <w:rsid w:val="00A96C99"/>
    <w:rsid w:val="00A96EF2"/>
    <w:rsid w:val="00A96FD2"/>
    <w:rsid w:val="00A9756F"/>
    <w:rsid w:val="00A97743"/>
    <w:rsid w:val="00A97BBC"/>
    <w:rsid w:val="00A97CD5"/>
    <w:rsid w:val="00A97D44"/>
    <w:rsid w:val="00A97EA3"/>
    <w:rsid w:val="00AA0022"/>
    <w:rsid w:val="00AA002D"/>
    <w:rsid w:val="00AA039E"/>
    <w:rsid w:val="00AA048C"/>
    <w:rsid w:val="00AA073C"/>
    <w:rsid w:val="00AA07BE"/>
    <w:rsid w:val="00AA088E"/>
    <w:rsid w:val="00AA0C88"/>
    <w:rsid w:val="00AA0E9E"/>
    <w:rsid w:val="00AA0EF9"/>
    <w:rsid w:val="00AA1645"/>
    <w:rsid w:val="00AA1793"/>
    <w:rsid w:val="00AA1968"/>
    <w:rsid w:val="00AA19CD"/>
    <w:rsid w:val="00AA1A82"/>
    <w:rsid w:val="00AA1AE5"/>
    <w:rsid w:val="00AA1CF9"/>
    <w:rsid w:val="00AA1E77"/>
    <w:rsid w:val="00AA1E82"/>
    <w:rsid w:val="00AA2083"/>
    <w:rsid w:val="00AA215D"/>
    <w:rsid w:val="00AA2522"/>
    <w:rsid w:val="00AA25E8"/>
    <w:rsid w:val="00AA2621"/>
    <w:rsid w:val="00AA2C2B"/>
    <w:rsid w:val="00AA3270"/>
    <w:rsid w:val="00AA33B4"/>
    <w:rsid w:val="00AA3CBD"/>
    <w:rsid w:val="00AA3FEC"/>
    <w:rsid w:val="00AA4247"/>
    <w:rsid w:val="00AA4340"/>
    <w:rsid w:val="00AA438C"/>
    <w:rsid w:val="00AA486F"/>
    <w:rsid w:val="00AA4871"/>
    <w:rsid w:val="00AA4C1F"/>
    <w:rsid w:val="00AA52D9"/>
    <w:rsid w:val="00AA53C7"/>
    <w:rsid w:val="00AA5B22"/>
    <w:rsid w:val="00AA5C2E"/>
    <w:rsid w:val="00AA5C84"/>
    <w:rsid w:val="00AA5D00"/>
    <w:rsid w:val="00AA6550"/>
    <w:rsid w:val="00AA6858"/>
    <w:rsid w:val="00AA69FC"/>
    <w:rsid w:val="00AA6D0E"/>
    <w:rsid w:val="00AA6EAC"/>
    <w:rsid w:val="00AA737E"/>
    <w:rsid w:val="00AA73A3"/>
    <w:rsid w:val="00AA73D9"/>
    <w:rsid w:val="00AA7413"/>
    <w:rsid w:val="00AA78BB"/>
    <w:rsid w:val="00AA7C1B"/>
    <w:rsid w:val="00AB01CC"/>
    <w:rsid w:val="00AB03D1"/>
    <w:rsid w:val="00AB0AAE"/>
    <w:rsid w:val="00AB0C23"/>
    <w:rsid w:val="00AB0CC2"/>
    <w:rsid w:val="00AB0DE8"/>
    <w:rsid w:val="00AB1293"/>
    <w:rsid w:val="00AB1AE8"/>
    <w:rsid w:val="00AB2467"/>
    <w:rsid w:val="00AB268D"/>
    <w:rsid w:val="00AB276D"/>
    <w:rsid w:val="00AB2979"/>
    <w:rsid w:val="00AB2A11"/>
    <w:rsid w:val="00AB2BD2"/>
    <w:rsid w:val="00AB2C55"/>
    <w:rsid w:val="00AB2CF4"/>
    <w:rsid w:val="00AB2E67"/>
    <w:rsid w:val="00AB3036"/>
    <w:rsid w:val="00AB331C"/>
    <w:rsid w:val="00AB361C"/>
    <w:rsid w:val="00AB40C8"/>
    <w:rsid w:val="00AB477C"/>
    <w:rsid w:val="00AB4ED5"/>
    <w:rsid w:val="00AB5435"/>
    <w:rsid w:val="00AB5590"/>
    <w:rsid w:val="00AB55DB"/>
    <w:rsid w:val="00AB5732"/>
    <w:rsid w:val="00AB5745"/>
    <w:rsid w:val="00AB574D"/>
    <w:rsid w:val="00AB5A2F"/>
    <w:rsid w:val="00AB5E62"/>
    <w:rsid w:val="00AB5F4E"/>
    <w:rsid w:val="00AB600B"/>
    <w:rsid w:val="00AB6126"/>
    <w:rsid w:val="00AB62ED"/>
    <w:rsid w:val="00AB6337"/>
    <w:rsid w:val="00AB6A48"/>
    <w:rsid w:val="00AB6C58"/>
    <w:rsid w:val="00AB6D17"/>
    <w:rsid w:val="00AB6D60"/>
    <w:rsid w:val="00AB71E1"/>
    <w:rsid w:val="00AB748C"/>
    <w:rsid w:val="00AB74BA"/>
    <w:rsid w:val="00AB7593"/>
    <w:rsid w:val="00AB762F"/>
    <w:rsid w:val="00AB7B18"/>
    <w:rsid w:val="00AC0711"/>
    <w:rsid w:val="00AC078C"/>
    <w:rsid w:val="00AC07AC"/>
    <w:rsid w:val="00AC0E42"/>
    <w:rsid w:val="00AC0E93"/>
    <w:rsid w:val="00AC1115"/>
    <w:rsid w:val="00AC1129"/>
    <w:rsid w:val="00AC11E2"/>
    <w:rsid w:val="00AC13C5"/>
    <w:rsid w:val="00AC14C9"/>
    <w:rsid w:val="00AC15BE"/>
    <w:rsid w:val="00AC15D1"/>
    <w:rsid w:val="00AC1724"/>
    <w:rsid w:val="00AC183E"/>
    <w:rsid w:val="00AC1A93"/>
    <w:rsid w:val="00AC1AA2"/>
    <w:rsid w:val="00AC1BE9"/>
    <w:rsid w:val="00AC1C02"/>
    <w:rsid w:val="00AC1E65"/>
    <w:rsid w:val="00AC1FD0"/>
    <w:rsid w:val="00AC20CD"/>
    <w:rsid w:val="00AC26C2"/>
    <w:rsid w:val="00AC26EE"/>
    <w:rsid w:val="00AC2702"/>
    <w:rsid w:val="00AC2E4F"/>
    <w:rsid w:val="00AC307E"/>
    <w:rsid w:val="00AC32BC"/>
    <w:rsid w:val="00AC3628"/>
    <w:rsid w:val="00AC36F0"/>
    <w:rsid w:val="00AC37DE"/>
    <w:rsid w:val="00AC4215"/>
    <w:rsid w:val="00AC46A7"/>
    <w:rsid w:val="00AC4978"/>
    <w:rsid w:val="00AC4E7F"/>
    <w:rsid w:val="00AC53C2"/>
    <w:rsid w:val="00AC59CA"/>
    <w:rsid w:val="00AC5C33"/>
    <w:rsid w:val="00AC5CA7"/>
    <w:rsid w:val="00AC5DB3"/>
    <w:rsid w:val="00AC5DE6"/>
    <w:rsid w:val="00AC5F4E"/>
    <w:rsid w:val="00AC6680"/>
    <w:rsid w:val="00AC68B8"/>
    <w:rsid w:val="00AC68C0"/>
    <w:rsid w:val="00AC6B0F"/>
    <w:rsid w:val="00AC6F38"/>
    <w:rsid w:val="00AC7155"/>
    <w:rsid w:val="00AC75C9"/>
    <w:rsid w:val="00AC7ACE"/>
    <w:rsid w:val="00AC7CA3"/>
    <w:rsid w:val="00AD01C3"/>
    <w:rsid w:val="00AD0B43"/>
    <w:rsid w:val="00AD0B61"/>
    <w:rsid w:val="00AD0CD9"/>
    <w:rsid w:val="00AD1139"/>
    <w:rsid w:val="00AD18BB"/>
    <w:rsid w:val="00AD1AD4"/>
    <w:rsid w:val="00AD2141"/>
    <w:rsid w:val="00AD21D5"/>
    <w:rsid w:val="00AD2349"/>
    <w:rsid w:val="00AD2614"/>
    <w:rsid w:val="00AD2D8C"/>
    <w:rsid w:val="00AD325D"/>
    <w:rsid w:val="00AD3273"/>
    <w:rsid w:val="00AD34B7"/>
    <w:rsid w:val="00AD3575"/>
    <w:rsid w:val="00AD38DA"/>
    <w:rsid w:val="00AD3BEE"/>
    <w:rsid w:val="00AD3D8B"/>
    <w:rsid w:val="00AD3ECE"/>
    <w:rsid w:val="00AD3FEB"/>
    <w:rsid w:val="00AD41FC"/>
    <w:rsid w:val="00AD460A"/>
    <w:rsid w:val="00AD477F"/>
    <w:rsid w:val="00AD4793"/>
    <w:rsid w:val="00AD47E0"/>
    <w:rsid w:val="00AD494F"/>
    <w:rsid w:val="00AD4BDB"/>
    <w:rsid w:val="00AD4CC1"/>
    <w:rsid w:val="00AD4E04"/>
    <w:rsid w:val="00AD4E52"/>
    <w:rsid w:val="00AD4ED5"/>
    <w:rsid w:val="00AD5697"/>
    <w:rsid w:val="00AD56BB"/>
    <w:rsid w:val="00AD589B"/>
    <w:rsid w:val="00AD5A28"/>
    <w:rsid w:val="00AD5B6D"/>
    <w:rsid w:val="00AD5D28"/>
    <w:rsid w:val="00AD63B8"/>
    <w:rsid w:val="00AD6579"/>
    <w:rsid w:val="00AD68A2"/>
    <w:rsid w:val="00AD68FE"/>
    <w:rsid w:val="00AD74A4"/>
    <w:rsid w:val="00AD74AD"/>
    <w:rsid w:val="00AD78AF"/>
    <w:rsid w:val="00AD7B89"/>
    <w:rsid w:val="00AE032B"/>
    <w:rsid w:val="00AE0330"/>
    <w:rsid w:val="00AE035B"/>
    <w:rsid w:val="00AE065B"/>
    <w:rsid w:val="00AE09FA"/>
    <w:rsid w:val="00AE11F8"/>
    <w:rsid w:val="00AE1234"/>
    <w:rsid w:val="00AE142F"/>
    <w:rsid w:val="00AE16DA"/>
    <w:rsid w:val="00AE1753"/>
    <w:rsid w:val="00AE1B30"/>
    <w:rsid w:val="00AE2400"/>
    <w:rsid w:val="00AE2900"/>
    <w:rsid w:val="00AE2F20"/>
    <w:rsid w:val="00AE346C"/>
    <w:rsid w:val="00AE3646"/>
    <w:rsid w:val="00AE370B"/>
    <w:rsid w:val="00AE384D"/>
    <w:rsid w:val="00AE3E18"/>
    <w:rsid w:val="00AE3EDF"/>
    <w:rsid w:val="00AE3F34"/>
    <w:rsid w:val="00AE3F40"/>
    <w:rsid w:val="00AE4149"/>
    <w:rsid w:val="00AE4563"/>
    <w:rsid w:val="00AE4778"/>
    <w:rsid w:val="00AE4ACE"/>
    <w:rsid w:val="00AE4BBB"/>
    <w:rsid w:val="00AE4BF3"/>
    <w:rsid w:val="00AE4E78"/>
    <w:rsid w:val="00AE520F"/>
    <w:rsid w:val="00AE54F2"/>
    <w:rsid w:val="00AE5623"/>
    <w:rsid w:val="00AE5887"/>
    <w:rsid w:val="00AE5C12"/>
    <w:rsid w:val="00AE5E37"/>
    <w:rsid w:val="00AE6090"/>
    <w:rsid w:val="00AE61BF"/>
    <w:rsid w:val="00AE6472"/>
    <w:rsid w:val="00AE6491"/>
    <w:rsid w:val="00AE64E0"/>
    <w:rsid w:val="00AE67C8"/>
    <w:rsid w:val="00AE6945"/>
    <w:rsid w:val="00AE6C35"/>
    <w:rsid w:val="00AE6FBA"/>
    <w:rsid w:val="00AE7280"/>
    <w:rsid w:val="00AE73DD"/>
    <w:rsid w:val="00AE7A77"/>
    <w:rsid w:val="00AE7D0B"/>
    <w:rsid w:val="00AE7DFA"/>
    <w:rsid w:val="00AE7F51"/>
    <w:rsid w:val="00AF0E4A"/>
    <w:rsid w:val="00AF0ED2"/>
    <w:rsid w:val="00AF0F95"/>
    <w:rsid w:val="00AF0FEC"/>
    <w:rsid w:val="00AF10D0"/>
    <w:rsid w:val="00AF1240"/>
    <w:rsid w:val="00AF1284"/>
    <w:rsid w:val="00AF1292"/>
    <w:rsid w:val="00AF1434"/>
    <w:rsid w:val="00AF1805"/>
    <w:rsid w:val="00AF1961"/>
    <w:rsid w:val="00AF1977"/>
    <w:rsid w:val="00AF1D98"/>
    <w:rsid w:val="00AF2036"/>
    <w:rsid w:val="00AF2191"/>
    <w:rsid w:val="00AF2205"/>
    <w:rsid w:val="00AF225D"/>
    <w:rsid w:val="00AF22DF"/>
    <w:rsid w:val="00AF2BB4"/>
    <w:rsid w:val="00AF2C95"/>
    <w:rsid w:val="00AF2D6F"/>
    <w:rsid w:val="00AF34BF"/>
    <w:rsid w:val="00AF38AA"/>
    <w:rsid w:val="00AF3F41"/>
    <w:rsid w:val="00AF40D8"/>
    <w:rsid w:val="00AF4496"/>
    <w:rsid w:val="00AF4849"/>
    <w:rsid w:val="00AF4D3A"/>
    <w:rsid w:val="00AF5177"/>
    <w:rsid w:val="00AF52BC"/>
    <w:rsid w:val="00AF5425"/>
    <w:rsid w:val="00AF5481"/>
    <w:rsid w:val="00AF564C"/>
    <w:rsid w:val="00AF56EC"/>
    <w:rsid w:val="00AF5BA6"/>
    <w:rsid w:val="00AF5C07"/>
    <w:rsid w:val="00AF5CCF"/>
    <w:rsid w:val="00AF6214"/>
    <w:rsid w:val="00AF67A1"/>
    <w:rsid w:val="00AF690C"/>
    <w:rsid w:val="00AF6C6A"/>
    <w:rsid w:val="00AF6DB9"/>
    <w:rsid w:val="00AF76B4"/>
    <w:rsid w:val="00AF7CE7"/>
    <w:rsid w:val="00AF7D1F"/>
    <w:rsid w:val="00AF7E55"/>
    <w:rsid w:val="00B001E5"/>
    <w:rsid w:val="00B0028B"/>
    <w:rsid w:val="00B00449"/>
    <w:rsid w:val="00B00B0C"/>
    <w:rsid w:val="00B00BC8"/>
    <w:rsid w:val="00B00C7D"/>
    <w:rsid w:val="00B00DFA"/>
    <w:rsid w:val="00B00EB9"/>
    <w:rsid w:val="00B011EB"/>
    <w:rsid w:val="00B01223"/>
    <w:rsid w:val="00B01861"/>
    <w:rsid w:val="00B018CC"/>
    <w:rsid w:val="00B01C99"/>
    <w:rsid w:val="00B01E57"/>
    <w:rsid w:val="00B02049"/>
    <w:rsid w:val="00B0275C"/>
    <w:rsid w:val="00B027B4"/>
    <w:rsid w:val="00B030AB"/>
    <w:rsid w:val="00B0346E"/>
    <w:rsid w:val="00B034FF"/>
    <w:rsid w:val="00B03670"/>
    <w:rsid w:val="00B03706"/>
    <w:rsid w:val="00B03A85"/>
    <w:rsid w:val="00B03BA3"/>
    <w:rsid w:val="00B03D89"/>
    <w:rsid w:val="00B03E0C"/>
    <w:rsid w:val="00B04274"/>
    <w:rsid w:val="00B045CA"/>
    <w:rsid w:val="00B045E3"/>
    <w:rsid w:val="00B0469B"/>
    <w:rsid w:val="00B04820"/>
    <w:rsid w:val="00B0489F"/>
    <w:rsid w:val="00B04E8C"/>
    <w:rsid w:val="00B06021"/>
    <w:rsid w:val="00B061DF"/>
    <w:rsid w:val="00B06276"/>
    <w:rsid w:val="00B06501"/>
    <w:rsid w:val="00B06AF9"/>
    <w:rsid w:val="00B0708F"/>
    <w:rsid w:val="00B073A9"/>
    <w:rsid w:val="00B07963"/>
    <w:rsid w:val="00B079E2"/>
    <w:rsid w:val="00B07BDF"/>
    <w:rsid w:val="00B07BFD"/>
    <w:rsid w:val="00B07D0F"/>
    <w:rsid w:val="00B07E14"/>
    <w:rsid w:val="00B10DBD"/>
    <w:rsid w:val="00B11388"/>
    <w:rsid w:val="00B11657"/>
    <w:rsid w:val="00B1170A"/>
    <w:rsid w:val="00B11CDF"/>
    <w:rsid w:val="00B11E5C"/>
    <w:rsid w:val="00B11E60"/>
    <w:rsid w:val="00B1288C"/>
    <w:rsid w:val="00B128A2"/>
    <w:rsid w:val="00B12BF3"/>
    <w:rsid w:val="00B12CB5"/>
    <w:rsid w:val="00B13306"/>
    <w:rsid w:val="00B1348C"/>
    <w:rsid w:val="00B134C3"/>
    <w:rsid w:val="00B13AB7"/>
    <w:rsid w:val="00B13AF9"/>
    <w:rsid w:val="00B13B6A"/>
    <w:rsid w:val="00B13CB0"/>
    <w:rsid w:val="00B13D77"/>
    <w:rsid w:val="00B1430A"/>
    <w:rsid w:val="00B14860"/>
    <w:rsid w:val="00B14D72"/>
    <w:rsid w:val="00B14DE2"/>
    <w:rsid w:val="00B14F75"/>
    <w:rsid w:val="00B1582B"/>
    <w:rsid w:val="00B15C0C"/>
    <w:rsid w:val="00B15CA9"/>
    <w:rsid w:val="00B16054"/>
    <w:rsid w:val="00B164B3"/>
    <w:rsid w:val="00B16577"/>
    <w:rsid w:val="00B16813"/>
    <w:rsid w:val="00B1685E"/>
    <w:rsid w:val="00B168CD"/>
    <w:rsid w:val="00B16B5D"/>
    <w:rsid w:val="00B16DE6"/>
    <w:rsid w:val="00B170B5"/>
    <w:rsid w:val="00B173D5"/>
    <w:rsid w:val="00B17435"/>
    <w:rsid w:val="00B17701"/>
    <w:rsid w:val="00B178EB"/>
    <w:rsid w:val="00B17BAB"/>
    <w:rsid w:val="00B20135"/>
    <w:rsid w:val="00B20220"/>
    <w:rsid w:val="00B20524"/>
    <w:rsid w:val="00B206AE"/>
    <w:rsid w:val="00B20781"/>
    <w:rsid w:val="00B207B3"/>
    <w:rsid w:val="00B20AD9"/>
    <w:rsid w:val="00B20E1F"/>
    <w:rsid w:val="00B2107E"/>
    <w:rsid w:val="00B211B4"/>
    <w:rsid w:val="00B2197B"/>
    <w:rsid w:val="00B22BEB"/>
    <w:rsid w:val="00B22DFE"/>
    <w:rsid w:val="00B22E74"/>
    <w:rsid w:val="00B22F6C"/>
    <w:rsid w:val="00B236A2"/>
    <w:rsid w:val="00B23B6E"/>
    <w:rsid w:val="00B23CBA"/>
    <w:rsid w:val="00B23E25"/>
    <w:rsid w:val="00B23F3E"/>
    <w:rsid w:val="00B23F60"/>
    <w:rsid w:val="00B24571"/>
    <w:rsid w:val="00B246E3"/>
    <w:rsid w:val="00B24976"/>
    <w:rsid w:val="00B24A14"/>
    <w:rsid w:val="00B24ADE"/>
    <w:rsid w:val="00B24CD7"/>
    <w:rsid w:val="00B257B1"/>
    <w:rsid w:val="00B2607A"/>
    <w:rsid w:val="00B2644E"/>
    <w:rsid w:val="00B26A3E"/>
    <w:rsid w:val="00B26D18"/>
    <w:rsid w:val="00B26D3A"/>
    <w:rsid w:val="00B26E9A"/>
    <w:rsid w:val="00B26F21"/>
    <w:rsid w:val="00B27469"/>
    <w:rsid w:val="00B276F9"/>
    <w:rsid w:val="00B27866"/>
    <w:rsid w:val="00B279D6"/>
    <w:rsid w:val="00B27AE6"/>
    <w:rsid w:val="00B27C1A"/>
    <w:rsid w:val="00B27DA2"/>
    <w:rsid w:val="00B301B2"/>
    <w:rsid w:val="00B301BE"/>
    <w:rsid w:val="00B3048E"/>
    <w:rsid w:val="00B304E5"/>
    <w:rsid w:val="00B30553"/>
    <w:rsid w:val="00B30810"/>
    <w:rsid w:val="00B30A64"/>
    <w:rsid w:val="00B30C7D"/>
    <w:rsid w:val="00B30DB6"/>
    <w:rsid w:val="00B30E65"/>
    <w:rsid w:val="00B3128D"/>
    <w:rsid w:val="00B312CD"/>
    <w:rsid w:val="00B31BFD"/>
    <w:rsid w:val="00B31CC2"/>
    <w:rsid w:val="00B31F0E"/>
    <w:rsid w:val="00B322CE"/>
    <w:rsid w:val="00B322F2"/>
    <w:rsid w:val="00B32AE9"/>
    <w:rsid w:val="00B32E51"/>
    <w:rsid w:val="00B32E66"/>
    <w:rsid w:val="00B32F08"/>
    <w:rsid w:val="00B32FEE"/>
    <w:rsid w:val="00B33236"/>
    <w:rsid w:val="00B33346"/>
    <w:rsid w:val="00B33834"/>
    <w:rsid w:val="00B33A54"/>
    <w:rsid w:val="00B33CFF"/>
    <w:rsid w:val="00B33DB3"/>
    <w:rsid w:val="00B33EFC"/>
    <w:rsid w:val="00B343FB"/>
    <w:rsid w:val="00B34443"/>
    <w:rsid w:val="00B3468C"/>
    <w:rsid w:val="00B34AD6"/>
    <w:rsid w:val="00B34DAB"/>
    <w:rsid w:val="00B34E4E"/>
    <w:rsid w:val="00B3512E"/>
    <w:rsid w:val="00B35562"/>
    <w:rsid w:val="00B35721"/>
    <w:rsid w:val="00B357E4"/>
    <w:rsid w:val="00B35977"/>
    <w:rsid w:val="00B35B37"/>
    <w:rsid w:val="00B35D35"/>
    <w:rsid w:val="00B35E64"/>
    <w:rsid w:val="00B3647B"/>
    <w:rsid w:val="00B36581"/>
    <w:rsid w:val="00B36912"/>
    <w:rsid w:val="00B3691D"/>
    <w:rsid w:val="00B36A9B"/>
    <w:rsid w:val="00B36AAF"/>
    <w:rsid w:val="00B36E73"/>
    <w:rsid w:val="00B3707F"/>
    <w:rsid w:val="00B372EB"/>
    <w:rsid w:val="00B37322"/>
    <w:rsid w:val="00B375B1"/>
    <w:rsid w:val="00B37910"/>
    <w:rsid w:val="00B379DB"/>
    <w:rsid w:val="00B37A38"/>
    <w:rsid w:val="00B37C46"/>
    <w:rsid w:val="00B3B5A7"/>
    <w:rsid w:val="00B40523"/>
    <w:rsid w:val="00B40567"/>
    <w:rsid w:val="00B406B0"/>
    <w:rsid w:val="00B40882"/>
    <w:rsid w:val="00B40B82"/>
    <w:rsid w:val="00B4186A"/>
    <w:rsid w:val="00B4199A"/>
    <w:rsid w:val="00B41B17"/>
    <w:rsid w:val="00B41CAD"/>
    <w:rsid w:val="00B41FB3"/>
    <w:rsid w:val="00B423A0"/>
    <w:rsid w:val="00B42663"/>
    <w:rsid w:val="00B42810"/>
    <w:rsid w:val="00B42981"/>
    <w:rsid w:val="00B42BD9"/>
    <w:rsid w:val="00B42E97"/>
    <w:rsid w:val="00B4306C"/>
    <w:rsid w:val="00B43455"/>
    <w:rsid w:val="00B436BD"/>
    <w:rsid w:val="00B439F4"/>
    <w:rsid w:val="00B43D46"/>
    <w:rsid w:val="00B44236"/>
    <w:rsid w:val="00B44522"/>
    <w:rsid w:val="00B447A3"/>
    <w:rsid w:val="00B44C1A"/>
    <w:rsid w:val="00B44E21"/>
    <w:rsid w:val="00B44F22"/>
    <w:rsid w:val="00B44FC2"/>
    <w:rsid w:val="00B45037"/>
    <w:rsid w:val="00B4546F"/>
    <w:rsid w:val="00B45755"/>
    <w:rsid w:val="00B458FF"/>
    <w:rsid w:val="00B45B78"/>
    <w:rsid w:val="00B45BC5"/>
    <w:rsid w:val="00B46219"/>
    <w:rsid w:val="00B46923"/>
    <w:rsid w:val="00B46966"/>
    <w:rsid w:val="00B46AB4"/>
    <w:rsid w:val="00B46E53"/>
    <w:rsid w:val="00B47327"/>
    <w:rsid w:val="00B47365"/>
    <w:rsid w:val="00B474C8"/>
    <w:rsid w:val="00B47720"/>
    <w:rsid w:val="00B478F9"/>
    <w:rsid w:val="00B47EA1"/>
    <w:rsid w:val="00B47EBF"/>
    <w:rsid w:val="00B47FA3"/>
    <w:rsid w:val="00B50331"/>
    <w:rsid w:val="00B5043D"/>
    <w:rsid w:val="00B504E6"/>
    <w:rsid w:val="00B505BE"/>
    <w:rsid w:val="00B50A36"/>
    <w:rsid w:val="00B50AF5"/>
    <w:rsid w:val="00B50C41"/>
    <w:rsid w:val="00B50DA8"/>
    <w:rsid w:val="00B5136C"/>
    <w:rsid w:val="00B51377"/>
    <w:rsid w:val="00B513EF"/>
    <w:rsid w:val="00B5142B"/>
    <w:rsid w:val="00B51913"/>
    <w:rsid w:val="00B51AA3"/>
    <w:rsid w:val="00B51B1E"/>
    <w:rsid w:val="00B51D49"/>
    <w:rsid w:val="00B51FBC"/>
    <w:rsid w:val="00B5247C"/>
    <w:rsid w:val="00B52514"/>
    <w:rsid w:val="00B528B1"/>
    <w:rsid w:val="00B528DE"/>
    <w:rsid w:val="00B52F04"/>
    <w:rsid w:val="00B53082"/>
    <w:rsid w:val="00B531F9"/>
    <w:rsid w:val="00B533A4"/>
    <w:rsid w:val="00B5342A"/>
    <w:rsid w:val="00B53809"/>
    <w:rsid w:val="00B53B20"/>
    <w:rsid w:val="00B53D88"/>
    <w:rsid w:val="00B53F72"/>
    <w:rsid w:val="00B53FB2"/>
    <w:rsid w:val="00B541DC"/>
    <w:rsid w:val="00B5443B"/>
    <w:rsid w:val="00B545EE"/>
    <w:rsid w:val="00B54A4F"/>
    <w:rsid w:val="00B54BF4"/>
    <w:rsid w:val="00B554C9"/>
    <w:rsid w:val="00B561F2"/>
    <w:rsid w:val="00B56474"/>
    <w:rsid w:val="00B56559"/>
    <w:rsid w:val="00B5679B"/>
    <w:rsid w:val="00B56C18"/>
    <w:rsid w:val="00B56F61"/>
    <w:rsid w:val="00B570AD"/>
    <w:rsid w:val="00B570D9"/>
    <w:rsid w:val="00B57112"/>
    <w:rsid w:val="00B57192"/>
    <w:rsid w:val="00B573C4"/>
    <w:rsid w:val="00B57793"/>
    <w:rsid w:val="00B57D75"/>
    <w:rsid w:val="00B57D90"/>
    <w:rsid w:val="00B57F2F"/>
    <w:rsid w:val="00B602A4"/>
    <w:rsid w:val="00B6044C"/>
    <w:rsid w:val="00B6081B"/>
    <w:rsid w:val="00B614BE"/>
    <w:rsid w:val="00B61590"/>
    <w:rsid w:val="00B61872"/>
    <w:rsid w:val="00B618CD"/>
    <w:rsid w:val="00B62349"/>
    <w:rsid w:val="00B6238A"/>
    <w:rsid w:val="00B62937"/>
    <w:rsid w:val="00B62C0D"/>
    <w:rsid w:val="00B62FDA"/>
    <w:rsid w:val="00B633C3"/>
    <w:rsid w:val="00B63502"/>
    <w:rsid w:val="00B63952"/>
    <w:rsid w:val="00B63E00"/>
    <w:rsid w:val="00B64021"/>
    <w:rsid w:val="00B646A3"/>
    <w:rsid w:val="00B647CB"/>
    <w:rsid w:val="00B648D9"/>
    <w:rsid w:val="00B64AFF"/>
    <w:rsid w:val="00B64B75"/>
    <w:rsid w:val="00B64CC3"/>
    <w:rsid w:val="00B64DD7"/>
    <w:rsid w:val="00B65004"/>
    <w:rsid w:val="00B65619"/>
    <w:rsid w:val="00B657EF"/>
    <w:rsid w:val="00B65C87"/>
    <w:rsid w:val="00B65CDC"/>
    <w:rsid w:val="00B65E04"/>
    <w:rsid w:val="00B65F43"/>
    <w:rsid w:val="00B66540"/>
    <w:rsid w:val="00B6669C"/>
    <w:rsid w:val="00B66834"/>
    <w:rsid w:val="00B66B02"/>
    <w:rsid w:val="00B66DEE"/>
    <w:rsid w:val="00B66EAB"/>
    <w:rsid w:val="00B66ECC"/>
    <w:rsid w:val="00B66F84"/>
    <w:rsid w:val="00B67098"/>
    <w:rsid w:val="00B6717B"/>
    <w:rsid w:val="00B6760A"/>
    <w:rsid w:val="00B6772B"/>
    <w:rsid w:val="00B6773B"/>
    <w:rsid w:val="00B67CB1"/>
    <w:rsid w:val="00B70260"/>
    <w:rsid w:val="00B70294"/>
    <w:rsid w:val="00B707AD"/>
    <w:rsid w:val="00B707F1"/>
    <w:rsid w:val="00B7093C"/>
    <w:rsid w:val="00B70ADC"/>
    <w:rsid w:val="00B70C47"/>
    <w:rsid w:val="00B70E72"/>
    <w:rsid w:val="00B70F7C"/>
    <w:rsid w:val="00B713A0"/>
    <w:rsid w:val="00B71791"/>
    <w:rsid w:val="00B71B2C"/>
    <w:rsid w:val="00B71E39"/>
    <w:rsid w:val="00B721BC"/>
    <w:rsid w:val="00B723DD"/>
    <w:rsid w:val="00B72401"/>
    <w:rsid w:val="00B7267E"/>
    <w:rsid w:val="00B7278F"/>
    <w:rsid w:val="00B72A43"/>
    <w:rsid w:val="00B72BDE"/>
    <w:rsid w:val="00B72DFA"/>
    <w:rsid w:val="00B73632"/>
    <w:rsid w:val="00B73DAD"/>
    <w:rsid w:val="00B74400"/>
    <w:rsid w:val="00B7496D"/>
    <w:rsid w:val="00B75628"/>
    <w:rsid w:val="00B75656"/>
    <w:rsid w:val="00B75699"/>
    <w:rsid w:val="00B75911"/>
    <w:rsid w:val="00B7597B"/>
    <w:rsid w:val="00B75C76"/>
    <w:rsid w:val="00B75D96"/>
    <w:rsid w:val="00B7607A"/>
    <w:rsid w:val="00B764A8"/>
    <w:rsid w:val="00B76843"/>
    <w:rsid w:val="00B76C52"/>
    <w:rsid w:val="00B76FA2"/>
    <w:rsid w:val="00B7717E"/>
    <w:rsid w:val="00B77216"/>
    <w:rsid w:val="00B775B4"/>
    <w:rsid w:val="00B7781E"/>
    <w:rsid w:val="00B77DA8"/>
    <w:rsid w:val="00B7E93C"/>
    <w:rsid w:val="00B803FE"/>
    <w:rsid w:val="00B80491"/>
    <w:rsid w:val="00B806E1"/>
    <w:rsid w:val="00B808A3"/>
    <w:rsid w:val="00B80CE4"/>
    <w:rsid w:val="00B80DA4"/>
    <w:rsid w:val="00B810C0"/>
    <w:rsid w:val="00B81201"/>
    <w:rsid w:val="00B81225"/>
    <w:rsid w:val="00B81253"/>
    <w:rsid w:val="00B812CA"/>
    <w:rsid w:val="00B81336"/>
    <w:rsid w:val="00B81716"/>
    <w:rsid w:val="00B8171F"/>
    <w:rsid w:val="00B81824"/>
    <w:rsid w:val="00B8187E"/>
    <w:rsid w:val="00B8197F"/>
    <w:rsid w:val="00B81D2B"/>
    <w:rsid w:val="00B81EB3"/>
    <w:rsid w:val="00B81EDB"/>
    <w:rsid w:val="00B825D9"/>
    <w:rsid w:val="00B832E0"/>
    <w:rsid w:val="00B832F8"/>
    <w:rsid w:val="00B83404"/>
    <w:rsid w:val="00B83598"/>
    <w:rsid w:val="00B835DB"/>
    <w:rsid w:val="00B83721"/>
    <w:rsid w:val="00B83766"/>
    <w:rsid w:val="00B838F4"/>
    <w:rsid w:val="00B83C19"/>
    <w:rsid w:val="00B83F13"/>
    <w:rsid w:val="00B84420"/>
    <w:rsid w:val="00B844B3"/>
    <w:rsid w:val="00B844F4"/>
    <w:rsid w:val="00B8471B"/>
    <w:rsid w:val="00B84A19"/>
    <w:rsid w:val="00B84C8A"/>
    <w:rsid w:val="00B84CC2"/>
    <w:rsid w:val="00B85AEB"/>
    <w:rsid w:val="00B86028"/>
    <w:rsid w:val="00B860B3"/>
    <w:rsid w:val="00B86174"/>
    <w:rsid w:val="00B861D8"/>
    <w:rsid w:val="00B86345"/>
    <w:rsid w:val="00B863B4"/>
    <w:rsid w:val="00B864B8"/>
    <w:rsid w:val="00B865AC"/>
    <w:rsid w:val="00B869DC"/>
    <w:rsid w:val="00B86C65"/>
    <w:rsid w:val="00B87209"/>
    <w:rsid w:val="00B872FE"/>
    <w:rsid w:val="00B87391"/>
    <w:rsid w:val="00B876A4"/>
    <w:rsid w:val="00B877B0"/>
    <w:rsid w:val="00B8787A"/>
    <w:rsid w:val="00B87900"/>
    <w:rsid w:val="00B87990"/>
    <w:rsid w:val="00B87F1A"/>
    <w:rsid w:val="00B87F75"/>
    <w:rsid w:val="00B90078"/>
    <w:rsid w:val="00B90648"/>
    <w:rsid w:val="00B90698"/>
    <w:rsid w:val="00B906F4"/>
    <w:rsid w:val="00B90785"/>
    <w:rsid w:val="00B90858"/>
    <w:rsid w:val="00B90D0C"/>
    <w:rsid w:val="00B910D0"/>
    <w:rsid w:val="00B9128B"/>
    <w:rsid w:val="00B9151E"/>
    <w:rsid w:val="00B916A7"/>
    <w:rsid w:val="00B91921"/>
    <w:rsid w:val="00B91A3A"/>
    <w:rsid w:val="00B91A56"/>
    <w:rsid w:val="00B91BB3"/>
    <w:rsid w:val="00B91CF4"/>
    <w:rsid w:val="00B91D7E"/>
    <w:rsid w:val="00B92C85"/>
    <w:rsid w:val="00B93052"/>
    <w:rsid w:val="00B93555"/>
    <w:rsid w:val="00B935FA"/>
    <w:rsid w:val="00B937CE"/>
    <w:rsid w:val="00B93D53"/>
    <w:rsid w:val="00B93E57"/>
    <w:rsid w:val="00B93F6F"/>
    <w:rsid w:val="00B94179"/>
    <w:rsid w:val="00B9432E"/>
    <w:rsid w:val="00B9445F"/>
    <w:rsid w:val="00B9472A"/>
    <w:rsid w:val="00B948AC"/>
    <w:rsid w:val="00B95205"/>
    <w:rsid w:val="00B952E6"/>
    <w:rsid w:val="00B95397"/>
    <w:rsid w:val="00B9597E"/>
    <w:rsid w:val="00B96176"/>
    <w:rsid w:val="00B96A60"/>
    <w:rsid w:val="00B9727A"/>
    <w:rsid w:val="00B972AB"/>
    <w:rsid w:val="00B97320"/>
    <w:rsid w:val="00B97369"/>
    <w:rsid w:val="00B974EA"/>
    <w:rsid w:val="00B977CC"/>
    <w:rsid w:val="00B97976"/>
    <w:rsid w:val="00B97BFD"/>
    <w:rsid w:val="00B97CCF"/>
    <w:rsid w:val="00B97EF8"/>
    <w:rsid w:val="00BA008D"/>
    <w:rsid w:val="00BA00F0"/>
    <w:rsid w:val="00BA0106"/>
    <w:rsid w:val="00BA021E"/>
    <w:rsid w:val="00BA0226"/>
    <w:rsid w:val="00BA073C"/>
    <w:rsid w:val="00BA0740"/>
    <w:rsid w:val="00BA097F"/>
    <w:rsid w:val="00BA11BE"/>
    <w:rsid w:val="00BA1423"/>
    <w:rsid w:val="00BA1527"/>
    <w:rsid w:val="00BA15A5"/>
    <w:rsid w:val="00BA16FE"/>
    <w:rsid w:val="00BA17B0"/>
    <w:rsid w:val="00BA18C7"/>
    <w:rsid w:val="00BA1A5D"/>
    <w:rsid w:val="00BA1BDF"/>
    <w:rsid w:val="00BA203E"/>
    <w:rsid w:val="00BA24A7"/>
    <w:rsid w:val="00BA24DF"/>
    <w:rsid w:val="00BA2534"/>
    <w:rsid w:val="00BA2B02"/>
    <w:rsid w:val="00BA2B7E"/>
    <w:rsid w:val="00BA2CB7"/>
    <w:rsid w:val="00BA2FE3"/>
    <w:rsid w:val="00BA32B8"/>
    <w:rsid w:val="00BA34C7"/>
    <w:rsid w:val="00BA3EBA"/>
    <w:rsid w:val="00BA416E"/>
    <w:rsid w:val="00BA41BF"/>
    <w:rsid w:val="00BA466C"/>
    <w:rsid w:val="00BA4920"/>
    <w:rsid w:val="00BA4DAA"/>
    <w:rsid w:val="00BA4DC2"/>
    <w:rsid w:val="00BA4E45"/>
    <w:rsid w:val="00BA4EAF"/>
    <w:rsid w:val="00BA4F55"/>
    <w:rsid w:val="00BA4FA6"/>
    <w:rsid w:val="00BA5113"/>
    <w:rsid w:val="00BA520E"/>
    <w:rsid w:val="00BA5399"/>
    <w:rsid w:val="00BA53F0"/>
    <w:rsid w:val="00BA59AD"/>
    <w:rsid w:val="00BA59D9"/>
    <w:rsid w:val="00BA6343"/>
    <w:rsid w:val="00BA6AAB"/>
    <w:rsid w:val="00BA7063"/>
    <w:rsid w:val="00BA719D"/>
    <w:rsid w:val="00BA7325"/>
    <w:rsid w:val="00BA760B"/>
    <w:rsid w:val="00BA7E2D"/>
    <w:rsid w:val="00BB0455"/>
    <w:rsid w:val="00BB1100"/>
    <w:rsid w:val="00BB11CF"/>
    <w:rsid w:val="00BB1364"/>
    <w:rsid w:val="00BB1517"/>
    <w:rsid w:val="00BB1884"/>
    <w:rsid w:val="00BB1A4B"/>
    <w:rsid w:val="00BB1A81"/>
    <w:rsid w:val="00BB1B67"/>
    <w:rsid w:val="00BB1C18"/>
    <w:rsid w:val="00BB1DF0"/>
    <w:rsid w:val="00BB2019"/>
    <w:rsid w:val="00BB255C"/>
    <w:rsid w:val="00BB26D7"/>
    <w:rsid w:val="00BB28B1"/>
    <w:rsid w:val="00BB296C"/>
    <w:rsid w:val="00BB2AD7"/>
    <w:rsid w:val="00BB347C"/>
    <w:rsid w:val="00BB38AD"/>
    <w:rsid w:val="00BB3B19"/>
    <w:rsid w:val="00BB3F8E"/>
    <w:rsid w:val="00BB407B"/>
    <w:rsid w:val="00BB4745"/>
    <w:rsid w:val="00BB478B"/>
    <w:rsid w:val="00BB482E"/>
    <w:rsid w:val="00BB4B6A"/>
    <w:rsid w:val="00BB4B93"/>
    <w:rsid w:val="00BB4C25"/>
    <w:rsid w:val="00BB4F29"/>
    <w:rsid w:val="00BB501B"/>
    <w:rsid w:val="00BB50EE"/>
    <w:rsid w:val="00BB532D"/>
    <w:rsid w:val="00BB5343"/>
    <w:rsid w:val="00BB5BC1"/>
    <w:rsid w:val="00BB5C8E"/>
    <w:rsid w:val="00BB6346"/>
    <w:rsid w:val="00BB67E7"/>
    <w:rsid w:val="00BB6B6F"/>
    <w:rsid w:val="00BB7482"/>
    <w:rsid w:val="00BB75DD"/>
    <w:rsid w:val="00BB776B"/>
    <w:rsid w:val="00BB79BF"/>
    <w:rsid w:val="00BB7A2C"/>
    <w:rsid w:val="00BB7A5B"/>
    <w:rsid w:val="00BB7BDE"/>
    <w:rsid w:val="00BB7CA4"/>
    <w:rsid w:val="00BB7F2D"/>
    <w:rsid w:val="00BC034F"/>
    <w:rsid w:val="00BC101F"/>
    <w:rsid w:val="00BC112D"/>
    <w:rsid w:val="00BC1562"/>
    <w:rsid w:val="00BC162D"/>
    <w:rsid w:val="00BC17D5"/>
    <w:rsid w:val="00BC180D"/>
    <w:rsid w:val="00BC20AC"/>
    <w:rsid w:val="00BC2623"/>
    <w:rsid w:val="00BC27CC"/>
    <w:rsid w:val="00BC299B"/>
    <w:rsid w:val="00BC2A24"/>
    <w:rsid w:val="00BC2D20"/>
    <w:rsid w:val="00BC2D90"/>
    <w:rsid w:val="00BC2E3A"/>
    <w:rsid w:val="00BC2F0F"/>
    <w:rsid w:val="00BC2F20"/>
    <w:rsid w:val="00BC2F7B"/>
    <w:rsid w:val="00BC315F"/>
    <w:rsid w:val="00BC3193"/>
    <w:rsid w:val="00BC3235"/>
    <w:rsid w:val="00BC32D6"/>
    <w:rsid w:val="00BC3482"/>
    <w:rsid w:val="00BC3AE6"/>
    <w:rsid w:val="00BC3C39"/>
    <w:rsid w:val="00BC3CA4"/>
    <w:rsid w:val="00BC3F29"/>
    <w:rsid w:val="00BC4127"/>
    <w:rsid w:val="00BC4647"/>
    <w:rsid w:val="00BC4717"/>
    <w:rsid w:val="00BC4AB5"/>
    <w:rsid w:val="00BC4BF8"/>
    <w:rsid w:val="00BC5237"/>
    <w:rsid w:val="00BC5607"/>
    <w:rsid w:val="00BC574D"/>
    <w:rsid w:val="00BC581E"/>
    <w:rsid w:val="00BC5C1E"/>
    <w:rsid w:val="00BC5CC5"/>
    <w:rsid w:val="00BC5D5A"/>
    <w:rsid w:val="00BC5F52"/>
    <w:rsid w:val="00BC6123"/>
    <w:rsid w:val="00BC61B0"/>
    <w:rsid w:val="00BC63EC"/>
    <w:rsid w:val="00BC6A0E"/>
    <w:rsid w:val="00BC6EDC"/>
    <w:rsid w:val="00BC6F4B"/>
    <w:rsid w:val="00BC70AC"/>
    <w:rsid w:val="00BC76AE"/>
    <w:rsid w:val="00BC7A08"/>
    <w:rsid w:val="00BC7A10"/>
    <w:rsid w:val="00BD00FB"/>
    <w:rsid w:val="00BD0105"/>
    <w:rsid w:val="00BD01A3"/>
    <w:rsid w:val="00BD06AF"/>
    <w:rsid w:val="00BD07D4"/>
    <w:rsid w:val="00BD0C4D"/>
    <w:rsid w:val="00BD0C88"/>
    <w:rsid w:val="00BD0C9C"/>
    <w:rsid w:val="00BD0D18"/>
    <w:rsid w:val="00BD0E8D"/>
    <w:rsid w:val="00BD0EAA"/>
    <w:rsid w:val="00BD11C5"/>
    <w:rsid w:val="00BD1335"/>
    <w:rsid w:val="00BD1466"/>
    <w:rsid w:val="00BD1A63"/>
    <w:rsid w:val="00BD1EEC"/>
    <w:rsid w:val="00BD23A6"/>
    <w:rsid w:val="00BD2719"/>
    <w:rsid w:val="00BD2915"/>
    <w:rsid w:val="00BD2D5A"/>
    <w:rsid w:val="00BD3133"/>
    <w:rsid w:val="00BD38AD"/>
    <w:rsid w:val="00BD3DBF"/>
    <w:rsid w:val="00BD3E6D"/>
    <w:rsid w:val="00BD4072"/>
    <w:rsid w:val="00BD44E5"/>
    <w:rsid w:val="00BD4944"/>
    <w:rsid w:val="00BD4AAC"/>
    <w:rsid w:val="00BD4C5B"/>
    <w:rsid w:val="00BD4D43"/>
    <w:rsid w:val="00BD4DA4"/>
    <w:rsid w:val="00BD5501"/>
    <w:rsid w:val="00BD5DE1"/>
    <w:rsid w:val="00BD616A"/>
    <w:rsid w:val="00BD64F3"/>
    <w:rsid w:val="00BD6961"/>
    <w:rsid w:val="00BD6BD8"/>
    <w:rsid w:val="00BD6F1A"/>
    <w:rsid w:val="00BD6F3D"/>
    <w:rsid w:val="00BD703D"/>
    <w:rsid w:val="00BD7289"/>
    <w:rsid w:val="00BD72E0"/>
    <w:rsid w:val="00BD763D"/>
    <w:rsid w:val="00BD78E7"/>
    <w:rsid w:val="00BD7920"/>
    <w:rsid w:val="00BD7F85"/>
    <w:rsid w:val="00BE005A"/>
    <w:rsid w:val="00BE02D1"/>
    <w:rsid w:val="00BE04E6"/>
    <w:rsid w:val="00BE0705"/>
    <w:rsid w:val="00BE07AF"/>
    <w:rsid w:val="00BE0C27"/>
    <w:rsid w:val="00BE1046"/>
    <w:rsid w:val="00BE1108"/>
    <w:rsid w:val="00BE1D59"/>
    <w:rsid w:val="00BE1E25"/>
    <w:rsid w:val="00BE2581"/>
    <w:rsid w:val="00BE274F"/>
    <w:rsid w:val="00BE2881"/>
    <w:rsid w:val="00BE2956"/>
    <w:rsid w:val="00BE374D"/>
    <w:rsid w:val="00BE39F7"/>
    <w:rsid w:val="00BE41A6"/>
    <w:rsid w:val="00BE4394"/>
    <w:rsid w:val="00BE4715"/>
    <w:rsid w:val="00BE50C9"/>
    <w:rsid w:val="00BE5159"/>
    <w:rsid w:val="00BE523A"/>
    <w:rsid w:val="00BE53C8"/>
    <w:rsid w:val="00BE5481"/>
    <w:rsid w:val="00BE5546"/>
    <w:rsid w:val="00BE5921"/>
    <w:rsid w:val="00BE5983"/>
    <w:rsid w:val="00BE5E77"/>
    <w:rsid w:val="00BE6189"/>
    <w:rsid w:val="00BE62D0"/>
    <w:rsid w:val="00BE633A"/>
    <w:rsid w:val="00BE6555"/>
    <w:rsid w:val="00BE678A"/>
    <w:rsid w:val="00BE695F"/>
    <w:rsid w:val="00BE6C14"/>
    <w:rsid w:val="00BE6EF6"/>
    <w:rsid w:val="00BE7080"/>
    <w:rsid w:val="00BE7352"/>
    <w:rsid w:val="00BE771F"/>
    <w:rsid w:val="00BE7945"/>
    <w:rsid w:val="00BE7EAA"/>
    <w:rsid w:val="00BF0125"/>
    <w:rsid w:val="00BF0276"/>
    <w:rsid w:val="00BF05DF"/>
    <w:rsid w:val="00BF0609"/>
    <w:rsid w:val="00BF068B"/>
    <w:rsid w:val="00BF0952"/>
    <w:rsid w:val="00BF0F7E"/>
    <w:rsid w:val="00BF1354"/>
    <w:rsid w:val="00BF13D1"/>
    <w:rsid w:val="00BF18C4"/>
    <w:rsid w:val="00BF19A3"/>
    <w:rsid w:val="00BF1A74"/>
    <w:rsid w:val="00BF1C9E"/>
    <w:rsid w:val="00BF209D"/>
    <w:rsid w:val="00BF2143"/>
    <w:rsid w:val="00BF2542"/>
    <w:rsid w:val="00BF2566"/>
    <w:rsid w:val="00BF2631"/>
    <w:rsid w:val="00BF27B5"/>
    <w:rsid w:val="00BF2916"/>
    <w:rsid w:val="00BF2BBB"/>
    <w:rsid w:val="00BF3070"/>
    <w:rsid w:val="00BF32EF"/>
    <w:rsid w:val="00BF3479"/>
    <w:rsid w:val="00BF35DD"/>
    <w:rsid w:val="00BF3A0E"/>
    <w:rsid w:val="00BF3FD3"/>
    <w:rsid w:val="00BF4866"/>
    <w:rsid w:val="00BF4FDF"/>
    <w:rsid w:val="00BF5009"/>
    <w:rsid w:val="00BF511C"/>
    <w:rsid w:val="00BF5D92"/>
    <w:rsid w:val="00BF6296"/>
    <w:rsid w:val="00BF6382"/>
    <w:rsid w:val="00BF63FE"/>
    <w:rsid w:val="00BF6445"/>
    <w:rsid w:val="00BF673B"/>
    <w:rsid w:val="00BF6F4E"/>
    <w:rsid w:val="00BF7471"/>
    <w:rsid w:val="00BF7476"/>
    <w:rsid w:val="00BF7B45"/>
    <w:rsid w:val="00BF7BBA"/>
    <w:rsid w:val="00BF7DB2"/>
    <w:rsid w:val="00C000A3"/>
    <w:rsid w:val="00C000EB"/>
    <w:rsid w:val="00C008FC"/>
    <w:rsid w:val="00C00AC3"/>
    <w:rsid w:val="00C00E5D"/>
    <w:rsid w:val="00C012B7"/>
    <w:rsid w:val="00C012D8"/>
    <w:rsid w:val="00C01737"/>
    <w:rsid w:val="00C01A4C"/>
    <w:rsid w:val="00C01A5A"/>
    <w:rsid w:val="00C01C26"/>
    <w:rsid w:val="00C01E10"/>
    <w:rsid w:val="00C01E63"/>
    <w:rsid w:val="00C02190"/>
    <w:rsid w:val="00C024DF"/>
    <w:rsid w:val="00C02C4B"/>
    <w:rsid w:val="00C02F8D"/>
    <w:rsid w:val="00C031BE"/>
    <w:rsid w:val="00C031DD"/>
    <w:rsid w:val="00C03266"/>
    <w:rsid w:val="00C0363B"/>
    <w:rsid w:val="00C03B4F"/>
    <w:rsid w:val="00C03C91"/>
    <w:rsid w:val="00C04000"/>
    <w:rsid w:val="00C04141"/>
    <w:rsid w:val="00C0487B"/>
    <w:rsid w:val="00C04BF5"/>
    <w:rsid w:val="00C04DB6"/>
    <w:rsid w:val="00C04E0A"/>
    <w:rsid w:val="00C04ECA"/>
    <w:rsid w:val="00C04EFA"/>
    <w:rsid w:val="00C050A7"/>
    <w:rsid w:val="00C0538B"/>
    <w:rsid w:val="00C05393"/>
    <w:rsid w:val="00C05D0B"/>
    <w:rsid w:val="00C05F19"/>
    <w:rsid w:val="00C05FF7"/>
    <w:rsid w:val="00C06228"/>
    <w:rsid w:val="00C0629C"/>
    <w:rsid w:val="00C065D7"/>
    <w:rsid w:val="00C06660"/>
    <w:rsid w:val="00C06D69"/>
    <w:rsid w:val="00C06FD9"/>
    <w:rsid w:val="00C06FE1"/>
    <w:rsid w:val="00C071A5"/>
    <w:rsid w:val="00C0725B"/>
    <w:rsid w:val="00C073B9"/>
    <w:rsid w:val="00C07749"/>
    <w:rsid w:val="00C07D3F"/>
    <w:rsid w:val="00C07E60"/>
    <w:rsid w:val="00C10016"/>
    <w:rsid w:val="00C10038"/>
    <w:rsid w:val="00C101D5"/>
    <w:rsid w:val="00C10515"/>
    <w:rsid w:val="00C106F1"/>
    <w:rsid w:val="00C1072F"/>
    <w:rsid w:val="00C10835"/>
    <w:rsid w:val="00C109D2"/>
    <w:rsid w:val="00C10B88"/>
    <w:rsid w:val="00C10BC7"/>
    <w:rsid w:val="00C10CDA"/>
    <w:rsid w:val="00C111C4"/>
    <w:rsid w:val="00C11352"/>
    <w:rsid w:val="00C11B23"/>
    <w:rsid w:val="00C11CD2"/>
    <w:rsid w:val="00C11E07"/>
    <w:rsid w:val="00C11E78"/>
    <w:rsid w:val="00C120CF"/>
    <w:rsid w:val="00C1231D"/>
    <w:rsid w:val="00C12474"/>
    <w:rsid w:val="00C124F4"/>
    <w:rsid w:val="00C1251F"/>
    <w:rsid w:val="00C12BD7"/>
    <w:rsid w:val="00C135DC"/>
    <w:rsid w:val="00C13A05"/>
    <w:rsid w:val="00C13E43"/>
    <w:rsid w:val="00C14242"/>
    <w:rsid w:val="00C145FF"/>
    <w:rsid w:val="00C14AA5"/>
    <w:rsid w:val="00C14C22"/>
    <w:rsid w:val="00C14E5A"/>
    <w:rsid w:val="00C16429"/>
    <w:rsid w:val="00C1642D"/>
    <w:rsid w:val="00C16614"/>
    <w:rsid w:val="00C16698"/>
    <w:rsid w:val="00C16DFD"/>
    <w:rsid w:val="00C171A7"/>
    <w:rsid w:val="00C1792F"/>
    <w:rsid w:val="00C17E2F"/>
    <w:rsid w:val="00C17FA6"/>
    <w:rsid w:val="00C20061"/>
    <w:rsid w:val="00C2016C"/>
    <w:rsid w:val="00C2023D"/>
    <w:rsid w:val="00C2043B"/>
    <w:rsid w:val="00C208FE"/>
    <w:rsid w:val="00C20964"/>
    <w:rsid w:val="00C20A25"/>
    <w:rsid w:val="00C20D09"/>
    <w:rsid w:val="00C21110"/>
    <w:rsid w:val="00C21290"/>
    <w:rsid w:val="00C2132C"/>
    <w:rsid w:val="00C21591"/>
    <w:rsid w:val="00C215BF"/>
    <w:rsid w:val="00C21705"/>
    <w:rsid w:val="00C2197E"/>
    <w:rsid w:val="00C219D3"/>
    <w:rsid w:val="00C21A71"/>
    <w:rsid w:val="00C220F1"/>
    <w:rsid w:val="00C222E0"/>
    <w:rsid w:val="00C22EBE"/>
    <w:rsid w:val="00C23F28"/>
    <w:rsid w:val="00C23F69"/>
    <w:rsid w:val="00C24025"/>
    <w:rsid w:val="00C243A5"/>
    <w:rsid w:val="00C24524"/>
    <w:rsid w:val="00C24C09"/>
    <w:rsid w:val="00C24C5D"/>
    <w:rsid w:val="00C24D30"/>
    <w:rsid w:val="00C24D5F"/>
    <w:rsid w:val="00C24F2E"/>
    <w:rsid w:val="00C253F0"/>
    <w:rsid w:val="00C25403"/>
    <w:rsid w:val="00C258D7"/>
    <w:rsid w:val="00C26167"/>
    <w:rsid w:val="00C26879"/>
    <w:rsid w:val="00C26EC2"/>
    <w:rsid w:val="00C270D1"/>
    <w:rsid w:val="00C2721B"/>
    <w:rsid w:val="00C27317"/>
    <w:rsid w:val="00C27420"/>
    <w:rsid w:val="00C2759D"/>
    <w:rsid w:val="00C27696"/>
    <w:rsid w:val="00C27716"/>
    <w:rsid w:val="00C2795C"/>
    <w:rsid w:val="00C27F45"/>
    <w:rsid w:val="00C300B7"/>
    <w:rsid w:val="00C30427"/>
    <w:rsid w:val="00C3052C"/>
    <w:rsid w:val="00C3057E"/>
    <w:rsid w:val="00C308BC"/>
    <w:rsid w:val="00C30DB5"/>
    <w:rsid w:val="00C31019"/>
    <w:rsid w:val="00C31128"/>
    <w:rsid w:val="00C31218"/>
    <w:rsid w:val="00C3124F"/>
    <w:rsid w:val="00C31BF7"/>
    <w:rsid w:val="00C31CC2"/>
    <w:rsid w:val="00C321D8"/>
    <w:rsid w:val="00C32375"/>
    <w:rsid w:val="00C32AC7"/>
    <w:rsid w:val="00C32C3D"/>
    <w:rsid w:val="00C331AC"/>
    <w:rsid w:val="00C331D0"/>
    <w:rsid w:val="00C33411"/>
    <w:rsid w:val="00C339EC"/>
    <w:rsid w:val="00C33A22"/>
    <w:rsid w:val="00C340F0"/>
    <w:rsid w:val="00C3414B"/>
    <w:rsid w:val="00C343BE"/>
    <w:rsid w:val="00C343E5"/>
    <w:rsid w:val="00C34404"/>
    <w:rsid w:val="00C34A09"/>
    <w:rsid w:val="00C35057"/>
    <w:rsid w:val="00C3516C"/>
    <w:rsid w:val="00C352BD"/>
    <w:rsid w:val="00C355EC"/>
    <w:rsid w:val="00C35D25"/>
    <w:rsid w:val="00C35D6C"/>
    <w:rsid w:val="00C35E88"/>
    <w:rsid w:val="00C364B6"/>
    <w:rsid w:val="00C36B49"/>
    <w:rsid w:val="00C370E1"/>
    <w:rsid w:val="00C37374"/>
    <w:rsid w:val="00C37556"/>
    <w:rsid w:val="00C37838"/>
    <w:rsid w:val="00C404C1"/>
    <w:rsid w:val="00C4053E"/>
    <w:rsid w:val="00C40671"/>
    <w:rsid w:val="00C40B2D"/>
    <w:rsid w:val="00C40EE3"/>
    <w:rsid w:val="00C40F0B"/>
    <w:rsid w:val="00C40FD7"/>
    <w:rsid w:val="00C411A0"/>
    <w:rsid w:val="00C411E4"/>
    <w:rsid w:val="00C41213"/>
    <w:rsid w:val="00C412CA"/>
    <w:rsid w:val="00C412F3"/>
    <w:rsid w:val="00C418EA"/>
    <w:rsid w:val="00C42104"/>
    <w:rsid w:val="00C4256A"/>
    <w:rsid w:val="00C42904"/>
    <w:rsid w:val="00C42C40"/>
    <w:rsid w:val="00C42C4C"/>
    <w:rsid w:val="00C42E77"/>
    <w:rsid w:val="00C42F43"/>
    <w:rsid w:val="00C4321D"/>
    <w:rsid w:val="00C4355D"/>
    <w:rsid w:val="00C43626"/>
    <w:rsid w:val="00C436A3"/>
    <w:rsid w:val="00C43820"/>
    <w:rsid w:val="00C43936"/>
    <w:rsid w:val="00C439A0"/>
    <w:rsid w:val="00C43F04"/>
    <w:rsid w:val="00C443FB"/>
    <w:rsid w:val="00C44C6B"/>
    <w:rsid w:val="00C44CB3"/>
    <w:rsid w:val="00C44EC7"/>
    <w:rsid w:val="00C45370"/>
    <w:rsid w:val="00C45383"/>
    <w:rsid w:val="00C4573D"/>
    <w:rsid w:val="00C45849"/>
    <w:rsid w:val="00C45FD4"/>
    <w:rsid w:val="00C46030"/>
    <w:rsid w:val="00C460CB"/>
    <w:rsid w:val="00C461F2"/>
    <w:rsid w:val="00C4629B"/>
    <w:rsid w:val="00C4639F"/>
    <w:rsid w:val="00C465FE"/>
    <w:rsid w:val="00C4666F"/>
    <w:rsid w:val="00C469E3"/>
    <w:rsid w:val="00C46AAC"/>
    <w:rsid w:val="00C474C0"/>
    <w:rsid w:val="00C47A90"/>
    <w:rsid w:val="00C47AB2"/>
    <w:rsid w:val="00C501B7"/>
    <w:rsid w:val="00C502D9"/>
    <w:rsid w:val="00C5077F"/>
    <w:rsid w:val="00C5090B"/>
    <w:rsid w:val="00C50DEA"/>
    <w:rsid w:val="00C5116B"/>
    <w:rsid w:val="00C51681"/>
    <w:rsid w:val="00C51792"/>
    <w:rsid w:val="00C5187E"/>
    <w:rsid w:val="00C51D7F"/>
    <w:rsid w:val="00C51DD1"/>
    <w:rsid w:val="00C524A1"/>
    <w:rsid w:val="00C5267A"/>
    <w:rsid w:val="00C52F01"/>
    <w:rsid w:val="00C540A0"/>
    <w:rsid w:val="00C542A5"/>
    <w:rsid w:val="00C544EE"/>
    <w:rsid w:val="00C54522"/>
    <w:rsid w:val="00C54F55"/>
    <w:rsid w:val="00C553BF"/>
    <w:rsid w:val="00C5598E"/>
    <w:rsid w:val="00C55994"/>
    <w:rsid w:val="00C55CD5"/>
    <w:rsid w:val="00C56501"/>
    <w:rsid w:val="00C56538"/>
    <w:rsid w:val="00C56956"/>
    <w:rsid w:val="00C569BD"/>
    <w:rsid w:val="00C56A4E"/>
    <w:rsid w:val="00C57193"/>
    <w:rsid w:val="00C572EF"/>
    <w:rsid w:val="00C5779F"/>
    <w:rsid w:val="00C577D0"/>
    <w:rsid w:val="00C57B35"/>
    <w:rsid w:val="00C57BAF"/>
    <w:rsid w:val="00C60184"/>
    <w:rsid w:val="00C60263"/>
    <w:rsid w:val="00C6074C"/>
    <w:rsid w:val="00C60AE0"/>
    <w:rsid w:val="00C60BAB"/>
    <w:rsid w:val="00C61044"/>
    <w:rsid w:val="00C61121"/>
    <w:rsid w:val="00C6123C"/>
    <w:rsid w:val="00C6131E"/>
    <w:rsid w:val="00C613CA"/>
    <w:rsid w:val="00C61871"/>
    <w:rsid w:val="00C61AA0"/>
    <w:rsid w:val="00C61AC0"/>
    <w:rsid w:val="00C61B12"/>
    <w:rsid w:val="00C61B95"/>
    <w:rsid w:val="00C61E58"/>
    <w:rsid w:val="00C61FBB"/>
    <w:rsid w:val="00C6207A"/>
    <w:rsid w:val="00C6218E"/>
    <w:rsid w:val="00C624E1"/>
    <w:rsid w:val="00C62729"/>
    <w:rsid w:val="00C6286D"/>
    <w:rsid w:val="00C62A70"/>
    <w:rsid w:val="00C62AC1"/>
    <w:rsid w:val="00C62ACB"/>
    <w:rsid w:val="00C62DAF"/>
    <w:rsid w:val="00C63272"/>
    <w:rsid w:val="00C6346B"/>
    <w:rsid w:val="00C63693"/>
    <w:rsid w:val="00C639E7"/>
    <w:rsid w:val="00C63A70"/>
    <w:rsid w:val="00C63F99"/>
    <w:rsid w:val="00C640BF"/>
    <w:rsid w:val="00C64161"/>
    <w:rsid w:val="00C6434B"/>
    <w:rsid w:val="00C64526"/>
    <w:rsid w:val="00C64983"/>
    <w:rsid w:val="00C649CB"/>
    <w:rsid w:val="00C64C4C"/>
    <w:rsid w:val="00C6504F"/>
    <w:rsid w:val="00C65134"/>
    <w:rsid w:val="00C65981"/>
    <w:rsid w:val="00C659DA"/>
    <w:rsid w:val="00C65ABA"/>
    <w:rsid w:val="00C65DB6"/>
    <w:rsid w:val="00C66212"/>
    <w:rsid w:val="00C66238"/>
    <w:rsid w:val="00C663C5"/>
    <w:rsid w:val="00C669F0"/>
    <w:rsid w:val="00C66B3E"/>
    <w:rsid w:val="00C66F1F"/>
    <w:rsid w:val="00C67235"/>
    <w:rsid w:val="00C67950"/>
    <w:rsid w:val="00C67CCF"/>
    <w:rsid w:val="00C67D18"/>
    <w:rsid w:val="00C67DFD"/>
    <w:rsid w:val="00C7037B"/>
    <w:rsid w:val="00C70483"/>
    <w:rsid w:val="00C70C4C"/>
    <w:rsid w:val="00C70ED1"/>
    <w:rsid w:val="00C7114A"/>
    <w:rsid w:val="00C716F9"/>
    <w:rsid w:val="00C71717"/>
    <w:rsid w:val="00C727C8"/>
    <w:rsid w:val="00C72B63"/>
    <w:rsid w:val="00C72BDC"/>
    <w:rsid w:val="00C73089"/>
    <w:rsid w:val="00C732ED"/>
    <w:rsid w:val="00C73311"/>
    <w:rsid w:val="00C734B7"/>
    <w:rsid w:val="00C73BBB"/>
    <w:rsid w:val="00C73BBD"/>
    <w:rsid w:val="00C73E01"/>
    <w:rsid w:val="00C73F42"/>
    <w:rsid w:val="00C73FEA"/>
    <w:rsid w:val="00C745CE"/>
    <w:rsid w:val="00C746A9"/>
    <w:rsid w:val="00C74CCB"/>
    <w:rsid w:val="00C74D19"/>
    <w:rsid w:val="00C74D59"/>
    <w:rsid w:val="00C74E8E"/>
    <w:rsid w:val="00C75837"/>
    <w:rsid w:val="00C75E4D"/>
    <w:rsid w:val="00C75FD0"/>
    <w:rsid w:val="00C760D4"/>
    <w:rsid w:val="00C7659B"/>
    <w:rsid w:val="00C7699C"/>
    <w:rsid w:val="00C771A2"/>
    <w:rsid w:val="00C771BC"/>
    <w:rsid w:val="00C77324"/>
    <w:rsid w:val="00C773CF"/>
    <w:rsid w:val="00C777C9"/>
    <w:rsid w:val="00C77A7C"/>
    <w:rsid w:val="00C77B80"/>
    <w:rsid w:val="00C80033"/>
    <w:rsid w:val="00C8019B"/>
    <w:rsid w:val="00C801DD"/>
    <w:rsid w:val="00C80A88"/>
    <w:rsid w:val="00C80C2B"/>
    <w:rsid w:val="00C80D5C"/>
    <w:rsid w:val="00C8124C"/>
    <w:rsid w:val="00C81302"/>
    <w:rsid w:val="00C813EA"/>
    <w:rsid w:val="00C814BC"/>
    <w:rsid w:val="00C81684"/>
    <w:rsid w:val="00C819B3"/>
    <w:rsid w:val="00C81B9F"/>
    <w:rsid w:val="00C81BB5"/>
    <w:rsid w:val="00C81C53"/>
    <w:rsid w:val="00C8222C"/>
    <w:rsid w:val="00C827D2"/>
    <w:rsid w:val="00C828F8"/>
    <w:rsid w:val="00C82A55"/>
    <w:rsid w:val="00C82C20"/>
    <w:rsid w:val="00C832C9"/>
    <w:rsid w:val="00C83410"/>
    <w:rsid w:val="00C8356E"/>
    <w:rsid w:val="00C83A26"/>
    <w:rsid w:val="00C83E24"/>
    <w:rsid w:val="00C83E9E"/>
    <w:rsid w:val="00C83F7E"/>
    <w:rsid w:val="00C84332"/>
    <w:rsid w:val="00C848CF"/>
    <w:rsid w:val="00C84A95"/>
    <w:rsid w:val="00C84AB3"/>
    <w:rsid w:val="00C84FEB"/>
    <w:rsid w:val="00C85971"/>
    <w:rsid w:val="00C85E8D"/>
    <w:rsid w:val="00C85EF6"/>
    <w:rsid w:val="00C8602C"/>
    <w:rsid w:val="00C862E1"/>
    <w:rsid w:val="00C8641A"/>
    <w:rsid w:val="00C8662A"/>
    <w:rsid w:val="00C86688"/>
    <w:rsid w:val="00C8676F"/>
    <w:rsid w:val="00C86A2A"/>
    <w:rsid w:val="00C86A2E"/>
    <w:rsid w:val="00C86ACC"/>
    <w:rsid w:val="00C87115"/>
    <w:rsid w:val="00C871CC"/>
    <w:rsid w:val="00C871DA"/>
    <w:rsid w:val="00C876F7"/>
    <w:rsid w:val="00C87779"/>
    <w:rsid w:val="00C87872"/>
    <w:rsid w:val="00C878F8"/>
    <w:rsid w:val="00C87B01"/>
    <w:rsid w:val="00C87E13"/>
    <w:rsid w:val="00C87F84"/>
    <w:rsid w:val="00C9052E"/>
    <w:rsid w:val="00C907FB"/>
    <w:rsid w:val="00C90C55"/>
    <w:rsid w:val="00C913A0"/>
    <w:rsid w:val="00C914B4"/>
    <w:rsid w:val="00C914C8"/>
    <w:rsid w:val="00C91D2C"/>
    <w:rsid w:val="00C922A0"/>
    <w:rsid w:val="00C923DD"/>
    <w:rsid w:val="00C928C5"/>
    <w:rsid w:val="00C929C3"/>
    <w:rsid w:val="00C92E01"/>
    <w:rsid w:val="00C93173"/>
    <w:rsid w:val="00C9335F"/>
    <w:rsid w:val="00C934BD"/>
    <w:rsid w:val="00C9351A"/>
    <w:rsid w:val="00C935F4"/>
    <w:rsid w:val="00C9414C"/>
    <w:rsid w:val="00C9417D"/>
    <w:rsid w:val="00C9426E"/>
    <w:rsid w:val="00C943DA"/>
    <w:rsid w:val="00C9477B"/>
    <w:rsid w:val="00C94893"/>
    <w:rsid w:val="00C94A52"/>
    <w:rsid w:val="00C94E15"/>
    <w:rsid w:val="00C94EAF"/>
    <w:rsid w:val="00C94ECD"/>
    <w:rsid w:val="00C94F2E"/>
    <w:rsid w:val="00C952A6"/>
    <w:rsid w:val="00C958B4"/>
    <w:rsid w:val="00C95946"/>
    <w:rsid w:val="00C95A62"/>
    <w:rsid w:val="00C95AEE"/>
    <w:rsid w:val="00C95CA7"/>
    <w:rsid w:val="00C95E33"/>
    <w:rsid w:val="00C95F3D"/>
    <w:rsid w:val="00C965AD"/>
    <w:rsid w:val="00C966A5"/>
    <w:rsid w:val="00C96B0E"/>
    <w:rsid w:val="00C96C01"/>
    <w:rsid w:val="00C96CB5"/>
    <w:rsid w:val="00C96F2B"/>
    <w:rsid w:val="00C96F72"/>
    <w:rsid w:val="00C970B4"/>
    <w:rsid w:val="00C9731F"/>
    <w:rsid w:val="00C97A9F"/>
    <w:rsid w:val="00C97B02"/>
    <w:rsid w:val="00C97DCA"/>
    <w:rsid w:val="00CA021B"/>
    <w:rsid w:val="00CA08F0"/>
    <w:rsid w:val="00CA0A84"/>
    <w:rsid w:val="00CA0E4C"/>
    <w:rsid w:val="00CA14D5"/>
    <w:rsid w:val="00CA1623"/>
    <w:rsid w:val="00CA18C5"/>
    <w:rsid w:val="00CA1B2E"/>
    <w:rsid w:val="00CA1F51"/>
    <w:rsid w:val="00CA2274"/>
    <w:rsid w:val="00CA2466"/>
    <w:rsid w:val="00CA2840"/>
    <w:rsid w:val="00CA2850"/>
    <w:rsid w:val="00CA2A41"/>
    <w:rsid w:val="00CA2B3D"/>
    <w:rsid w:val="00CA2D05"/>
    <w:rsid w:val="00CA2E64"/>
    <w:rsid w:val="00CA33FE"/>
    <w:rsid w:val="00CA34DB"/>
    <w:rsid w:val="00CA368D"/>
    <w:rsid w:val="00CA3D40"/>
    <w:rsid w:val="00CA3EC8"/>
    <w:rsid w:val="00CA4728"/>
    <w:rsid w:val="00CA4ACE"/>
    <w:rsid w:val="00CA4ECC"/>
    <w:rsid w:val="00CA57AC"/>
    <w:rsid w:val="00CA5D6E"/>
    <w:rsid w:val="00CA644B"/>
    <w:rsid w:val="00CA6930"/>
    <w:rsid w:val="00CA6BB3"/>
    <w:rsid w:val="00CA6DFA"/>
    <w:rsid w:val="00CA71FD"/>
    <w:rsid w:val="00CA72D9"/>
    <w:rsid w:val="00CA77CE"/>
    <w:rsid w:val="00CA7C04"/>
    <w:rsid w:val="00CA7D28"/>
    <w:rsid w:val="00CB02F6"/>
    <w:rsid w:val="00CB04F8"/>
    <w:rsid w:val="00CB0E61"/>
    <w:rsid w:val="00CB14E2"/>
    <w:rsid w:val="00CB158C"/>
    <w:rsid w:val="00CB1611"/>
    <w:rsid w:val="00CB165A"/>
    <w:rsid w:val="00CB1BBB"/>
    <w:rsid w:val="00CB1C2D"/>
    <w:rsid w:val="00CB1D40"/>
    <w:rsid w:val="00CB1DD1"/>
    <w:rsid w:val="00CB2304"/>
    <w:rsid w:val="00CB28E4"/>
    <w:rsid w:val="00CB3015"/>
    <w:rsid w:val="00CB336B"/>
    <w:rsid w:val="00CB3493"/>
    <w:rsid w:val="00CB35F4"/>
    <w:rsid w:val="00CB3891"/>
    <w:rsid w:val="00CB39A2"/>
    <w:rsid w:val="00CB3A56"/>
    <w:rsid w:val="00CB3BD8"/>
    <w:rsid w:val="00CB3ED6"/>
    <w:rsid w:val="00CB4027"/>
    <w:rsid w:val="00CB4038"/>
    <w:rsid w:val="00CB41AD"/>
    <w:rsid w:val="00CB437C"/>
    <w:rsid w:val="00CB48F1"/>
    <w:rsid w:val="00CB4BD0"/>
    <w:rsid w:val="00CB4DA1"/>
    <w:rsid w:val="00CB4FEA"/>
    <w:rsid w:val="00CB5031"/>
    <w:rsid w:val="00CB50D4"/>
    <w:rsid w:val="00CB510B"/>
    <w:rsid w:val="00CB51E5"/>
    <w:rsid w:val="00CB5360"/>
    <w:rsid w:val="00CB5455"/>
    <w:rsid w:val="00CB5AAE"/>
    <w:rsid w:val="00CB5B3D"/>
    <w:rsid w:val="00CB5D6E"/>
    <w:rsid w:val="00CB60B1"/>
    <w:rsid w:val="00CB6439"/>
    <w:rsid w:val="00CB6AFB"/>
    <w:rsid w:val="00CB6B48"/>
    <w:rsid w:val="00CB6EB1"/>
    <w:rsid w:val="00CB6F0E"/>
    <w:rsid w:val="00CB6F9A"/>
    <w:rsid w:val="00CB7418"/>
    <w:rsid w:val="00CB7CE2"/>
    <w:rsid w:val="00CC01E6"/>
    <w:rsid w:val="00CC0226"/>
    <w:rsid w:val="00CC0323"/>
    <w:rsid w:val="00CC089A"/>
    <w:rsid w:val="00CC0B3C"/>
    <w:rsid w:val="00CC0E74"/>
    <w:rsid w:val="00CC0EA8"/>
    <w:rsid w:val="00CC133B"/>
    <w:rsid w:val="00CC1668"/>
    <w:rsid w:val="00CC1B8E"/>
    <w:rsid w:val="00CC22A6"/>
    <w:rsid w:val="00CC234F"/>
    <w:rsid w:val="00CC23BC"/>
    <w:rsid w:val="00CC299A"/>
    <w:rsid w:val="00CC2D90"/>
    <w:rsid w:val="00CC3263"/>
    <w:rsid w:val="00CC32F5"/>
    <w:rsid w:val="00CC3600"/>
    <w:rsid w:val="00CC3628"/>
    <w:rsid w:val="00CC3741"/>
    <w:rsid w:val="00CC37CE"/>
    <w:rsid w:val="00CC3B9D"/>
    <w:rsid w:val="00CC41A9"/>
    <w:rsid w:val="00CC4402"/>
    <w:rsid w:val="00CC4AF4"/>
    <w:rsid w:val="00CC4D28"/>
    <w:rsid w:val="00CC526D"/>
    <w:rsid w:val="00CC541C"/>
    <w:rsid w:val="00CC58CB"/>
    <w:rsid w:val="00CC5D8C"/>
    <w:rsid w:val="00CC5FD0"/>
    <w:rsid w:val="00CC6677"/>
    <w:rsid w:val="00CC686E"/>
    <w:rsid w:val="00CC74F2"/>
    <w:rsid w:val="00CC7759"/>
    <w:rsid w:val="00CC79EF"/>
    <w:rsid w:val="00CC7D7B"/>
    <w:rsid w:val="00CD00FF"/>
    <w:rsid w:val="00CD028D"/>
    <w:rsid w:val="00CD0993"/>
    <w:rsid w:val="00CD0E19"/>
    <w:rsid w:val="00CD0E49"/>
    <w:rsid w:val="00CD10DE"/>
    <w:rsid w:val="00CD1119"/>
    <w:rsid w:val="00CD11A3"/>
    <w:rsid w:val="00CD151F"/>
    <w:rsid w:val="00CD15FB"/>
    <w:rsid w:val="00CD1B16"/>
    <w:rsid w:val="00CD1B47"/>
    <w:rsid w:val="00CD1CC3"/>
    <w:rsid w:val="00CD1EC9"/>
    <w:rsid w:val="00CD1FDA"/>
    <w:rsid w:val="00CD203B"/>
    <w:rsid w:val="00CD2102"/>
    <w:rsid w:val="00CD232A"/>
    <w:rsid w:val="00CD2635"/>
    <w:rsid w:val="00CD2C0D"/>
    <w:rsid w:val="00CD2CA2"/>
    <w:rsid w:val="00CD2D5D"/>
    <w:rsid w:val="00CD318B"/>
    <w:rsid w:val="00CD3715"/>
    <w:rsid w:val="00CD3892"/>
    <w:rsid w:val="00CD395B"/>
    <w:rsid w:val="00CD3D25"/>
    <w:rsid w:val="00CD3F6C"/>
    <w:rsid w:val="00CD4077"/>
    <w:rsid w:val="00CD4420"/>
    <w:rsid w:val="00CD44A6"/>
    <w:rsid w:val="00CD4706"/>
    <w:rsid w:val="00CD470E"/>
    <w:rsid w:val="00CD4969"/>
    <w:rsid w:val="00CD4FE8"/>
    <w:rsid w:val="00CD56FD"/>
    <w:rsid w:val="00CD5777"/>
    <w:rsid w:val="00CD580F"/>
    <w:rsid w:val="00CD5A0A"/>
    <w:rsid w:val="00CD602C"/>
    <w:rsid w:val="00CD61D5"/>
    <w:rsid w:val="00CD629D"/>
    <w:rsid w:val="00CD664D"/>
    <w:rsid w:val="00CD686A"/>
    <w:rsid w:val="00CD68BD"/>
    <w:rsid w:val="00CD690A"/>
    <w:rsid w:val="00CD691A"/>
    <w:rsid w:val="00CD6C67"/>
    <w:rsid w:val="00CD6D8D"/>
    <w:rsid w:val="00CD6DAD"/>
    <w:rsid w:val="00CD7706"/>
    <w:rsid w:val="00CD7992"/>
    <w:rsid w:val="00CD79DC"/>
    <w:rsid w:val="00CD7BE4"/>
    <w:rsid w:val="00CD7C66"/>
    <w:rsid w:val="00CD7F2B"/>
    <w:rsid w:val="00CE00DA"/>
    <w:rsid w:val="00CE0256"/>
    <w:rsid w:val="00CE0A48"/>
    <w:rsid w:val="00CE0A50"/>
    <w:rsid w:val="00CE0C0D"/>
    <w:rsid w:val="00CE0D50"/>
    <w:rsid w:val="00CE0DCD"/>
    <w:rsid w:val="00CE0E6E"/>
    <w:rsid w:val="00CE154A"/>
    <w:rsid w:val="00CE15C3"/>
    <w:rsid w:val="00CE195A"/>
    <w:rsid w:val="00CE1AA5"/>
    <w:rsid w:val="00CE1B42"/>
    <w:rsid w:val="00CE1FD4"/>
    <w:rsid w:val="00CE257C"/>
    <w:rsid w:val="00CE27FF"/>
    <w:rsid w:val="00CE2C16"/>
    <w:rsid w:val="00CE33A3"/>
    <w:rsid w:val="00CE34FC"/>
    <w:rsid w:val="00CE3813"/>
    <w:rsid w:val="00CE39A4"/>
    <w:rsid w:val="00CE3C4E"/>
    <w:rsid w:val="00CE3C52"/>
    <w:rsid w:val="00CE3E59"/>
    <w:rsid w:val="00CE3F38"/>
    <w:rsid w:val="00CE3FED"/>
    <w:rsid w:val="00CE4266"/>
    <w:rsid w:val="00CE42BE"/>
    <w:rsid w:val="00CE442C"/>
    <w:rsid w:val="00CE467C"/>
    <w:rsid w:val="00CE47CA"/>
    <w:rsid w:val="00CE4939"/>
    <w:rsid w:val="00CE4BA6"/>
    <w:rsid w:val="00CE4BBF"/>
    <w:rsid w:val="00CE4DFF"/>
    <w:rsid w:val="00CE4F22"/>
    <w:rsid w:val="00CE517B"/>
    <w:rsid w:val="00CE534D"/>
    <w:rsid w:val="00CE5493"/>
    <w:rsid w:val="00CE5573"/>
    <w:rsid w:val="00CE5683"/>
    <w:rsid w:val="00CE5894"/>
    <w:rsid w:val="00CE5EC4"/>
    <w:rsid w:val="00CE609E"/>
    <w:rsid w:val="00CE63D5"/>
    <w:rsid w:val="00CE645D"/>
    <w:rsid w:val="00CE6849"/>
    <w:rsid w:val="00CE6C2D"/>
    <w:rsid w:val="00CE6CDD"/>
    <w:rsid w:val="00CE6D7D"/>
    <w:rsid w:val="00CE6FB4"/>
    <w:rsid w:val="00CE7346"/>
    <w:rsid w:val="00CE74CF"/>
    <w:rsid w:val="00CE7A63"/>
    <w:rsid w:val="00CE7C78"/>
    <w:rsid w:val="00CE7E38"/>
    <w:rsid w:val="00CF077A"/>
    <w:rsid w:val="00CF0845"/>
    <w:rsid w:val="00CF08E8"/>
    <w:rsid w:val="00CF0EAB"/>
    <w:rsid w:val="00CF107E"/>
    <w:rsid w:val="00CF1151"/>
    <w:rsid w:val="00CF1367"/>
    <w:rsid w:val="00CF13B8"/>
    <w:rsid w:val="00CF14DD"/>
    <w:rsid w:val="00CF19CA"/>
    <w:rsid w:val="00CF1D4B"/>
    <w:rsid w:val="00CF1E72"/>
    <w:rsid w:val="00CF2004"/>
    <w:rsid w:val="00CF2080"/>
    <w:rsid w:val="00CF21A4"/>
    <w:rsid w:val="00CF22C9"/>
    <w:rsid w:val="00CF2439"/>
    <w:rsid w:val="00CF2638"/>
    <w:rsid w:val="00CF291C"/>
    <w:rsid w:val="00CF2ADF"/>
    <w:rsid w:val="00CF3534"/>
    <w:rsid w:val="00CF35C6"/>
    <w:rsid w:val="00CF3852"/>
    <w:rsid w:val="00CF3A85"/>
    <w:rsid w:val="00CF3AD3"/>
    <w:rsid w:val="00CF3D67"/>
    <w:rsid w:val="00CF3F7F"/>
    <w:rsid w:val="00CF45A4"/>
    <w:rsid w:val="00CF46DF"/>
    <w:rsid w:val="00CF4782"/>
    <w:rsid w:val="00CF50D6"/>
    <w:rsid w:val="00CF59C2"/>
    <w:rsid w:val="00CF5BE7"/>
    <w:rsid w:val="00CF5C02"/>
    <w:rsid w:val="00CF5C06"/>
    <w:rsid w:val="00CF5C2F"/>
    <w:rsid w:val="00CF5C6C"/>
    <w:rsid w:val="00CF5FA9"/>
    <w:rsid w:val="00CF60D4"/>
    <w:rsid w:val="00CF63BA"/>
    <w:rsid w:val="00CF641C"/>
    <w:rsid w:val="00CF68F4"/>
    <w:rsid w:val="00CF6AAE"/>
    <w:rsid w:val="00CF6ABD"/>
    <w:rsid w:val="00CF6B04"/>
    <w:rsid w:val="00CF7560"/>
    <w:rsid w:val="00CF78E9"/>
    <w:rsid w:val="00CF7991"/>
    <w:rsid w:val="00CF7B4F"/>
    <w:rsid w:val="00CF7C32"/>
    <w:rsid w:val="00CF7CD8"/>
    <w:rsid w:val="00D00142"/>
    <w:rsid w:val="00D002B9"/>
    <w:rsid w:val="00D00416"/>
    <w:rsid w:val="00D00890"/>
    <w:rsid w:val="00D008FD"/>
    <w:rsid w:val="00D00D26"/>
    <w:rsid w:val="00D015AC"/>
    <w:rsid w:val="00D018E0"/>
    <w:rsid w:val="00D01A58"/>
    <w:rsid w:val="00D01BE1"/>
    <w:rsid w:val="00D01CA2"/>
    <w:rsid w:val="00D01D01"/>
    <w:rsid w:val="00D01EDA"/>
    <w:rsid w:val="00D01F47"/>
    <w:rsid w:val="00D01F9A"/>
    <w:rsid w:val="00D022E9"/>
    <w:rsid w:val="00D02659"/>
    <w:rsid w:val="00D0280F"/>
    <w:rsid w:val="00D02A2C"/>
    <w:rsid w:val="00D0321E"/>
    <w:rsid w:val="00D03326"/>
    <w:rsid w:val="00D033A3"/>
    <w:rsid w:val="00D03BF8"/>
    <w:rsid w:val="00D0415F"/>
    <w:rsid w:val="00D041B5"/>
    <w:rsid w:val="00D042A1"/>
    <w:rsid w:val="00D0479C"/>
    <w:rsid w:val="00D04866"/>
    <w:rsid w:val="00D04BE4"/>
    <w:rsid w:val="00D04C82"/>
    <w:rsid w:val="00D04E0D"/>
    <w:rsid w:val="00D05278"/>
    <w:rsid w:val="00D05354"/>
    <w:rsid w:val="00D0560D"/>
    <w:rsid w:val="00D05A9B"/>
    <w:rsid w:val="00D05D7D"/>
    <w:rsid w:val="00D05EBC"/>
    <w:rsid w:val="00D05EE1"/>
    <w:rsid w:val="00D06156"/>
    <w:rsid w:val="00D0620D"/>
    <w:rsid w:val="00D06489"/>
    <w:rsid w:val="00D0687C"/>
    <w:rsid w:val="00D06965"/>
    <w:rsid w:val="00D06B8A"/>
    <w:rsid w:val="00D06BE7"/>
    <w:rsid w:val="00D06F6B"/>
    <w:rsid w:val="00D07241"/>
    <w:rsid w:val="00D07296"/>
    <w:rsid w:val="00D075B0"/>
    <w:rsid w:val="00D076D6"/>
    <w:rsid w:val="00D07783"/>
    <w:rsid w:val="00D078B4"/>
    <w:rsid w:val="00D079E8"/>
    <w:rsid w:val="00D07ACA"/>
    <w:rsid w:val="00D07D33"/>
    <w:rsid w:val="00D07DF3"/>
    <w:rsid w:val="00D07ECE"/>
    <w:rsid w:val="00D10368"/>
    <w:rsid w:val="00D10411"/>
    <w:rsid w:val="00D1041A"/>
    <w:rsid w:val="00D10558"/>
    <w:rsid w:val="00D105CD"/>
    <w:rsid w:val="00D1070B"/>
    <w:rsid w:val="00D10E96"/>
    <w:rsid w:val="00D11129"/>
    <w:rsid w:val="00D1129C"/>
    <w:rsid w:val="00D115E5"/>
    <w:rsid w:val="00D11682"/>
    <w:rsid w:val="00D116D1"/>
    <w:rsid w:val="00D1196E"/>
    <w:rsid w:val="00D119F2"/>
    <w:rsid w:val="00D11C03"/>
    <w:rsid w:val="00D12094"/>
    <w:rsid w:val="00D12287"/>
    <w:rsid w:val="00D12559"/>
    <w:rsid w:val="00D12BDD"/>
    <w:rsid w:val="00D12C26"/>
    <w:rsid w:val="00D12CC7"/>
    <w:rsid w:val="00D12DCB"/>
    <w:rsid w:val="00D12EDD"/>
    <w:rsid w:val="00D13936"/>
    <w:rsid w:val="00D1394E"/>
    <w:rsid w:val="00D13BE1"/>
    <w:rsid w:val="00D13DF1"/>
    <w:rsid w:val="00D13E1E"/>
    <w:rsid w:val="00D140A6"/>
    <w:rsid w:val="00D14E9E"/>
    <w:rsid w:val="00D14EBE"/>
    <w:rsid w:val="00D14F4E"/>
    <w:rsid w:val="00D150AB"/>
    <w:rsid w:val="00D153EF"/>
    <w:rsid w:val="00D15441"/>
    <w:rsid w:val="00D1548E"/>
    <w:rsid w:val="00D1587D"/>
    <w:rsid w:val="00D1594D"/>
    <w:rsid w:val="00D15BA8"/>
    <w:rsid w:val="00D15D7E"/>
    <w:rsid w:val="00D15E5A"/>
    <w:rsid w:val="00D15F68"/>
    <w:rsid w:val="00D15FCB"/>
    <w:rsid w:val="00D16164"/>
    <w:rsid w:val="00D161FD"/>
    <w:rsid w:val="00D16249"/>
    <w:rsid w:val="00D16358"/>
    <w:rsid w:val="00D169A8"/>
    <w:rsid w:val="00D16E9B"/>
    <w:rsid w:val="00D1707F"/>
    <w:rsid w:val="00D171FF"/>
    <w:rsid w:val="00D17313"/>
    <w:rsid w:val="00D17333"/>
    <w:rsid w:val="00D17506"/>
    <w:rsid w:val="00D175C8"/>
    <w:rsid w:val="00D17AA0"/>
    <w:rsid w:val="00D17F7C"/>
    <w:rsid w:val="00D20103"/>
    <w:rsid w:val="00D2033C"/>
    <w:rsid w:val="00D2043D"/>
    <w:rsid w:val="00D206C7"/>
    <w:rsid w:val="00D207C4"/>
    <w:rsid w:val="00D20899"/>
    <w:rsid w:val="00D20C14"/>
    <w:rsid w:val="00D20DD8"/>
    <w:rsid w:val="00D20FBA"/>
    <w:rsid w:val="00D2149F"/>
    <w:rsid w:val="00D2150E"/>
    <w:rsid w:val="00D215BA"/>
    <w:rsid w:val="00D21A3A"/>
    <w:rsid w:val="00D21C32"/>
    <w:rsid w:val="00D21DDC"/>
    <w:rsid w:val="00D21FCB"/>
    <w:rsid w:val="00D223A8"/>
    <w:rsid w:val="00D223FB"/>
    <w:rsid w:val="00D22598"/>
    <w:rsid w:val="00D2296F"/>
    <w:rsid w:val="00D22B1C"/>
    <w:rsid w:val="00D22BDA"/>
    <w:rsid w:val="00D22C18"/>
    <w:rsid w:val="00D22DE1"/>
    <w:rsid w:val="00D22E8F"/>
    <w:rsid w:val="00D233F1"/>
    <w:rsid w:val="00D23A49"/>
    <w:rsid w:val="00D23EBD"/>
    <w:rsid w:val="00D23F7B"/>
    <w:rsid w:val="00D24007"/>
    <w:rsid w:val="00D240B9"/>
    <w:rsid w:val="00D246E1"/>
    <w:rsid w:val="00D24972"/>
    <w:rsid w:val="00D24995"/>
    <w:rsid w:val="00D249D8"/>
    <w:rsid w:val="00D24A38"/>
    <w:rsid w:val="00D24C28"/>
    <w:rsid w:val="00D2528A"/>
    <w:rsid w:val="00D25644"/>
    <w:rsid w:val="00D25782"/>
    <w:rsid w:val="00D25A44"/>
    <w:rsid w:val="00D25B9E"/>
    <w:rsid w:val="00D2600F"/>
    <w:rsid w:val="00D26054"/>
    <w:rsid w:val="00D260C1"/>
    <w:rsid w:val="00D26130"/>
    <w:rsid w:val="00D2628A"/>
    <w:rsid w:val="00D26469"/>
    <w:rsid w:val="00D26567"/>
    <w:rsid w:val="00D26A51"/>
    <w:rsid w:val="00D26B4D"/>
    <w:rsid w:val="00D26B7E"/>
    <w:rsid w:val="00D26F1B"/>
    <w:rsid w:val="00D270DE"/>
    <w:rsid w:val="00D27347"/>
    <w:rsid w:val="00D274F2"/>
    <w:rsid w:val="00D27753"/>
    <w:rsid w:val="00D27863"/>
    <w:rsid w:val="00D27BCB"/>
    <w:rsid w:val="00D30030"/>
    <w:rsid w:val="00D3048D"/>
    <w:rsid w:val="00D3050F"/>
    <w:rsid w:val="00D305FB"/>
    <w:rsid w:val="00D3082C"/>
    <w:rsid w:val="00D309A3"/>
    <w:rsid w:val="00D30F1D"/>
    <w:rsid w:val="00D31451"/>
    <w:rsid w:val="00D31ACF"/>
    <w:rsid w:val="00D31CCF"/>
    <w:rsid w:val="00D31E45"/>
    <w:rsid w:val="00D321BF"/>
    <w:rsid w:val="00D32243"/>
    <w:rsid w:val="00D32293"/>
    <w:rsid w:val="00D32B9B"/>
    <w:rsid w:val="00D32EFE"/>
    <w:rsid w:val="00D3300C"/>
    <w:rsid w:val="00D33105"/>
    <w:rsid w:val="00D332F3"/>
    <w:rsid w:val="00D3339E"/>
    <w:rsid w:val="00D336C0"/>
    <w:rsid w:val="00D336DE"/>
    <w:rsid w:val="00D337EF"/>
    <w:rsid w:val="00D33CF9"/>
    <w:rsid w:val="00D33D55"/>
    <w:rsid w:val="00D33EB4"/>
    <w:rsid w:val="00D33FFA"/>
    <w:rsid w:val="00D34021"/>
    <w:rsid w:val="00D340CC"/>
    <w:rsid w:val="00D34292"/>
    <w:rsid w:val="00D34428"/>
    <w:rsid w:val="00D3454E"/>
    <w:rsid w:val="00D34597"/>
    <w:rsid w:val="00D3497A"/>
    <w:rsid w:val="00D34A02"/>
    <w:rsid w:val="00D34DE3"/>
    <w:rsid w:val="00D35243"/>
    <w:rsid w:val="00D352FE"/>
    <w:rsid w:val="00D354D8"/>
    <w:rsid w:val="00D356A8"/>
    <w:rsid w:val="00D358F1"/>
    <w:rsid w:val="00D35C51"/>
    <w:rsid w:val="00D3603D"/>
    <w:rsid w:val="00D363C0"/>
    <w:rsid w:val="00D36473"/>
    <w:rsid w:val="00D36502"/>
    <w:rsid w:val="00D36714"/>
    <w:rsid w:val="00D36AA2"/>
    <w:rsid w:val="00D36E81"/>
    <w:rsid w:val="00D371CA"/>
    <w:rsid w:val="00D376E0"/>
    <w:rsid w:val="00D37D16"/>
    <w:rsid w:val="00D37D31"/>
    <w:rsid w:val="00D37DFA"/>
    <w:rsid w:val="00D4043B"/>
    <w:rsid w:val="00D40C15"/>
    <w:rsid w:val="00D417BB"/>
    <w:rsid w:val="00D417FB"/>
    <w:rsid w:val="00D41A3A"/>
    <w:rsid w:val="00D41ECF"/>
    <w:rsid w:val="00D42167"/>
    <w:rsid w:val="00D42185"/>
    <w:rsid w:val="00D42292"/>
    <w:rsid w:val="00D42667"/>
    <w:rsid w:val="00D42B7F"/>
    <w:rsid w:val="00D42C40"/>
    <w:rsid w:val="00D43142"/>
    <w:rsid w:val="00D431AC"/>
    <w:rsid w:val="00D433CA"/>
    <w:rsid w:val="00D4352A"/>
    <w:rsid w:val="00D4357C"/>
    <w:rsid w:val="00D435C0"/>
    <w:rsid w:val="00D43760"/>
    <w:rsid w:val="00D43763"/>
    <w:rsid w:val="00D438BC"/>
    <w:rsid w:val="00D43C8C"/>
    <w:rsid w:val="00D43E06"/>
    <w:rsid w:val="00D43EB5"/>
    <w:rsid w:val="00D446EA"/>
    <w:rsid w:val="00D4497E"/>
    <w:rsid w:val="00D45597"/>
    <w:rsid w:val="00D45771"/>
    <w:rsid w:val="00D45979"/>
    <w:rsid w:val="00D45D79"/>
    <w:rsid w:val="00D46174"/>
    <w:rsid w:val="00D465D5"/>
    <w:rsid w:val="00D4680E"/>
    <w:rsid w:val="00D4693F"/>
    <w:rsid w:val="00D46F67"/>
    <w:rsid w:val="00D470BD"/>
    <w:rsid w:val="00D471C5"/>
    <w:rsid w:val="00D471CC"/>
    <w:rsid w:val="00D472D7"/>
    <w:rsid w:val="00D47388"/>
    <w:rsid w:val="00D475FD"/>
    <w:rsid w:val="00D47792"/>
    <w:rsid w:val="00D47AE0"/>
    <w:rsid w:val="00D47E82"/>
    <w:rsid w:val="00D50475"/>
    <w:rsid w:val="00D504F0"/>
    <w:rsid w:val="00D50649"/>
    <w:rsid w:val="00D50933"/>
    <w:rsid w:val="00D50C79"/>
    <w:rsid w:val="00D50D0B"/>
    <w:rsid w:val="00D51554"/>
    <w:rsid w:val="00D5168D"/>
    <w:rsid w:val="00D51696"/>
    <w:rsid w:val="00D51704"/>
    <w:rsid w:val="00D5176F"/>
    <w:rsid w:val="00D51823"/>
    <w:rsid w:val="00D5183C"/>
    <w:rsid w:val="00D51F34"/>
    <w:rsid w:val="00D51FDE"/>
    <w:rsid w:val="00D5215E"/>
    <w:rsid w:val="00D52374"/>
    <w:rsid w:val="00D52543"/>
    <w:rsid w:val="00D5263E"/>
    <w:rsid w:val="00D5279E"/>
    <w:rsid w:val="00D528AC"/>
    <w:rsid w:val="00D52D50"/>
    <w:rsid w:val="00D52D76"/>
    <w:rsid w:val="00D52FA5"/>
    <w:rsid w:val="00D53415"/>
    <w:rsid w:val="00D535FB"/>
    <w:rsid w:val="00D53997"/>
    <w:rsid w:val="00D53AE0"/>
    <w:rsid w:val="00D53B1D"/>
    <w:rsid w:val="00D53D69"/>
    <w:rsid w:val="00D53E71"/>
    <w:rsid w:val="00D54131"/>
    <w:rsid w:val="00D54516"/>
    <w:rsid w:val="00D54534"/>
    <w:rsid w:val="00D54716"/>
    <w:rsid w:val="00D54AFE"/>
    <w:rsid w:val="00D54EC5"/>
    <w:rsid w:val="00D5518F"/>
    <w:rsid w:val="00D5535E"/>
    <w:rsid w:val="00D553BE"/>
    <w:rsid w:val="00D557C7"/>
    <w:rsid w:val="00D55BCE"/>
    <w:rsid w:val="00D56136"/>
    <w:rsid w:val="00D5629C"/>
    <w:rsid w:val="00D56428"/>
    <w:rsid w:val="00D56482"/>
    <w:rsid w:val="00D5690B"/>
    <w:rsid w:val="00D56CA2"/>
    <w:rsid w:val="00D56CED"/>
    <w:rsid w:val="00D57040"/>
    <w:rsid w:val="00D57456"/>
    <w:rsid w:val="00D57605"/>
    <w:rsid w:val="00D57672"/>
    <w:rsid w:val="00D5770E"/>
    <w:rsid w:val="00D57823"/>
    <w:rsid w:val="00D57C51"/>
    <w:rsid w:val="00D57E42"/>
    <w:rsid w:val="00D57F88"/>
    <w:rsid w:val="00D602C4"/>
    <w:rsid w:val="00D6088C"/>
    <w:rsid w:val="00D60B2B"/>
    <w:rsid w:val="00D60F85"/>
    <w:rsid w:val="00D611E1"/>
    <w:rsid w:val="00D6165F"/>
    <w:rsid w:val="00D618CF"/>
    <w:rsid w:val="00D6197D"/>
    <w:rsid w:val="00D61D74"/>
    <w:rsid w:val="00D622B4"/>
    <w:rsid w:val="00D6252F"/>
    <w:rsid w:val="00D627A9"/>
    <w:rsid w:val="00D629CF"/>
    <w:rsid w:val="00D62B07"/>
    <w:rsid w:val="00D62D2B"/>
    <w:rsid w:val="00D630F4"/>
    <w:rsid w:val="00D634EB"/>
    <w:rsid w:val="00D636C4"/>
    <w:rsid w:val="00D6396D"/>
    <w:rsid w:val="00D639D7"/>
    <w:rsid w:val="00D643A8"/>
    <w:rsid w:val="00D64B67"/>
    <w:rsid w:val="00D64C82"/>
    <w:rsid w:val="00D64E9E"/>
    <w:rsid w:val="00D656A2"/>
    <w:rsid w:val="00D6571D"/>
    <w:rsid w:val="00D659AD"/>
    <w:rsid w:val="00D65C2F"/>
    <w:rsid w:val="00D65FC8"/>
    <w:rsid w:val="00D66428"/>
    <w:rsid w:val="00D66815"/>
    <w:rsid w:val="00D66C77"/>
    <w:rsid w:val="00D66D4E"/>
    <w:rsid w:val="00D67B52"/>
    <w:rsid w:val="00D67C8C"/>
    <w:rsid w:val="00D67D73"/>
    <w:rsid w:val="00D7085D"/>
    <w:rsid w:val="00D70C8E"/>
    <w:rsid w:val="00D70F28"/>
    <w:rsid w:val="00D7121D"/>
    <w:rsid w:val="00D713BB"/>
    <w:rsid w:val="00D714EE"/>
    <w:rsid w:val="00D71575"/>
    <w:rsid w:val="00D7165A"/>
    <w:rsid w:val="00D7195F"/>
    <w:rsid w:val="00D71B0F"/>
    <w:rsid w:val="00D71F06"/>
    <w:rsid w:val="00D721DB"/>
    <w:rsid w:val="00D72532"/>
    <w:rsid w:val="00D7287B"/>
    <w:rsid w:val="00D72B22"/>
    <w:rsid w:val="00D72F6F"/>
    <w:rsid w:val="00D73305"/>
    <w:rsid w:val="00D73379"/>
    <w:rsid w:val="00D73540"/>
    <w:rsid w:val="00D73803"/>
    <w:rsid w:val="00D73B5D"/>
    <w:rsid w:val="00D73DA2"/>
    <w:rsid w:val="00D73E5C"/>
    <w:rsid w:val="00D73FD7"/>
    <w:rsid w:val="00D741A7"/>
    <w:rsid w:val="00D741F5"/>
    <w:rsid w:val="00D74277"/>
    <w:rsid w:val="00D74683"/>
    <w:rsid w:val="00D74856"/>
    <w:rsid w:val="00D751F8"/>
    <w:rsid w:val="00D7552A"/>
    <w:rsid w:val="00D75668"/>
    <w:rsid w:val="00D75916"/>
    <w:rsid w:val="00D75AD9"/>
    <w:rsid w:val="00D75F51"/>
    <w:rsid w:val="00D762DF"/>
    <w:rsid w:val="00D76388"/>
    <w:rsid w:val="00D7646C"/>
    <w:rsid w:val="00D76538"/>
    <w:rsid w:val="00D76C1F"/>
    <w:rsid w:val="00D76CEA"/>
    <w:rsid w:val="00D77098"/>
    <w:rsid w:val="00D77122"/>
    <w:rsid w:val="00D771D9"/>
    <w:rsid w:val="00D77321"/>
    <w:rsid w:val="00D77AC5"/>
    <w:rsid w:val="00D80225"/>
    <w:rsid w:val="00D8023C"/>
    <w:rsid w:val="00D80A2C"/>
    <w:rsid w:val="00D80C0B"/>
    <w:rsid w:val="00D80ED5"/>
    <w:rsid w:val="00D81080"/>
    <w:rsid w:val="00D811AC"/>
    <w:rsid w:val="00D812E4"/>
    <w:rsid w:val="00D81443"/>
    <w:rsid w:val="00D8144B"/>
    <w:rsid w:val="00D8191B"/>
    <w:rsid w:val="00D8194D"/>
    <w:rsid w:val="00D81B7C"/>
    <w:rsid w:val="00D821BE"/>
    <w:rsid w:val="00D82542"/>
    <w:rsid w:val="00D828E8"/>
    <w:rsid w:val="00D82B4A"/>
    <w:rsid w:val="00D83405"/>
    <w:rsid w:val="00D8347F"/>
    <w:rsid w:val="00D8353C"/>
    <w:rsid w:val="00D836C7"/>
    <w:rsid w:val="00D8377A"/>
    <w:rsid w:val="00D83878"/>
    <w:rsid w:val="00D83C16"/>
    <w:rsid w:val="00D841FC"/>
    <w:rsid w:val="00D8435A"/>
    <w:rsid w:val="00D84420"/>
    <w:rsid w:val="00D844B3"/>
    <w:rsid w:val="00D848CC"/>
    <w:rsid w:val="00D84ADA"/>
    <w:rsid w:val="00D84E5F"/>
    <w:rsid w:val="00D857FB"/>
    <w:rsid w:val="00D8590A"/>
    <w:rsid w:val="00D85A06"/>
    <w:rsid w:val="00D85F8D"/>
    <w:rsid w:val="00D8638E"/>
    <w:rsid w:val="00D864AB"/>
    <w:rsid w:val="00D866E7"/>
    <w:rsid w:val="00D867A4"/>
    <w:rsid w:val="00D8682F"/>
    <w:rsid w:val="00D869E1"/>
    <w:rsid w:val="00D86CEF"/>
    <w:rsid w:val="00D86EF7"/>
    <w:rsid w:val="00D86F69"/>
    <w:rsid w:val="00D871E5"/>
    <w:rsid w:val="00D87519"/>
    <w:rsid w:val="00D87C86"/>
    <w:rsid w:val="00D87C9F"/>
    <w:rsid w:val="00D87D0E"/>
    <w:rsid w:val="00D9002E"/>
    <w:rsid w:val="00D909E5"/>
    <w:rsid w:val="00D90E3B"/>
    <w:rsid w:val="00D9114F"/>
    <w:rsid w:val="00D9138E"/>
    <w:rsid w:val="00D91462"/>
    <w:rsid w:val="00D914E2"/>
    <w:rsid w:val="00D91B9A"/>
    <w:rsid w:val="00D91D0C"/>
    <w:rsid w:val="00D91EB1"/>
    <w:rsid w:val="00D9233B"/>
    <w:rsid w:val="00D924BC"/>
    <w:rsid w:val="00D92A5C"/>
    <w:rsid w:val="00D92E00"/>
    <w:rsid w:val="00D93077"/>
    <w:rsid w:val="00D93106"/>
    <w:rsid w:val="00D934F9"/>
    <w:rsid w:val="00D9351A"/>
    <w:rsid w:val="00D9383B"/>
    <w:rsid w:val="00D938BA"/>
    <w:rsid w:val="00D9399B"/>
    <w:rsid w:val="00D93AFB"/>
    <w:rsid w:val="00D93C9C"/>
    <w:rsid w:val="00D93CA1"/>
    <w:rsid w:val="00D93D43"/>
    <w:rsid w:val="00D94122"/>
    <w:rsid w:val="00D9426B"/>
    <w:rsid w:val="00D942C8"/>
    <w:rsid w:val="00D94C3C"/>
    <w:rsid w:val="00D94E46"/>
    <w:rsid w:val="00D94F8E"/>
    <w:rsid w:val="00D94FF2"/>
    <w:rsid w:val="00D95169"/>
    <w:rsid w:val="00D951DA"/>
    <w:rsid w:val="00D9539F"/>
    <w:rsid w:val="00D953FD"/>
    <w:rsid w:val="00D9569B"/>
    <w:rsid w:val="00D9577E"/>
    <w:rsid w:val="00D95832"/>
    <w:rsid w:val="00D958F6"/>
    <w:rsid w:val="00D95913"/>
    <w:rsid w:val="00D959EB"/>
    <w:rsid w:val="00D95CC0"/>
    <w:rsid w:val="00D95DA1"/>
    <w:rsid w:val="00D95DCD"/>
    <w:rsid w:val="00D96251"/>
    <w:rsid w:val="00D9641D"/>
    <w:rsid w:val="00D96508"/>
    <w:rsid w:val="00D966C3"/>
    <w:rsid w:val="00D96F6B"/>
    <w:rsid w:val="00D974EA"/>
    <w:rsid w:val="00D97689"/>
    <w:rsid w:val="00D97961"/>
    <w:rsid w:val="00D97998"/>
    <w:rsid w:val="00D97AB9"/>
    <w:rsid w:val="00D97BDD"/>
    <w:rsid w:val="00D97DD7"/>
    <w:rsid w:val="00DA01FC"/>
    <w:rsid w:val="00DA07F8"/>
    <w:rsid w:val="00DA092F"/>
    <w:rsid w:val="00DA0AD3"/>
    <w:rsid w:val="00DA0FE5"/>
    <w:rsid w:val="00DA11C7"/>
    <w:rsid w:val="00DA1335"/>
    <w:rsid w:val="00DA1637"/>
    <w:rsid w:val="00DA1666"/>
    <w:rsid w:val="00DA16B1"/>
    <w:rsid w:val="00DA1734"/>
    <w:rsid w:val="00DA17FA"/>
    <w:rsid w:val="00DA1D8B"/>
    <w:rsid w:val="00DA2246"/>
    <w:rsid w:val="00DA225B"/>
    <w:rsid w:val="00DA24DE"/>
    <w:rsid w:val="00DA2607"/>
    <w:rsid w:val="00DA2641"/>
    <w:rsid w:val="00DA2C6E"/>
    <w:rsid w:val="00DA2D26"/>
    <w:rsid w:val="00DA2D3B"/>
    <w:rsid w:val="00DA30B8"/>
    <w:rsid w:val="00DA3290"/>
    <w:rsid w:val="00DA32A0"/>
    <w:rsid w:val="00DA32CC"/>
    <w:rsid w:val="00DA33D1"/>
    <w:rsid w:val="00DA3D8C"/>
    <w:rsid w:val="00DA3DD7"/>
    <w:rsid w:val="00DA3E76"/>
    <w:rsid w:val="00DA45AE"/>
    <w:rsid w:val="00DA462F"/>
    <w:rsid w:val="00DA4AA2"/>
    <w:rsid w:val="00DA4CF7"/>
    <w:rsid w:val="00DA4EC5"/>
    <w:rsid w:val="00DA5002"/>
    <w:rsid w:val="00DA50FC"/>
    <w:rsid w:val="00DA52E3"/>
    <w:rsid w:val="00DA538A"/>
    <w:rsid w:val="00DA572F"/>
    <w:rsid w:val="00DA5798"/>
    <w:rsid w:val="00DA5FFD"/>
    <w:rsid w:val="00DA6160"/>
    <w:rsid w:val="00DA667B"/>
    <w:rsid w:val="00DA6AEE"/>
    <w:rsid w:val="00DA71D6"/>
    <w:rsid w:val="00DB0028"/>
    <w:rsid w:val="00DB00B0"/>
    <w:rsid w:val="00DB0257"/>
    <w:rsid w:val="00DB05E7"/>
    <w:rsid w:val="00DB0652"/>
    <w:rsid w:val="00DB074D"/>
    <w:rsid w:val="00DB096E"/>
    <w:rsid w:val="00DB0E76"/>
    <w:rsid w:val="00DB1257"/>
    <w:rsid w:val="00DB1730"/>
    <w:rsid w:val="00DB1734"/>
    <w:rsid w:val="00DB191D"/>
    <w:rsid w:val="00DB203F"/>
    <w:rsid w:val="00DB21C0"/>
    <w:rsid w:val="00DB28F0"/>
    <w:rsid w:val="00DB291E"/>
    <w:rsid w:val="00DB2DF4"/>
    <w:rsid w:val="00DB325E"/>
    <w:rsid w:val="00DB36CA"/>
    <w:rsid w:val="00DB37E6"/>
    <w:rsid w:val="00DB3A15"/>
    <w:rsid w:val="00DB4112"/>
    <w:rsid w:val="00DB445C"/>
    <w:rsid w:val="00DB44FC"/>
    <w:rsid w:val="00DB47AE"/>
    <w:rsid w:val="00DB4904"/>
    <w:rsid w:val="00DB4933"/>
    <w:rsid w:val="00DB4AB0"/>
    <w:rsid w:val="00DB4C0B"/>
    <w:rsid w:val="00DB4F77"/>
    <w:rsid w:val="00DB58AB"/>
    <w:rsid w:val="00DB59F8"/>
    <w:rsid w:val="00DB6211"/>
    <w:rsid w:val="00DB641B"/>
    <w:rsid w:val="00DB666D"/>
    <w:rsid w:val="00DB675E"/>
    <w:rsid w:val="00DB6942"/>
    <w:rsid w:val="00DB6F10"/>
    <w:rsid w:val="00DB721B"/>
    <w:rsid w:val="00DB7322"/>
    <w:rsid w:val="00DB73AD"/>
    <w:rsid w:val="00DB77F5"/>
    <w:rsid w:val="00DB7823"/>
    <w:rsid w:val="00DB7873"/>
    <w:rsid w:val="00DB7E60"/>
    <w:rsid w:val="00DC000B"/>
    <w:rsid w:val="00DC001B"/>
    <w:rsid w:val="00DC02D4"/>
    <w:rsid w:val="00DC043E"/>
    <w:rsid w:val="00DC0583"/>
    <w:rsid w:val="00DC0605"/>
    <w:rsid w:val="00DC0947"/>
    <w:rsid w:val="00DC11EB"/>
    <w:rsid w:val="00DC127F"/>
    <w:rsid w:val="00DC133A"/>
    <w:rsid w:val="00DC13DC"/>
    <w:rsid w:val="00DC13F7"/>
    <w:rsid w:val="00DC1450"/>
    <w:rsid w:val="00DC1464"/>
    <w:rsid w:val="00DC1585"/>
    <w:rsid w:val="00DC16A4"/>
    <w:rsid w:val="00DC1840"/>
    <w:rsid w:val="00DC19ED"/>
    <w:rsid w:val="00DC1B1C"/>
    <w:rsid w:val="00DC1CBE"/>
    <w:rsid w:val="00DC1D96"/>
    <w:rsid w:val="00DC1E4B"/>
    <w:rsid w:val="00DC21EC"/>
    <w:rsid w:val="00DC23EE"/>
    <w:rsid w:val="00DC2A02"/>
    <w:rsid w:val="00DC2A7B"/>
    <w:rsid w:val="00DC2A8A"/>
    <w:rsid w:val="00DC2AA5"/>
    <w:rsid w:val="00DC33C7"/>
    <w:rsid w:val="00DC350C"/>
    <w:rsid w:val="00DC3697"/>
    <w:rsid w:val="00DC393F"/>
    <w:rsid w:val="00DC3A49"/>
    <w:rsid w:val="00DC3BBA"/>
    <w:rsid w:val="00DC404D"/>
    <w:rsid w:val="00DC4072"/>
    <w:rsid w:val="00DC4509"/>
    <w:rsid w:val="00DC462D"/>
    <w:rsid w:val="00DC4879"/>
    <w:rsid w:val="00DC487B"/>
    <w:rsid w:val="00DC4923"/>
    <w:rsid w:val="00DC4B39"/>
    <w:rsid w:val="00DC4C5C"/>
    <w:rsid w:val="00DC4D4F"/>
    <w:rsid w:val="00DC4D85"/>
    <w:rsid w:val="00DC4DE3"/>
    <w:rsid w:val="00DC599E"/>
    <w:rsid w:val="00DC5B06"/>
    <w:rsid w:val="00DC5D52"/>
    <w:rsid w:val="00DC60BA"/>
    <w:rsid w:val="00DC6545"/>
    <w:rsid w:val="00DC669F"/>
    <w:rsid w:val="00DC670C"/>
    <w:rsid w:val="00DC6A7B"/>
    <w:rsid w:val="00DC6C30"/>
    <w:rsid w:val="00DC734A"/>
    <w:rsid w:val="00DC73D9"/>
    <w:rsid w:val="00DC73F6"/>
    <w:rsid w:val="00DC73FF"/>
    <w:rsid w:val="00DC759F"/>
    <w:rsid w:val="00DC760C"/>
    <w:rsid w:val="00DC771C"/>
    <w:rsid w:val="00DC7E4F"/>
    <w:rsid w:val="00DD05AD"/>
    <w:rsid w:val="00DD0663"/>
    <w:rsid w:val="00DD0686"/>
    <w:rsid w:val="00DD0BC2"/>
    <w:rsid w:val="00DD0C36"/>
    <w:rsid w:val="00DD15D6"/>
    <w:rsid w:val="00DD16EB"/>
    <w:rsid w:val="00DD17D9"/>
    <w:rsid w:val="00DD1E56"/>
    <w:rsid w:val="00DD1F79"/>
    <w:rsid w:val="00DD2398"/>
    <w:rsid w:val="00DD26D7"/>
    <w:rsid w:val="00DD272C"/>
    <w:rsid w:val="00DD2771"/>
    <w:rsid w:val="00DD2884"/>
    <w:rsid w:val="00DD299B"/>
    <w:rsid w:val="00DD30B3"/>
    <w:rsid w:val="00DD31BE"/>
    <w:rsid w:val="00DD31CF"/>
    <w:rsid w:val="00DD3593"/>
    <w:rsid w:val="00DD35ED"/>
    <w:rsid w:val="00DD41F3"/>
    <w:rsid w:val="00DD4869"/>
    <w:rsid w:val="00DD4A7C"/>
    <w:rsid w:val="00DD4AC5"/>
    <w:rsid w:val="00DD4D3A"/>
    <w:rsid w:val="00DD510E"/>
    <w:rsid w:val="00DD52BD"/>
    <w:rsid w:val="00DD53D9"/>
    <w:rsid w:val="00DD579B"/>
    <w:rsid w:val="00DD5B7B"/>
    <w:rsid w:val="00DD6017"/>
    <w:rsid w:val="00DD6039"/>
    <w:rsid w:val="00DD6628"/>
    <w:rsid w:val="00DD663A"/>
    <w:rsid w:val="00DD6867"/>
    <w:rsid w:val="00DD68D0"/>
    <w:rsid w:val="00DD6D80"/>
    <w:rsid w:val="00DD7337"/>
    <w:rsid w:val="00DD773D"/>
    <w:rsid w:val="00DD78AF"/>
    <w:rsid w:val="00DD7918"/>
    <w:rsid w:val="00DE0038"/>
    <w:rsid w:val="00DE03AF"/>
    <w:rsid w:val="00DE0535"/>
    <w:rsid w:val="00DE095B"/>
    <w:rsid w:val="00DE096B"/>
    <w:rsid w:val="00DE0D51"/>
    <w:rsid w:val="00DE15FA"/>
    <w:rsid w:val="00DE1AFD"/>
    <w:rsid w:val="00DE1B88"/>
    <w:rsid w:val="00DE1DA7"/>
    <w:rsid w:val="00DE1F6F"/>
    <w:rsid w:val="00DE21DA"/>
    <w:rsid w:val="00DE231A"/>
    <w:rsid w:val="00DE23A5"/>
    <w:rsid w:val="00DE279D"/>
    <w:rsid w:val="00DE293D"/>
    <w:rsid w:val="00DE2A9A"/>
    <w:rsid w:val="00DE2DA6"/>
    <w:rsid w:val="00DE2FCF"/>
    <w:rsid w:val="00DE3015"/>
    <w:rsid w:val="00DE32A1"/>
    <w:rsid w:val="00DE3334"/>
    <w:rsid w:val="00DE36E2"/>
    <w:rsid w:val="00DE3761"/>
    <w:rsid w:val="00DE3BC5"/>
    <w:rsid w:val="00DE3CD4"/>
    <w:rsid w:val="00DE3E00"/>
    <w:rsid w:val="00DE42FD"/>
    <w:rsid w:val="00DE4538"/>
    <w:rsid w:val="00DE4B56"/>
    <w:rsid w:val="00DE52D9"/>
    <w:rsid w:val="00DE54C3"/>
    <w:rsid w:val="00DE58E1"/>
    <w:rsid w:val="00DE5AB1"/>
    <w:rsid w:val="00DE5E32"/>
    <w:rsid w:val="00DE6B42"/>
    <w:rsid w:val="00DE6C78"/>
    <w:rsid w:val="00DE7049"/>
    <w:rsid w:val="00DE723C"/>
    <w:rsid w:val="00DE7595"/>
    <w:rsid w:val="00DE76F7"/>
    <w:rsid w:val="00DE7880"/>
    <w:rsid w:val="00DE78F3"/>
    <w:rsid w:val="00DE79AA"/>
    <w:rsid w:val="00DE7C40"/>
    <w:rsid w:val="00DE7E82"/>
    <w:rsid w:val="00DE7E8D"/>
    <w:rsid w:val="00DF00F8"/>
    <w:rsid w:val="00DF05AD"/>
    <w:rsid w:val="00DF05F9"/>
    <w:rsid w:val="00DF0A23"/>
    <w:rsid w:val="00DF0B1A"/>
    <w:rsid w:val="00DF0CC6"/>
    <w:rsid w:val="00DF1293"/>
    <w:rsid w:val="00DF12BF"/>
    <w:rsid w:val="00DF14F7"/>
    <w:rsid w:val="00DF172F"/>
    <w:rsid w:val="00DF180F"/>
    <w:rsid w:val="00DF1C08"/>
    <w:rsid w:val="00DF1D14"/>
    <w:rsid w:val="00DF1E65"/>
    <w:rsid w:val="00DF209C"/>
    <w:rsid w:val="00DF236F"/>
    <w:rsid w:val="00DF2565"/>
    <w:rsid w:val="00DF2BEC"/>
    <w:rsid w:val="00DF2D92"/>
    <w:rsid w:val="00DF36FC"/>
    <w:rsid w:val="00DF3D5D"/>
    <w:rsid w:val="00DF3DC3"/>
    <w:rsid w:val="00DF3FFD"/>
    <w:rsid w:val="00DF44AA"/>
    <w:rsid w:val="00DF4567"/>
    <w:rsid w:val="00DF467A"/>
    <w:rsid w:val="00DF49F6"/>
    <w:rsid w:val="00DF4B8E"/>
    <w:rsid w:val="00DF4B9D"/>
    <w:rsid w:val="00DF4D32"/>
    <w:rsid w:val="00DF4D6C"/>
    <w:rsid w:val="00DF5090"/>
    <w:rsid w:val="00DF52AC"/>
    <w:rsid w:val="00DF5549"/>
    <w:rsid w:val="00DF59A8"/>
    <w:rsid w:val="00DF5D10"/>
    <w:rsid w:val="00DF5DE5"/>
    <w:rsid w:val="00DF600F"/>
    <w:rsid w:val="00DF6232"/>
    <w:rsid w:val="00DF6521"/>
    <w:rsid w:val="00DF6764"/>
    <w:rsid w:val="00DF73BB"/>
    <w:rsid w:val="00DF73BC"/>
    <w:rsid w:val="00DF743D"/>
    <w:rsid w:val="00DF7550"/>
    <w:rsid w:val="00DF75AE"/>
    <w:rsid w:val="00DF7608"/>
    <w:rsid w:val="00DF776D"/>
    <w:rsid w:val="00DF7C68"/>
    <w:rsid w:val="00DF7CA6"/>
    <w:rsid w:val="00E005E8"/>
    <w:rsid w:val="00E0070B"/>
    <w:rsid w:val="00E00BC1"/>
    <w:rsid w:val="00E00D06"/>
    <w:rsid w:val="00E00D8D"/>
    <w:rsid w:val="00E00E17"/>
    <w:rsid w:val="00E00E3E"/>
    <w:rsid w:val="00E01051"/>
    <w:rsid w:val="00E011EA"/>
    <w:rsid w:val="00E01884"/>
    <w:rsid w:val="00E0188E"/>
    <w:rsid w:val="00E01CC7"/>
    <w:rsid w:val="00E020A2"/>
    <w:rsid w:val="00E02117"/>
    <w:rsid w:val="00E0214F"/>
    <w:rsid w:val="00E02821"/>
    <w:rsid w:val="00E028C0"/>
    <w:rsid w:val="00E0297F"/>
    <w:rsid w:val="00E02ED1"/>
    <w:rsid w:val="00E02EF8"/>
    <w:rsid w:val="00E02F44"/>
    <w:rsid w:val="00E02FA9"/>
    <w:rsid w:val="00E0306D"/>
    <w:rsid w:val="00E03397"/>
    <w:rsid w:val="00E03F28"/>
    <w:rsid w:val="00E03FA1"/>
    <w:rsid w:val="00E04069"/>
    <w:rsid w:val="00E0418D"/>
    <w:rsid w:val="00E0449B"/>
    <w:rsid w:val="00E0449D"/>
    <w:rsid w:val="00E0472E"/>
    <w:rsid w:val="00E04887"/>
    <w:rsid w:val="00E048CD"/>
    <w:rsid w:val="00E04916"/>
    <w:rsid w:val="00E0496A"/>
    <w:rsid w:val="00E04D96"/>
    <w:rsid w:val="00E04E7B"/>
    <w:rsid w:val="00E04F84"/>
    <w:rsid w:val="00E050F6"/>
    <w:rsid w:val="00E05346"/>
    <w:rsid w:val="00E05359"/>
    <w:rsid w:val="00E05436"/>
    <w:rsid w:val="00E055E2"/>
    <w:rsid w:val="00E057C8"/>
    <w:rsid w:val="00E058B9"/>
    <w:rsid w:val="00E05E97"/>
    <w:rsid w:val="00E0661D"/>
    <w:rsid w:val="00E06762"/>
    <w:rsid w:val="00E06DCC"/>
    <w:rsid w:val="00E06DD9"/>
    <w:rsid w:val="00E06E90"/>
    <w:rsid w:val="00E06E9B"/>
    <w:rsid w:val="00E06F23"/>
    <w:rsid w:val="00E07141"/>
    <w:rsid w:val="00E0783D"/>
    <w:rsid w:val="00E079E8"/>
    <w:rsid w:val="00E100FC"/>
    <w:rsid w:val="00E104BD"/>
    <w:rsid w:val="00E10690"/>
    <w:rsid w:val="00E106F6"/>
    <w:rsid w:val="00E11312"/>
    <w:rsid w:val="00E115A3"/>
    <w:rsid w:val="00E116EE"/>
    <w:rsid w:val="00E118E7"/>
    <w:rsid w:val="00E123E4"/>
    <w:rsid w:val="00E12547"/>
    <w:rsid w:val="00E1274D"/>
    <w:rsid w:val="00E1277A"/>
    <w:rsid w:val="00E1278F"/>
    <w:rsid w:val="00E127E4"/>
    <w:rsid w:val="00E12A13"/>
    <w:rsid w:val="00E12DBA"/>
    <w:rsid w:val="00E12DEB"/>
    <w:rsid w:val="00E13124"/>
    <w:rsid w:val="00E1313B"/>
    <w:rsid w:val="00E133B8"/>
    <w:rsid w:val="00E134B9"/>
    <w:rsid w:val="00E138C0"/>
    <w:rsid w:val="00E13B1E"/>
    <w:rsid w:val="00E13D98"/>
    <w:rsid w:val="00E13F1F"/>
    <w:rsid w:val="00E14011"/>
    <w:rsid w:val="00E141E5"/>
    <w:rsid w:val="00E1430D"/>
    <w:rsid w:val="00E1443A"/>
    <w:rsid w:val="00E15029"/>
    <w:rsid w:val="00E156A6"/>
    <w:rsid w:val="00E160DD"/>
    <w:rsid w:val="00E164EA"/>
    <w:rsid w:val="00E16847"/>
    <w:rsid w:val="00E16850"/>
    <w:rsid w:val="00E1695C"/>
    <w:rsid w:val="00E16ABE"/>
    <w:rsid w:val="00E16D57"/>
    <w:rsid w:val="00E17205"/>
    <w:rsid w:val="00E1724B"/>
    <w:rsid w:val="00E177F9"/>
    <w:rsid w:val="00E1797A"/>
    <w:rsid w:val="00E17B3C"/>
    <w:rsid w:val="00E201F8"/>
    <w:rsid w:val="00E20222"/>
    <w:rsid w:val="00E209C9"/>
    <w:rsid w:val="00E20DA3"/>
    <w:rsid w:val="00E213A8"/>
    <w:rsid w:val="00E213AB"/>
    <w:rsid w:val="00E21952"/>
    <w:rsid w:val="00E219C3"/>
    <w:rsid w:val="00E21AB4"/>
    <w:rsid w:val="00E21B2E"/>
    <w:rsid w:val="00E21B94"/>
    <w:rsid w:val="00E21C0A"/>
    <w:rsid w:val="00E21DF0"/>
    <w:rsid w:val="00E21E36"/>
    <w:rsid w:val="00E21FDD"/>
    <w:rsid w:val="00E2216D"/>
    <w:rsid w:val="00E22898"/>
    <w:rsid w:val="00E22EA2"/>
    <w:rsid w:val="00E23109"/>
    <w:rsid w:val="00E2326D"/>
    <w:rsid w:val="00E234EF"/>
    <w:rsid w:val="00E2362C"/>
    <w:rsid w:val="00E239BB"/>
    <w:rsid w:val="00E23C19"/>
    <w:rsid w:val="00E23C5A"/>
    <w:rsid w:val="00E24262"/>
    <w:rsid w:val="00E245E7"/>
    <w:rsid w:val="00E24A99"/>
    <w:rsid w:val="00E24B53"/>
    <w:rsid w:val="00E24E40"/>
    <w:rsid w:val="00E25562"/>
    <w:rsid w:val="00E25986"/>
    <w:rsid w:val="00E26381"/>
    <w:rsid w:val="00E2648C"/>
    <w:rsid w:val="00E26499"/>
    <w:rsid w:val="00E26993"/>
    <w:rsid w:val="00E26EBF"/>
    <w:rsid w:val="00E2729D"/>
    <w:rsid w:val="00E27CA2"/>
    <w:rsid w:val="00E27D3A"/>
    <w:rsid w:val="00E3037F"/>
    <w:rsid w:val="00E3067C"/>
    <w:rsid w:val="00E30848"/>
    <w:rsid w:val="00E3127A"/>
    <w:rsid w:val="00E31988"/>
    <w:rsid w:val="00E321D8"/>
    <w:rsid w:val="00E32329"/>
    <w:rsid w:val="00E3247F"/>
    <w:rsid w:val="00E326B9"/>
    <w:rsid w:val="00E326E9"/>
    <w:rsid w:val="00E32881"/>
    <w:rsid w:val="00E32ED8"/>
    <w:rsid w:val="00E33060"/>
    <w:rsid w:val="00E33136"/>
    <w:rsid w:val="00E3330F"/>
    <w:rsid w:val="00E33348"/>
    <w:rsid w:val="00E334C0"/>
    <w:rsid w:val="00E3382B"/>
    <w:rsid w:val="00E33A71"/>
    <w:rsid w:val="00E34914"/>
    <w:rsid w:val="00E34AD8"/>
    <w:rsid w:val="00E34B2D"/>
    <w:rsid w:val="00E34E20"/>
    <w:rsid w:val="00E352D8"/>
    <w:rsid w:val="00E3541E"/>
    <w:rsid w:val="00E35459"/>
    <w:rsid w:val="00E35ADD"/>
    <w:rsid w:val="00E35CAD"/>
    <w:rsid w:val="00E35EE3"/>
    <w:rsid w:val="00E36025"/>
    <w:rsid w:val="00E36220"/>
    <w:rsid w:val="00E36430"/>
    <w:rsid w:val="00E36720"/>
    <w:rsid w:val="00E36739"/>
    <w:rsid w:val="00E3694E"/>
    <w:rsid w:val="00E36ACF"/>
    <w:rsid w:val="00E36C51"/>
    <w:rsid w:val="00E36E67"/>
    <w:rsid w:val="00E36F16"/>
    <w:rsid w:val="00E3742B"/>
    <w:rsid w:val="00E37527"/>
    <w:rsid w:val="00E376DA"/>
    <w:rsid w:val="00E378E8"/>
    <w:rsid w:val="00E37C7D"/>
    <w:rsid w:val="00E37D5F"/>
    <w:rsid w:val="00E40429"/>
    <w:rsid w:val="00E409A5"/>
    <w:rsid w:val="00E40E6A"/>
    <w:rsid w:val="00E4113B"/>
    <w:rsid w:val="00E411A4"/>
    <w:rsid w:val="00E41359"/>
    <w:rsid w:val="00E41526"/>
    <w:rsid w:val="00E416EB"/>
    <w:rsid w:val="00E41728"/>
    <w:rsid w:val="00E4192B"/>
    <w:rsid w:val="00E41955"/>
    <w:rsid w:val="00E419D8"/>
    <w:rsid w:val="00E41A6D"/>
    <w:rsid w:val="00E41AA7"/>
    <w:rsid w:val="00E41C9C"/>
    <w:rsid w:val="00E41D2D"/>
    <w:rsid w:val="00E41D58"/>
    <w:rsid w:val="00E42362"/>
    <w:rsid w:val="00E42410"/>
    <w:rsid w:val="00E42680"/>
    <w:rsid w:val="00E433FA"/>
    <w:rsid w:val="00E43929"/>
    <w:rsid w:val="00E43993"/>
    <w:rsid w:val="00E439E7"/>
    <w:rsid w:val="00E43C1A"/>
    <w:rsid w:val="00E4421D"/>
    <w:rsid w:val="00E44737"/>
    <w:rsid w:val="00E44F10"/>
    <w:rsid w:val="00E452DF"/>
    <w:rsid w:val="00E4553B"/>
    <w:rsid w:val="00E4559B"/>
    <w:rsid w:val="00E456F5"/>
    <w:rsid w:val="00E4579A"/>
    <w:rsid w:val="00E459CB"/>
    <w:rsid w:val="00E464BB"/>
    <w:rsid w:val="00E4660A"/>
    <w:rsid w:val="00E46ABE"/>
    <w:rsid w:val="00E47013"/>
    <w:rsid w:val="00E471F6"/>
    <w:rsid w:val="00E4722A"/>
    <w:rsid w:val="00E478F3"/>
    <w:rsid w:val="00E47904"/>
    <w:rsid w:val="00E47ADB"/>
    <w:rsid w:val="00E47B98"/>
    <w:rsid w:val="00E500CB"/>
    <w:rsid w:val="00E5029A"/>
    <w:rsid w:val="00E5063C"/>
    <w:rsid w:val="00E50732"/>
    <w:rsid w:val="00E50E22"/>
    <w:rsid w:val="00E51188"/>
    <w:rsid w:val="00E5130C"/>
    <w:rsid w:val="00E514E5"/>
    <w:rsid w:val="00E5151B"/>
    <w:rsid w:val="00E5165F"/>
    <w:rsid w:val="00E516C3"/>
    <w:rsid w:val="00E518BC"/>
    <w:rsid w:val="00E51AA6"/>
    <w:rsid w:val="00E51AD3"/>
    <w:rsid w:val="00E51D07"/>
    <w:rsid w:val="00E51D6F"/>
    <w:rsid w:val="00E5200A"/>
    <w:rsid w:val="00E523B2"/>
    <w:rsid w:val="00E52742"/>
    <w:rsid w:val="00E528E4"/>
    <w:rsid w:val="00E52B78"/>
    <w:rsid w:val="00E53178"/>
    <w:rsid w:val="00E53285"/>
    <w:rsid w:val="00E53B00"/>
    <w:rsid w:val="00E53C94"/>
    <w:rsid w:val="00E545F8"/>
    <w:rsid w:val="00E546CA"/>
    <w:rsid w:val="00E546D0"/>
    <w:rsid w:val="00E54A33"/>
    <w:rsid w:val="00E54B17"/>
    <w:rsid w:val="00E54F16"/>
    <w:rsid w:val="00E54F57"/>
    <w:rsid w:val="00E551D0"/>
    <w:rsid w:val="00E55231"/>
    <w:rsid w:val="00E552A1"/>
    <w:rsid w:val="00E55850"/>
    <w:rsid w:val="00E55C01"/>
    <w:rsid w:val="00E55CD1"/>
    <w:rsid w:val="00E5637F"/>
    <w:rsid w:val="00E5642E"/>
    <w:rsid w:val="00E5669C"/>
    <w:rsid w:val="00E56831"/>
    <w:rsid w:val="00E56AB6"/>
    <w:rsid w:val="00E56CB2"/>
    <w:rsid w:val="00E571FC"/>
    <w:rsid w:val="00E5745C"/>
    <w:rsid w:val="00E57715"/>
    <w:rsid w:val="00E57834"/>
    <w:rsid w:val="00E5787B"/>
    <w:rsid w:val="00E57AF3"/>
    <w:rsid w:val="00E57B1F"/>
    <w:rsid w:val="00E57C53"/>
    <w:rsid w:val="00E57DB8"/>
    <w:rsid w:val="00E60335"/>
    <w:rsid w:val="00E60355"/>
    <w:rsid w:val="00E605E1"/>
    <w:rsid w:val="00E608C4"/>
    <w:rsid w:val="00E60BF5"/>
    <w:rsid w:val="00E610DD"/>
    <w:rsid w:val="00E61132"/>
    <w:rsid w:val="00E6150E"/>
    <w:rsid w:val="00E61B15"/>
    <w:rsid w:val="00E61BCB"/>
    <w:rsid w:val="00E62435"/>
    <w:rsid w:val="00E625AB"/>
    <w:rsid w:val="00E628AD"/>
    <w:rsid w:val="00E62DF4"/>
    <w:rsid w:val="00E63461"/>
    <w:rsid w:val="00E63A7F"/>
    <w:rsid w:val="00E63A82"/>
    <w:rsid w:val="00E63AB8"/>
    <w:rsid w:val="00E63AF9"/>
    <w:rsid w:val="00E63D60"/>
    <w:rsid w:val="00E6496F"/>
    <w:rsid w:val="00E65121"/>
    <w:rsid w:val="00E65172"/>
    <w:rsid w:val="00E65520"/>
    <w:rsid w:val="00E657D5"/>
    <w:rsid w:val="00E65ACE"/>
    <w:rsid w:val="00E65D20"/>
    <w:rsid w:val="00E661D6"/>
    <w:rsid w:val="00E66B35"/>
    <w:rsid w:val="00E66BDF"/>
    <w:rsid w:val="00E66C67"/>
    <w:rsid w:val="00E66CE0"/>
    <w:rsid w:val="00E66F5C"/>
    <w:rsid w:val="00E6746E"/>
    <w:rsid w:val="00E675BF"/>
    <w:rsid w:val="00E67629"/>
    <w:rsid w:val="00E6783B"/>
    <w:rsid w:val="00E67849"/>
    <w:rsid w:val="00E67BF8"/>
    <w:rsid w:val="00E67C8F"/>
    <w:rsid w:val="00E67E29"/>
    <w:rsid w:val="00E70315"/>
    <w:rsid w:val="00E70396"/>
    <w:rsid w:val="00E70717"/>
    <w:rsid w:val="00E70AD0"/>
    <w:rsid w:val="00E70C23"/>
    <w:rsid w:val="00E7167D"/>
    <w:rsid w:val="00E71759"/>
    <w:rsid w:val="00E71882"/>
    <w:rsid w:val="00E7198F"/>
    <w:rsid w:val="00E71BBC"/>
    <w:rsid w:val="00E71C40"/>
    <w:rsid w:val="00E724BC"/>
    <w:rsid w:val="00E7267D"/>
    <w:rsid w:val="00E7276D"/>
    <w:rsid w:val="00E72AB3"/>
    <w:rsid w:val="00E72CEB"/>
    <w:rsid w:val="00E72DD8"/>
    <w:rsid w:val="00E73455"/>
    <w:rsid w:val="00E734BA"/>
    <w:rsid w:val="00E73836"/>
    <w:rsid w:val="00E73AC5"/>
    <w:rsid w:val="00E73CAF"/>
    <w:rsid w:val="00E73DC6"/>
    <w:rsid w:val="00E7403E"/>
    <w:rsid w:val="00E74288"/>
    <w:rsid w:val="00E742A8"/>
    <w:rsid w:val="00E7445C"/>
    <w:rsid w:val="00E74FF9"/>
    <w:rsid w:val="00E752A9"/>
    <w:rsid w:val="00E7575C"/>
    <w:rsid w:val="00E759C4"/>
    <w:rsid w:val="00E75ABC"/>
    <w:rsid w:val="00E75ABD"/>
    <w:rsid w:val="00E75CB5"/>
    <w:rsid w:val="00E75DCB"/>
    <w:rsid w:val="00E768A2"/>
    <w:rsid w:val="00E76997"/>
    <w:rsid w:val="00E76D59"/>
    <w:rsid w:val="00E76DBF"/>
    <w:rsid w:val="00E772A5"/>
    <w:rsid w:val="00E7772F"/>
    <w:rsid w:val="00E779E1"/>
    <w:rsid w:val="00E779F2"/>
    <w:rsid w:val="00E77AAA"/>
    <w:rsid w:val="00E77C1C"/>
    <w:rsid w:val="00E80532"/>
    <w:rsid w:val="00E80547"/>
    <w:rsid w:val="00E80909"/>
    <w:rsid w:val="00E80A41"/>
    <w:rsid w:val="00E80BD3"/>
    <w:rsid w:val="00E812F9"/>
    <w:rsid w:val="00E818C0"/>
    <w:rsid w:val="00E81C0F"/>
    <w:rsid w:val="00E81E56"/>
    <w:rsid w:val="00E8200F"/>
    <w:rsid w:val="00E82096"/>
    <w:rsid w:val="00E82151"/>
    <w:rsid w:val="00E8220B"/>
    <w:rsid w:val="00E824E7"/>
    <w:rsid w:val="00E82601"/>
    <w:rsid w:val="00E82925"/>
    <w:rsid w:val="00E830AB"/>
    <w:rsid w:val="00E830BC"/>
    <w:rsid w:val="00E83108"/>
    <w:rsid w:val="00E83312"/>
    <w:rsid w:val="00E83908"/>
    <w:rsid w:val="00E83B2C"/>
    <w:rsid w:val="00E83BFA"/>
    <w:rsid w:val="00E83C21"/>
    <w:rsid w:val="00E83DF3"/>
    <w:rsid w:val="00E845DC"/>
    <w:rsid w:val="00E8493E"/>
    <w:rsid w:val="00E84D6B"/>
    <w:rsid w:val="00E84FBF"/>
    <w:rsid w:val="00E8503B"/>
    <w:rsid w:val="00E85286"/>
    <w:rsid w:val="00E856ED"/>
    <w:rsid w:val="00E85B21"/>
    <w:rsid w:val="00E85BB7"/>
    <w:rsid w:val="00E85C37"/>
    <w:rsid w:val="00E85C93"/>
    <w:rsid w:val="00E8608B"/>
    <w:rsid w:val="00E8651E"/>
    <w:rsid w:val="00E86670"/>
    <w:rsid w:val="00E868E0"/>
    <w:rsid w:val="00E86A50"/>
    <w:rsid w:val="00E86CCA"/>
    <w:rsid w:val="00E86FCD"/>
    <w:rsid w:val="00E872B5"/>
    <w:rsid w:val="00E8746A"/>
    <w:rsid w:val="00E87A4E"/>
    <w:rsid w:val="00E900FD"/>
    <w:rsid w:val="00E90343"/>
    <w:rsid w:val="00E90610"/>
    <w:rsid w:val="00E9076C"/>
    <w:rsid w:val="00E908C5"/>
    <w:rsid w:val="00E90916"/>
    <w:rsid w:val="00E90CBC"/>
    <w:rsid w:val="00E91466"/>
    <w:rsid w:val="00E914DB"/>
    <w:rsid w:val="00E9167F"/>
    <w:rsid w:val="00E91754"/>
    <w:rsid w:val="00E91781"/>
    <w:rsid w:val="00E918E6"/>
    <w:rsid w:val="00E91AC0"/>
    <w:rsid w:val="00E91CAB"/>
    <w:rsid w:val="00E921B7"/>
    <w:rsid w:val="00E92423"/>
    <w:rsid w:val="00E92933"/>
    <w:rsid w:val="00E929AF"/>
    <w:rsid w:val="00E92B42"/>
    <w:rsid w:val="00E92C7E"/>
    <w:rsid w:val="00E92D36"/>
    <w:rsid w:val="00E92DE4"/>
    <w:rsid w:val="00E92F29"/>
    <w:rsid w:val="00E93A61"/>
    <w:rsid w:val="00E93D5C"/>
    <w:rsid w:val="00E93E24"/>
    <w:rsid w:val="00E93FAC"/>
    <w:rsid w:val="00E94202"/>
    <w:rsid w:val="00E945E7"/>
    <w:rsid w:val="00E94608"/>
    <w:rsid w:val="00E9501C"/>
    <w:rsid w:val="00E95374"/>
    <w:rsid w:val="00E953FD"/>
    <w:rsid w:val="00E9558E"/>
    <w:rsid w:val="00E9582B"/>
    <w:rsid w:val="00E95BCD"/>
    <w:rsid w:val="00E95F57"/>
    <w:rsid w:val="00E965A9"/>
    <w:rsid w:val="00E96678"/>
    <w:rsid w:val="00E96BC1"/>
    <w:rsid w:val="00E97632"/>
    <w:rsid w:val="00E97814"/>
    <w:rsid w:val="00E97815"/>
    <w:rsid w:val="00E97D91"/>
    <w:rsid w:val="00EA07B5"/>
    <w:rsid w:val="00EA0974"/>
    <w:rsid w:val="00EA0DEF"/>
    <w:rsid w:val="00EA0E09"/>
    <w:rsid w:val="00EA0FCF"/>
    <w:rsid w:val="00EA1063"/>
    <w:rsid w:val="00EA147E"/>
    <w:rsid w:val="00EA159D"/>
    <w:rsid w:val="00EA1658"/>
    <w:rsid w:val="00EA1BA5"/>
    <w:rsid w:val="00EA1F2F"/>
    <w:rsid w:val="00EA200B"/>
    <w:rsid w:val="00EA29B4"/>
    <w:rsid w:val="00EA2BFC"/>
    <w:rsid w:val="00EA2E06"/>
    <w:rsid w:val="00EA2E94"/>
    <w:rsid w:val="00EA2F4B"/>
    <w:rsid w:val="00EA3292"/>
    <w:rsid w:val="00EA3316"/>
    <w:rsid w:val="00EA3499"/>
    <w:rsid w:val="00EA3604"/>
    <w:rsid w:val="00EA36FB"/>
    <w:rsid w:val="00EA3D4B"/>
    <w:rsid w:val="00EA4048"/>
    <w:rsid w:val="00EA429E"/>
    <w:rsid w:val="00EA46E6"/>
    <w:rsid w:val="00EA4892"/>
    <w:rsid w:val="00EA4AFC"/>
    <w:rsid w:val="00EA5657"/>
    <w:rsid w:val="00EA6033"/>
    <w:rsid w:val="00EA654D"/>
    <w:rsid w:val="00EA671A"/>
    <w:rsid w:val="00EA6A29"/>
    <w:rsid w:val="00EA6CBB"/>
    <w:rsid w:val="00EA7094"/>
    <w:rsid w:val="00EA7293"/>
    <w:rsid w:val="00EA76F4"/>
    <w:rsid w:val="00EA78A1"/>
    <w:rsid w:val="00EA7C18"/>
    <w:rsid w:val="00EB03D8"/>
    <w:rsid w:val="00EB050A"/>
    <w:rsid w:val="00EB059B"/>
    <w:rsid w:val="00EB0C2E"/>
    <w:rsid w:val="00EB0F13"/>
    <w:rsid w:val="00EB1086"/>
    <w:rsid w:val="00EB1C8E"/>
    <w:rsid w:val="00EB255D"/>
    <w:rsid w:val="00EB277E"/>
    <w:rsid w:val="00EB2A24"/>
    <w:rsid w:val="00EB2DDE"/>
    <w:rsid w:val="00EB2E74"/>
    <w:rsid w:val="00EB2F0A"/>
    <w:rsid w:val="00EB3060"/>
    <w:rsid w:val="00EB32E5"/>
    <w:rsid w:val="00EB336E"/>
    <w:rsid w:val="00EB35B4"/>
    <w:rsid w:val="00EB3974"/>
    <w:rsid w:val="00EB3C61"/>
    <w:rsid w:val="00EB3D09"/>
    <w:rsid w:val="00EB4077"/>
    <w:rsid w:val="00EB4267"/>
    <w:rsid w:val="00EB476F"/>
    <w:rsid w:val="00EB4783"/>
    <w:rsid w:val="00EB479A"/>
    <w:rsid w:val="00EB4D10"/>
    <w:rsid w:val="00EB4E16"/>
    <w:rsid w:val="00EB4EB9"/>
    <w:rsid w:val="00EB4F58"/>
    <w:rsid w:val="00EB505F"/>
    <w:rsid w:val="00EB52F9"/>
    <w:rsid w:val="00EB5D88"/>
    <w:rsid w:val="00EB5EC5"/>
    <w:rsid w:val="00EB6121"/>
    <w:rsid w:val="00EB6286"/>
    <w:rsid w:val="00EB628C"/>
    <w:rsid w:val="00EB66A9"/>
    <w:rsid w:val="00EB6734"/>
    <w:rsid w:val="00EB6999"/>
    <w:rsid w:val="00EB6CFB"/>
    <w:rsid w:val="00EB6D3C"/>
    <w:rsid w:val="00EB7182"/>
    <w:rsid w:val="00EB77FB"/>
    <w:rsid w:val="00EB7852"/>
    <w:rsid w:val="00EB7BDA"/>
    <w:rsid w:val="00EB7C2D"/>
    <w:rsid w:val="00EB7DC3"/>
    <w:rsid w:val="00EB7E18"/>
    <w:rsid w:val="00EC0521"/>
    <w:rsid w:val="00EC0C7E"/>
    <w:rsid w:val="00EC0FAA"/>
    <w:rsid w:val="00EC1239"/>
    <w:rsid w:val="00EC15A6"/>
    <w:rsid w:val="00EC163C"/>
    <w:rsid w:val="00EC16D4"/>
    <w:rsid w:val="00EC179C"/>
    <w:rsid w:val="00EC1954"/>
    <w:rsid w:val="00EC1ADF"/>
    <w:rsid w:val="00EC1C85"/>
    <w:rsid w:val="00EC2144"/>
    <w:rsid w:val="00EC28AF"/>
    <w:rsid w:val="00EC2CCB"/>
    <w:rsid w:val="00EC3792"/>
    <w:rsid w:val="00EC37D7"/>
    <w:rsid w:val="00EC3BBA"/>
    <w:rsid w:val="00EC3FED"/>
    <w:rsid w:val="00EC401D"/>
    <w:rsid w:val="00EC403E"/>
    <w:rsid w:val="00EC4559"/>
    <w:rsid w:val="00EC4634"/>
    <w:rsid w:val="00EC49FA"/>
    <w:rsid w:val="00EC4D52"/>
    <w:rsid w:val="00EC4EC8"/>
    <w:rsid w:val="00EC4F9B"/>
    <w:rsid w:val="00EC5624"/>
    <w:rsid w:val="00EC5C40"/>
    <w:rsid w:val="00EC5EA6"/>
    <w:rsid w:val="00EC5FCB"/>
    <w:rsid w:val="00EC6061"/>
    <w:rsid w:val="00EC62E5"/>
    <w:rsid w:val="00EC63DA"/>
    <w:rsid w:val="00EC6613"/>
    <w:rsid w:val="00EC68D4"/>
    <w:rsid w:val="00EC69DB"/>
    <w:rsid w:val="00EC6D43"/>
    <w:rsid w:val="00EC6DC5"/>
    <w:rsid w:val="00EC6E55"/>
    <w:rsid w:val="00EC7320"/>
    <w:rsid w:val="00EC73BE"/>
    <w:rsid w:val="00EC792F"/>
    <w:rsid w:val="00EC7A7E"/>
    <w:rsid w:val="00EC7F10"/>
    <w:rsid w:val="00ED0B54"/>
    <w:rsid w:val="00ED0B67"/>
    <w:rsid w:val="00ED0D75"/>
    <w:rsid w:val="00ED0DA8"/>
    <w:rsid w:val="00ED0F7A"/>
    <w:rsid w:val="00ED12D9"/>
    <w:rsid w:val="00ED1307"/>
    <w:rsid w:val="00ED1467"/>
    <w:rsid w:val="00ED14AD"/>
    <w:rsid w:val="00ED1786"/>
    <w:rsid w:val="00ED1E2A"/>
    <w:rsid w:val="00ED1E57"/>
    <w:rsid w:val="00ED2258"/>
    <w:rsid w:val="00ED25AF"/>
    <w:rsid w:val="00ED281E"/>
    <w:rsid w:val="00ED2A64"/>
    <w:rsid w:val="00ED2A8E"/>
    <w:rsid w:val="00ED2AC1"/>
    <w:rsid w:val="00ED2AEC"/>
    <w:rsid w:val="00ED2DDF"/>
    <w:rsid w:val="00ED2ECC"/>
    <w:rsid w:val="00ED364F"/>
    <w:rsid w:val="00ED3CE1"/>
    <w:rsid w:val="00ED3D0C"/>
    <w:rsid w:val="00ED3D17"/>
    <w:rsid w:val="00ED3E2E"/>
    <w:rsid w:val="00ED402C"/>
    <w:rsid w:val="00ED41DD"/>
    <w:rsid w:val="00ED4265"/>
    <w:rsid w:val="00ED430B"/>
    <w:rsid w:val="00ED44F7"/>
    <w:rsid w:val="00ED4559"/>
    <w:rsid w:val="00ED45EE"/>
    <w:rsid w:val="00ED4CA8"/>
    <w:rsid w:val="00ED4EA0"/>
    <w:rsid w:val="00ED511C"/>
    <w:rsid w:val="00ED545C"/>
    <w:rsid w:val="00ED5B48"/>
    <w:rsid w:val="00ED5E97"/>
    <w:rsid w:val="00ED5EB0"/>
    <w:rsid w:val="00ED6166"/>
    <w:rsid w:val="00ED6176"/>
    <w:rsid w:val="00ED6232"/>
    <w:rsid w:val="00ED6237"/>
    <w:rsid w:val="00ED63F8"/>
    <w:rsid w:val="00ED65C9"/>
    <w:rsid w:val="00ED682E"/>
    <w:rsid w:val="00ED697B"/>
    <w:rsid w:val="00ED6B9F"/>
    <w:rsid w:val="00ED6F9E"/>
    <w:rsid w:val="00ED70E3"/>
    <w:rsid w:val="00ED7630"/>
    <w:rsid w:val="00ED7A3A"/>
    <w:rsid w:val="00ED7A74"/>
    <w:rsid w:val="00ED7D7C"/>
    <w:rsid w:val="00ED7E20"/>
    <w:rsid w:val="00EE07AC"/>
    <w:rsid w:val="00EE098A"/>
    <w:rsid w:val="00EE0D25"/>
    <w:rsid w:val="00EE0E28"/>
    <w:rsid w:val="00EE154B"/>
    <w:rsid w:val="00EE159E"/>
    <w:rsid w:val="00EE174F"/>
    <w:rsid w:val="00EE1C57"/>
    <w:rsid w:val="00EE1D8F"/>
    <w:rsid w:val="00EE1ECB"/>
    <w:rsid w:val="00EE1EFF"/>
    <w:rsid w:val="00EE1FE3"/>
    <w:rsid w:val="00EE2436"/>
    <w:rsid w:val="00EE2542"/>
    <w:rsid w:val="00EE29B2"/>
    <w:rsid w:val="00EE29C1"/>
    <w:rsid w:val="00EE29C4"/>
    <w:rsid w:val="00EE29E4"/>
    <w:rsid w:val="00EE2AE4"/>
    <w:rsid w:val="00EE2C1C"/>
    <w:rsid w:val="00EE2C70"/>
    <w:rsid w:val="00EE2E20"/>
    <w:rsid w:val="00EE32F5"/>
    <w:rsid w:val="00EE3347"/>
    <w:rsid w:val="00EE3463"/>
    <w:rsid w:val="00EE3627"/>
    <w:rsid w:val="00EE3729"/>
    <w:rsid w:val="00EE44B8"/>
    <w:rsid w:val="00EE4886"/>
    <w:rsid w:val="00EE4962"/>
    <w:rsid w:val="00EE4AD3"/>
    <w:rsid w:val="00EE4FAF"/>
    <w:rsid w:val="00EE50C8"/>
    <w:rsid w:val="00EE50ED"/>
    <w:rsid w:val="00EE51F9"/>
    <w:rsid w:val="00EE53D7"/>
    <w:rsid w:val="00EE5596"/>
    <w:rsid w:val="00EE55FF"/>
    <w:rsid w:val="00EE57D8"/>
    <w:rsid w:val="00EE5C94"/>
    <w:rsid w:val="00EE6330"/>
    <w:rsid w:val="00EE6527"/>
    <w:rsid w:val="00EE6690"/>
    <w:rsid w:val="00EE669E"/>
    <w:rsid w:val="00EE674F"/>
    <w:rsid w:val="00EE6E2E"/>
    <w:rsid w:val="00EE74E2"/>
    <w:rsid w:val="00EE767A"/>
    <w:rsid w:val="00EE77F7"/>
    <w:rsid w:val="00EF03D1"/>
    <w:rsid w:val="00EF05A3"/>
    <w:rsid w:val="00EF0A6E"/>
    <w:rsid w:val="00EF0FA6"/>
    <w:rsid w:val="00EF0FD8"/>
    <w:rsid w:val="00EF10FA"/>
    <w:rsid w:val="00EF114A"/>
    <w:rsid w:val="00EF18DD"/>
    <w:rsid w:val="00EF196A"/>
    <w:rsid w:val="00EF1A2F"/>
    <w:rsid w:val="00EF1A39"/>
    <w:rsid w:val="00EF1A5A"/>
    <w:rsid w:val="00EF1B19"/>
    <w:rsid w:val="00EF1FDA"/>
    <w:rsid w:val="00EF246A"/>
    <w:rsid w:val="00EF25A1"/>
    <w:rsid w:val="00EF26FB"/>
    <w:rsid w:val="00EF28A3"/>
    <w:rsid w:val="00EF28B8"/>
    <w:rsid w:val="00EF2DF2"/>
    <w:rsid w:val="00EF30DD"/>
    <w:rsid w:val="00EF31B6"/>
    <w:rsid w:val="00EF3227"/>
    <w:rsid w:val="00EF35C2"/>
    <w:rsid w:val="00EF3C26"/>
    <w:rsid w:val="00EF3D1E"/>
    <w:rsid w:val="00EF3F16"/>
    <w:rsid w:val="00EF4020"/>
    <w:rsid w:val="00EF4348"/>
    <w:rsid w:val="00EF43E2"/>
    <w:rsid w:val="00EF4423"/>
    <w:rsid w:val="00EF466B"/>
    <w:rsid w:val="00EF4785"/>
    <w:rsid w:val="00EF47BA"/>
    <w:rsid w:val="00EF4BDE"/>
    <w:rsid w:val="00EF4C58"/>
    <w:rsid w:val="00EF50CA"/>
    <w:rsid w:val="00EF55E0"/>
    <w:rsid w:val="00EF592F"/>
    <w:rsid w:val="00EF5DC3"/>
    <w:rsid w:val="00EF613C"/>
    <w:rsid w:val="00EF6AEF"/>
    <w:rsid w:val="00EF6B2F"/>
    <w:rsid w:val="00EF6B73"/>
    <w:rsid w:val="00EF6F37"/>
    <w:rsid w:val="00EF78E6"/>
    <w:rsid w:val="00F00366"/>
    <w:rsid w:val="00F00448"/>
    <w:rsid w:val="00F00C73"/>
    <w:rsid w:val="00F00F27"/>
    <w:rsid w:val="00F011A5"/>
    <w:rsid w:val="00F011DE"/>
    <w:rsid w:val="00F01473"/>
    <w:rsid w:val="00F015C3"/>
    <w:rsid w:val="00F01759"/>
    <w:rsid w:val="00F0183D"/>
    <w:rsid w:val="00F0198B"/>
    <w:rsid w:val="00F01FBF"/>
    <w:rsid w:val="00F02216"/>
    <w:rsid w:val="00F02235"/>
    <w:rsid w:val="00F023A8"/>
    <w:rsid w:val="00F02838"/>
    <w:rsid w:val="00F02921"/>
    <w:rsid w:val="00F02A08"/>
    <w:rsid w:val="00F02A6D"/>
    <w:rsid w:val="00F02DD7"/>
    <w:rsid w:val="00F03A79"/>
    <w:rsid w:val="00F03CED"/>
    <w:rsid w:val="00F03F18"/>
    <w:rsid w:val="00F03FDF"/>
    <w:rsid w:val="00F04511"/>
    <w:rsid w:val="00F04674"/>
    <w:rsid w:val="00F04943"/>
    <w:rsid w:val="00F049EE"/>
    <w:rsid w:val="00F04A0C"/>
    <w:rsid w:val="00F05060"/>
    <w:rsid w:val="00F050C9"/>
    <w:rsid w:val="00F056C6"/>
    <w:rsid w:val="00F05CDF"/>
    <w:rsid w:val="00F05FEE"/>
    <w:rsid w:val="00F063CB"/>
    <w:rsid w:val="00F067D1"/>
    <w:rsid w:val="00F06B06"/>
    <w:rsid w:val="00F06F36"/>
    <w:rsid w:val="00F06F6A"/>
    <w:rsid w:val="00F070A2"/>
    <w:rsid w:val="00F0745F"/>
    <w:rsid w:val="00F0789F"/>
    <w:rsid w:val="00F078B1"/>
    <w:rsid w:val="00F0796A"/>
    <w:rsid w:val="00F079C2"/>
    <w:rsid w:val="00F07B0F"/>
    <w:rsid w:val="00F07CC7"/>
    <w:rsid w:val="00F07E62"/>
    <w:rsid w:val="00F10134"/>
    <w:rsid w:val="00F10545"/>
    <w:rsid w:val="00F10B72"/>
    <w:rsid w:val="00F10E88"/>
    <w:rsid w:val="00F10F4C"/>
    <w:rsid w:val="00F11002"/>
    <w:rsid w:val="00F11093"/>
    <w:rsid w:val="00F11FAE"/>
    <w:rsid w:val="00F1244F"/>
    <w:rsid w:val="00F1263E"/>
    <w:rsid w:val="00F12BFF"/>
    <w:rsid w:val="00F12D55"/>
    <w:rsid w:val="00F12DDF"/>
    <w:rsid w:val="00F1357A"/>
    <w:rsid w:val="00F13784"/>
    <w:rsid w:val="00F13C24"/>
    <w:rsid w:val="00F13DD1"/>
    <w:rsid w:val="00F1402E"/>
    <w:rsid w:val="00F1413E"/>
    <w:rsid w:val="00F14631"/>
    <w:rsid w:val="00F14A0B"/>
    <w:rsid w:val="00F14C76"/>
    <w:rsid w:val="00F14EA7"/>
    <w:rsid w:val="00F1501A"/>
    <w:rsid w:val="00F152A6"/>
    <w:rsid w:val="00F1578F"/>
    <w:rsid w:val="00F15A0C"/>
    <w:rsid w:val="00F15E26"/>
    <w:rsid w:val="00F15ED3"/>
    <w:rsid w:val="00F15EDB"/>
    <w:rsid w:val="00F15F88"/>
    <w:rsid w:val="00F15FC2"/>
    <w:rsid w:val="00F16690"/>
    <w:rsid w:val="00F16911"/>
    <w:rsid w:val="00F16BAA"/>
    <w:rsid w:val="00F170BD"/>
    <w:rsid w:val="00F17377"/>
    <w:rsid w:val="00F1769B"/>
    <w:rsid w:val="00F1785D"/>
    <w:rsid w:val="00F178AD"/>
    <w:rsid w:val="00F17BF9"/>
    <w:rsid w:val="00F20304"/>
    <w:rsid w:val="00F2041D"/>
    <w:rsid w:val="00F20447"/>
    <w:rsid w:val="00F20849"/>
    <w:rsid w:val="00F20926"/>
    <w:rsid w:val="00F20FDA"/>
    <w:rsid w:val="00F211A2"/>
    <w:rsid w:val="00F211D2"/>
    <w:rsid w:val="00F213E1"/>
    <w:rsid w:val="00F21485"/>
    <w:rsid w:val="00F2161D"/>
    <w:rsid w:val="00F216E2"/>
    <w:rsid w:val="00F21A13"/>
    <w:rsid w:val="00F21DE9"/>
    <w:rsid w:val="00F2253F"/>
    <w:rsid w:val="00F22571"/>
    <w:rsid w:val="00F228C7"/>
    <w:rsid w:val="00F22AC9"/>
    <w:rsid w:val="00F22C5A"/>
    <w:rsid w:val="00F22C77"/>
    <w:rsid w:val="00F232A5"/>
    <w:rsid w:val="00F23521"/>
    <w:rsid w:val="00F23B6F"/>
    <w:rsid w:val="00F23C90"/>
    <w:rsid w:val="00F23DBF"/>
    <w:rsid w:val="00F24049"/>
    <w:rsid w:val="00F241E4"/>
    <w:rsid w:val="00F24373"/>
    <w:rsid w:val="00F244F6"/>
    <w:rsid w:val="00F24936"/>
    <w:rsid w:val="00F2534D"/>
    <w:rsid w:val="00F257D2"/>
    <w:rsid w:val="00F25D23"/>
    <w:rsid w:val="00F25F5F"/>
    <w:rsid w:val="00F261F5"/>
    <w:rsid w:val="00F26C1E"/>
    <w:rsid w:val="00F273E8"/>
    <w:rsid w:val="00F274E2"/>
    <w:rsid w:val="00F27E32"/>
    <w:rsid w:val="00F30177"/>
    <w:rsid w:val="00F30711"/>
    <w:rsid w:val="00F30879"/>
    <w:rsid w:val="00F308DC"/>
    <w:rsid w:val="00F30F98"/>
    <w:rsid w:val="00F314AB"/>
    <w:rsid w:val="00F31A33"/>
    <w:rsid w:val="00F31B8D"/>
    <w:rsid w:val="00F31D7B"/>
    <w:rsid w:val="00F31DB8"/>
    <w:rsid w:val="00F32173"/>
    <w:rsid w:val="00F32505"/>
    <w:rsid w:val="00F3252B"/>
    <w:rsid w:val="00F32547"/>
    <w:rsid w:val="00F326F2"/>
    <w:rsid w:val="00F3294C"/>
    <w:rsid w:val="00F32C33"/>
    <w:rsid w:val="00F32E7A"/>
    <w:rsid w:val="00F3341F"/>
    <w:rsid w:val="00F33478"/>
    <w:rsid w:val="00F336B0"/>
    <w:rsid w:val="00F338D4"/>
    <w:rsid w:val="00F33DAE"/>
    <w:rsid w:val="00F33E2F"/>
    <w:rsid w:val="00F3460F"/>
    <w:rsid w:val="00F34B66"/>
    <w:rsid w:val="00F34F6D"/>
    <w:rsid w:val="00F35499"/>
    <w:rsid w:val="00F35578"/>
    <w:rsid w:val="00F356DC"/>
    <w:rsid w:val="00F359D8"/>
    <w:rsid w:val="00F35CDA"/>
    <w:rsid w:val="00F361EB"/>
    <w:rsid w:val="00F36275"/>
    <w:rsid w:val="00F3648E"/>
    <w:rsid w:val="00F365DA"/>
    <w:rsid w:val="00F36767"/>
    <w:rsid w:val="00F36E52"/>
    <w:rsid w:val="00F36EE4"/>
    <w:rsid w:val="00F371E2"/>
    <w:rsid w:val="00F37296"/>
    <w:rsid w:val="00F373BC"/>
    <w:rsid w:val="00F376CE"/>
    <w:rsid w:val="00F3771F"/>
    <w:rsid w:val="00F37984"/>
    <w:rsid w:val="00F37D4A"/>
    <w:rsid w:val="00F37FFD"/>
    <w:rsid w:val="00F4008C"/>
    <w:rsid w:val="00F40344"/>
    <w:rsid w:val="00F4052D"/>
    <w:rsid w:val="00F4063D"/>
    <w:rsid w:val="00F40811"/>
    <w:rsid w:val="00F40D6B"/>
    <w:rsid w:val="00F41050"/>
    <w:rsid w:val="00F41201"/>
    <w:rsid w:val="00F41280"/>
    <w:rsid w:val="00F4136B"/>
    <w:rsid w:val="00F414C5"/>
    <w:rsid w:val="00F41A01"/>
    <w:rsid w:val="00F41D57"/>
    <w:rsid w:val="00F422A8"/>
    <w:rsid w:val="00F4235F"/>
    <w:rsid w:val="00F42495"/>
    <w:rsid w:val="00F4255C"/>
    <w:rsid w:val="00F42713"/>
    <w:rsid w:val="00F429F6"/>
    <w:rsid w:val="00F42E19"/>
    <w:rsid w:val="00F42E70"/>
    <w:rsid w:val="00F43185"/>
    <w:rsid w:val="00F436C6"/>
    <w:rsid w:val="00F4386D"/>
    <w:rsid w:val="00F43E39"/>
    <w:rsid w:val="00F44726"/>
    <w:rsid w:val="00F4479F"/>
    <w:rsid w:val="00F44A4F"/>
    <w:rsid w:val="00F45512"/>
    <w:rsid w:val="00F45710"/>
    <w:rsid w:val="00F45760"/>
    <w:rsid w:val="00F45A1C"/>
    <w:rsid w:val="00F46112"/>
    <w:rsid w:val="00F46221"/>
    <w:rsid w:val="00F46442"/>
    <w:rsid w:val="00F46561"/>
    <w:rsid w:val="00F465C9"/>
    <w:rsid w:val="00F469F6"/>
    <w:rsid w:val="00F46D32"/>
    <w:rsid w:val="00F4776C"/>
    <w:rsid w:val="00F47A62"/>
    <w:rsid w:val="00F47AB1"/>
    <w:rsid w:val="00F47EF7"/>
    <w:rsid w:val="00F50099"/>
    <w:rsid w:val="00F502F7"/>
    <w:rsid w:val="00F50A31"/>
    <w:rsid w:val="00F50AC1"/>
    <w:rsid w:val="00F50E3D"/>
    <w:rsid w:val="00F50F82"/>
    <w:rsid w:val="00F50FD9"/>
    <w:rsid w:val="00F51052"/>
    <w:rsid w:val="00F51089"/>
    <w:rsid w:val="00F511D2"/>
    <w:rsid w:val="00F514CF"/>
    <w:rsid w:val="00F514EF"/>
    <w:rsid w:val="00F51B09"/>
    <w:rsid w:val="00F51CD4"/>
    <w:rsid w:val="00F51D54"/>
    <w:rsid w:val="00F522A6"/>
    <w:rsid w:val="00F5266C"/>
    <w:rsid w:val="00F52BFB"/>
    <w:rsid w:val="00F52EFB"/>
    <w:rsid w:val="00F52F7C"/>
    <w:rsid w:val="00F52FD1"/>
    <w:rsid w:val="00F5301F"/>
    <w:rsid w:val="00F530B5"/>
    <w:rsid w:val="00F53560"/>
    <w:rsid w:val="00F53800"/>
    <w:rsid w:val="00F53928"/>
    <w:rsid w:val="00F54004"/>
    <w:rsid w:val="00F54099"/>
    <w:rsid w:val="00F54434"/>
    <w:rsid w:val="00F544B3"/>
    <w:rsid w:val="00F548D9"/>
    <w:rsid w:val="00F54A22"/>
    <w:rsid w:val="00F54E17"/>
    <w:rsid w:val="00F54FFA"/>
    <w:rsid w:val="00F55683"/>
    <w:rsid w:val="00F557E9"/>
    <w:rsid w:val="00F558BF"/>
    <w:rsid w:val="00F5597F"/>
    <w:rsid w:val="00F55B8A"/>
    <w:rsid w:val="00F561C1"/>
    <w:rsid w:val="00F5660E"/>
    <w:rsid w:val="00F56720"/>
    <w:rsid w:val="00F56B86"/>
    <w:rsid w:val="00F56DB3"/>
    <w:rsid w:val="00F5714A"/>
    <w:rsid w:val="00F571AD"/>
    <w:rsid w:val="00F572FA"/>
    <w:rsid w:val="00F578F1"/>
    <w:rsid w:val="00F57D79"/>
    <w:rsid w:val="00F57DBA"/>
    <w:rsid w:val="00F57F6E"/>
    <w:rsid w:val="00F60E37"/>
    <w:rsid w:val="00F61020"/>
    <w:rsid w:val="00F61652"/>
    <w:rsid w:val="00F616AA"/>
    <w:rsid w:val="00F619F8"/>
    <w:rsid w:val="00F61F83"/>
    <w:rsid w:val="00F62321"/>
    <w:rsid w:val="00F62385"/>
    <w:rsid w:val="00F62620"/>
    <w:rsid w:val="00F62755"/>
    <w:rsid w:val="00F6292A"/>
    <w:rsid w:val="00F62A41"/>
    <w:rsid w:val="00F62C52"/>
    <w:rsid w:val="00F62E33"/>
    <w:rsid w:val="00F63999"/>
    <w:rsid w:val="00F63AAF"/>
    <w:rsid w:val="00F63DE7"/>
    <w:rsid w:val="00F6421A"/>
    <w:rsid w:val="00F642D0"/>
    <w:rsid w:val="00F64625"/>
    <w:rsid w:val="00F64626"/>
    <w:rsid w:val="00F648FE"/>
    <w:rsid w:val="00F64CA9"/>
    <w:rsid w:val="00F64CC5"/>
    <w:rsid w:val="00F64F9D"/>
    <w:rsid w:val="00F6518F"/>
    <w:rsid w:val="00F65220"/>
    <w:rsid w:val="00F654A9"/>
    <w:rsid w:val="00F657AF"/>
    <w:rsid w:val="00F659D8"/>
    <w:rsid w:val="00F65E64"/>
    <w:rsid w:val="00F65FB8"/>
    <w:rsid w:val="00F6621E"/>
    <w:rsid w:val="00F662E7"/>
    <w:rsid w:val="00F66424"/>
    <w:rsid w:val="00F6654D"/>
    <w:rsid w:val="00F66935"/>
    <w:rsid w:val="00F66A56"/>
    <w:rsid w:val="00F66AA5"/>
    <w:rsid w:val="00F66E6C"/>
    <w:rsid w:val="00F66E8D"/>
    <w:rsid w:val="00F66F51"/>
    <w:rsid w:val="00F67031"/>
    <w:rsid w:val="00F673BD"/>
    <w:rsid w:val="00F6762C"/>
    <w:rsid w:val="00F67B73"/>
    <w:rsid w:val="00F67C15"/>
    <w:rsid w:val="00F67EE8"/>
    <w:rsid w:val="00F67F59"/>
    <w:rsid w:val="00F7052F"/>
    <w:rsid w:val="00F70B92"/>
    <w:rsid w:val="00F70BC1"/>
    <w:rsid w:val="00F70F32"/>
    <w:rsid w:val="00F71022"/>
    <w:rsid w:val="00F713A0"/>
    <w:rsid w:val="00F71824"/>
    <w:rsid w:val="00F71925"/>
    <w:rsid w:val="00F722A2"/>
    <w:rsid w:val="00F722EB"/>
    <w:rsid w:val="00F7238B"/>
    <w:rsid w:val="00F72606"/>
    <w:rsid w:val="00F727A4"/>
    <w:rsid w:val="00F72BA7"/>
    <w:rsid w:val="00F72E15"/>
    <w:rsid w:val="00F731AA"/>
    <w:rsid w:val="00F7333F"/>
    <w:rsid w:val="00F7374B"/>
    <w:rsid w:val="00F73991"/>
    <w:rsid w:val="00F742FF"/>
    <w:rsid w:val="00F7478C"/>
    <w:rsid w:val="00F74998"/>
    <w:rsid w:val="00F74B48"/>
    <w:rsid w:val="00F74E08"/>
    <w:rsid w:val="00F75288"/>
    <w:rsid w:val="00F75810"/>
    <w:rsid w:val="00F75823"/>
    <w:rsid w:val="00F75F1D"/>
    <w:rsid w:val="00F762F1"/>
    <w:rsid w:val="00F76682"/>
    <w:rsid w:val="00F767B5"/>
    <w:rsid w:val="00F7691E"/>
    <w:rsid w:val="00F76D92"/>
    <w:rsid w:val="00F77445"/>
    <w:rsid w:val="00F77699"/>
    <w:rsid w:val="00F777D3"/>
    <w:rsid w:val="00F77C81"/>
    <w:rsid w:val="00F77D54"/>
    <w:rsid w:val="00F77DFC"/>
    <w:rsid w:val="00F77F12"/>
    <w:rsid w:val="00F77F7B"/>
    <w:rsid w:val="00F80256"/>
    <w:rsid w:val="00F80669"/>
    <w:rsid w:val="00F80701"/>
    <w:rsid w:val="00F807B0"/>
    <w:rsid w:val="00F80F69"/>
    <w:rsid w:val="00F8135F"/>
    <w:rsid w:val="00F81620"/>
    <w:rsid w:val="00F819AD"/>
    <w:rsid w:val="00F81BEF"/>
    <w:rsid w:val="00F81CE0"/>
    <w:rsid w:val="00F81F67"/>
    <w:rsid w:val="00F82628"/>
    <w:rsid w:val="00F82A12"/>
    <w:rsid w:val="00F8311D"/>
    <w:rsid w:val="00F8327E"/>
    <w:rsid w:val="00F83652"/>
    <w:rsid w:val="00F838E1"/>
    <w:rsid w:val="00F840AF"/>
    <w:rsid w:val="00F8410F"/>
    <w:rsid w:val="00F84156"/>
    <w:rsid w:val="00F846E6"/>
    <w:rsid w:val="00F84784"/>
    <w:rsid w:val="00F84BA8"/>
    <w:rsid w:val="00F84CA8"/>
    <w:rsid w:val="00F84F33"/>
    <w:rsid w:val="00F850BC"/>
    <w:rsid w:val="00F8547A"/>
    <w:rsid w:val="00F85921"/>
    <w:rsid w:val="00F85DAA"/>
    <w:rsid w:val="00F85ECB"/>
    <w:rsid w:val="00F85ED1"/>
    <w:rsid w:val="00F86975"/>
    <w:rsid w:val="00F86BF8"/>
    <w:rsid w:val="00F86C5C"/>
    <w:rsid w:val="00F86C5E"/>
    <w:rsid w:val="00F86D26"/>
    <w:rsid w:val="00F87201"/>
    <w:rsid w:val="00F877B4"/>
    <w:rsid w:val="00F87973"/>
    <w:rsid w:val="00F879B1"/>
    <w:rsid w:val="00F87BD1"/>
    <w:rsid w:val="00F87BD4"/>
    <w:rsid w:val="00F87BDA"/>
    <w:rsid w:val="00F87DEE"/>
    <w:rsid w:val="00F87FF6"/>
    <w:rsid w:val="00F9049D"/>
    <w:rsid w:val="00F90643"/>
    <w:rsid w:val="00F90B07"/>
    <w:rsid w:val="00F919B4"/>
    <w:rsid w:val="00F91FF7"/>
    <w:rsid w:val="00F920F1"/>
    <w:rsid w:val="00F92297"/>
    <w:rsid w:val="00F924A8"/>
    <w:rsid w:val="00F924C3"/>
    <w:rsid w:val="00F925B4"/>
    <w:rsid w:val="00F926E0"/>
    <w:rsid w:val="00F92772"/>
    <w:rsid w:val="00F92809"/>
    <w:rsid w:val="00F929E4"/>
    <w:rsid w:val="00F92B90"/>
    <w:rsid w:val="00F92DB2"/>
    <w:rsid w:val="00F92DB8"/>
    <w:rsid w:val="00F92DBD"/>
    <w:rsid w:val="00F93134"/>
    <w:rsid w:val="00F932B5"/>
    <w:rsid w:val="00F932F1"/>
    <w:rsid w:val="00F938BF"/>
    <w:rsid w:val="00F942FE"/>
    <w:rsid w:val="00F9430B"/>
    <w:rsid w:val="00F944BF"/>
    <w:rsid w:val="00F9451C"/>
    <w:rsid w:val="00F9454E"/>
    <w:rsid w:val="00F947B9"/>
    <w:rsid w:val="00F94D85"/>
    <w:rsid w:val="00F94E2E"/>
    <w:rsid w:val="00F95033"/>
    <w:rsid w:val="00F952D0"/>
    <w:rsid w:val="00F95352"/>
    <w:rsid w:val="00F95400"/>
    <w:rsid w:val="00F9558D"/>
    <w:rsid w:val="00F95620"/>
    <w:rsid w:val="00F95690"/>
    <w:rsid w:val="00F95C6C"/>
    <w:rsid w:val="00F95DDC"/>
    <w:rsid w:val="00F9651B"/>
    <w:rsid w:val="00F96652"/>
    <w:rsid w:val="00F96801"/>
    <w:rsid w:val="00F96BBB"/>
    <w:rsid w:val="00F96E23"/>
    <w:rsid w:val="00F97013"/>
    <w:rsid w:val="00F971EE"/>
    <w:rsid w:val="00F97279"/>
    <w:rsid w:val="00F97509"/>
    <w:rsid w:val="00F976FA"/>
    <w:rsid w:val="00F977D2"/>
    <w:rsid w:val="00F979E5"/>
    <w:rsid w:val="00F979FC"/>
    <w:rsid w:val="00F97A08"/>
    <w:rsid w:val="00FA000A"/>
    <w:rsid w:val="00FA0020"/>
    <w:rsid w:val="00FA0043"/>
    <w:rsid w:val="00FA0599"/>
    <w:rsid w:val="00FA0767"/>
    <w:rsid w:val="00FA0A98"/>
    <w:rsid w:val="00FA1414"/>
    <w:rsid w:val="00FA1437"/>
    <w:rsid w:val="00FA14F2"/>
    <w:rsid w:val="00FA17B6"/>
    <w:rsid w:val="00FA1B25"/>
    <w:rsid w:val="00FA1CBE"/>
    <w:rsid w:val="00FA1F4B"/>
    <w:rsid w:val="00FA219A"/>
    <w:rsid w:val="00FA2701"/>
    <w:rsid w:val="00FA27D2"/>
    <w:rsid w:val="00FA27D9"/>
    <w:rsid w:val="00FA2A4E"/>
    <w:rsid w:val="00FA2A54"/>
    <w:rsid w:val="00FA2D1B"/>
    <w:rsid w:val="00FA328D"/>
    <w:rsid w:val="00FA3510"/>
    <w:rsid w:val="00FA3641"/>
    <w:rsid w:val="00FA3CA6"/>
    <w:rsid w:val="00FA3F20"/>
    <w:rsid w:val="00FA4126"/>
    <w:rsid w:val="00FA4244"/>
    <w:rsid w:val="00FA4315"/>
    <w:rsid w:val="00FA4432"/>
    <w:rsid w:val="00FA44EA"/>
    <w:rsid w:val="00FA451C"/>
    <w:rsid w:val="00FA491C"/>
    <w:rsid w:val="00FA4A90"/>
    <w:rsid w:val="00FA4C68"/>
    <w:rsid w:val="00FA4ECD"/>
    <w:rsid w:val="00FA53E0"/>
    <w:rsid w:val="00FA55CC"/>
    <w:rsid w:val="00FA58A0"/>
    <w:rsid w:val="00FA5AF4"/>
    <w:rsid w:val="00FA5CB9"/>
    <w:rsid w:val="00FA5D74"/>
    <w:rsid w:val="00FA631F"/>
    <w:rsid w:val="00FA63E8"/>
    <w:rsid w:val="00FA64AC"/>
    <w:rsid w:val="00FA6609"/>
    <w:rsid w:val="00FA67CB"/>
    <w:rsid w:val="00FA6F14"/>
    <w:rsid w:val="00FA6F6B"/>
    <w:rsid w:val="00FA7634"/>
    <w:rsid w:val="00FA7BF2"/>
    <w:rsid w:val="00FB00B6"/>
    <w:rsid w:val="00FB01BF"/>
    <w:rsid w:val="00FB057E"/>
    <w:rsid w:val="00FB07B7"/>
    <w:rsid w:val="00FB08B2"/>
    <w:rsid w:val="00FB0F64"/>
    <w:rsid w:val="00FB1381"/>
    <w:rsid w:val="00FB13FA"/>
    <w:rsid w:val="00FB1426"/>
    <w:rsid w:val="00FB1537"/>
    <w:rsid w:val="00FB15E0"/>
    <w:rsid w:val="00FB165A"/>
    <w:rsid w:val="00FB17D5"/>
    <w:rsid w:val="00FB184A"/>
    <w:rsid w:val="00FB1E1C"/>
    <w:rsid w:val="00FB220F"/>
    <w:rsid w:val="00FB2571"/>
    <w:rsid w:val="00FB25B6"/>
    <w:rsid w:val="00FB283C"/>
    <w:rsid w:val="00FB2AE7"/>
    <w:rsid w:val="00FB3064"/>
    <w:rsid w:val="00FB31C7"/>
    <w:rsid w:val="00FB32E9"/>
    <w:rsid w:val="00FB3566"/>
    <w:rsid w:val="00FB3BB4"/>
    <w:rsid w:val="00FB3C16"/>
    <w:rsid w:val="00FB3C56"/>
    <w:rsid w:val="00FB3F3B"/>
    <w:rsid w:val="00FB4029"/>
    <w:rsid w:val="00FB4963"/>
    <w:rsid w:val="00FB4D1F"/>
    <w:rsid w:val="00FB5026"/>
    <w:rsid w:val="00FB505E"/>
    <w:rsid w:val="00FB507D"/>
    <w:rsid w:val="00FB5381"/>
    <w:rsid w:val="00FB571A"/>
    <w:rsid w:val="00FB5745"/>
    <w:rsid w:val="00FB5AC8"/>
    <w:rsid w:val="00FB6041"/>
    <w:rsid w:val="00FB61F5"/>
    <w:rsid w:val="00FB637F"/>
    <w:rsid w:val="00FB6C07"/>
    <w:rsid w:val="00FB6D75"/>
    <w:rsid w:val="00FB6FFA"/>
    <w:rsid w:val="00FB778A"/>
    <w:rsid w:val="00FB78E2"/>
    <w:rsid w:val="00FB7C82"/>
    <w:rsid w:val="00FC08C8"/>
    <w:rsid w:val="00FC09D4"/>
    <w:rsid w:val="00FC0B20"/>
    <w:rsid w:val="00FC0F2D"/>
    <w:rsid w:val="00FC1351"/>
    <w:rsid w:val="00FC18A1"/>
    <w:rsid w:val="00FC1BA6"/>
    <w:rsid w:val="00FC1EE2"/>
    <w:rsid w:val="00FC2361"/>
    <w:rsid w:val="00FC2887"/>
    <w:rsid w:val="00FC2900"/>
    <w:rsid w:val="00FC2BE1"/>
    <w:rsid w:val="00FC2C68"/>
    <w:rsid w:val="00FC2DB4"/>
    <w:rsid w:val="00FC2DDC"/>
    <w:rsid w:val="00FC2E00"/>
    <w:rsid w:val="00FC307E"/>
    <w:rsid w:val="00FC328D"/>
    <w:rsid w:val="00FC3295"/>
    <w:rsid w:val="00FC34E0"/>
    <w:rsid w:val="00FC363D"/>
    <w:rsid w:val="00FC39DD"/>
    <w:rsid w:val="00FC3A40"/>
    <w:rsid w:val="00FC3B82"/>
    <w:rsid w:val="00FC3C0B"/>
    <w:rsid w:val="00FC3ED2"/>
    <w:rsid w:val="00FC41F4"/>
    <w:rsid w:val="00FC4440"/>
    <w:rsid w:val="00FC4D6D"/>
    <w:rsid w:val="00FC531F"/>
    <w:rsid w:val="00FC5320"/>
    <w:rsid w:val="00FC5A45"/>
    <w:rsid w:val="00FC5CBD"/>
    <w:rsid w:val="00FC5DB3"/>
    <w:rsid w:val="00FC5FA4"/>
    <w:rsid w:val="00FC6277"/>
    <w:rsid w:val="00FC62C9"/>
    <w:rsid w:val="00FC64F3"/>
    <w:rsid w:val="00FC678D"/>
    <w:rsid w:val="00FC693C"/>
    <w:rsid w:val="00FC6BB1"/>
    <w:rsid w:val="00FC714E"/>
    <w:rsid w:val="00FC7521"/>
    <w:rsid w:val="00FC763F"/>
    <w:rsid w:val="00FC7668"/>
    <w:rsid w:val="00FC782F"/>
    <w:rsid w:val="00FC7A77"/>
    <w:rsid w:val="00FC7DE2"/>
    <w:rsid w:val="00FD0422"/>
    <w:rsid w:val="00FD0783"/>
    <w:rsid w:val="00FD07D6"/>
    <w:rsid w:val="00FD0B3A"/>
    <w:rsid w:val="00FD0E5E"/>
    <w:rsid w:val="00FD12D0"/>
    <w:rsid w:val="00FD16E7"/>
    <w:rsid w:val="00FD1733"/>
    <w:rsid w:val="00FD2218"/>
    <w:rsid w:val="00FD22D5"/>
    <w:rsid w:val="00FD23A8"/>
    <w:rsid w:val="00FD2484"/>
    <w:rsid w:val="00FD27A8"/>
    <w:rsid w:val="00FD299A"/>
    <w:rsid w:val="00FD2AD6"/>
    <w:rsid w:val="00FD302D"/>
    <w:rsid w:val="00FD3207"/>
    <w:rsid w:val="00FD330E"/>
    <w:rsid w:val="00FD3455"/>
    <w:rsid w:val="00FD3506"/>
    <w:rsid w:val="00FD443A"/>
    <w:rsid w:val="00FD451A"/>
    <w:rsid w:val="00FD46C5"/>
    <w:rsid w:val="00FD4769"/>
    <w:rsid w:val="00FD47BB"/>
    <w:rsid w:val="00FD4B6E"/>
    <w:rsid w:val="00FD4C35"/>
    <w:rsid w:val="00FD4CE2"/>
    <w:rsid w:val="00FD4CF7"/>
    <w:rsid w:val="00FD4D92"/>
    <w:rsid w:val="00FD5550"/>
    <w:rsid w:val="00FD5AAA"/>
    <w:rsid w:val="00FD5CF8"/>
    <w:rsid w:val="00FD5D3F"/>
    <w:rsid w:val="00FD61E2"/>
    <w:rsid w:val="00FD63FA"/>
    <w:rsid w:val="00FD6998"/>
    <w:rsid w:val="00FD6A3A"/>
    <w:rsid w:val="00FD6D84"/>
    <w:rsid w:val="00FD6D9F"/>
    <w:rsid w:val="00FD6F13"/>
    <w:rsid w:val="00FD712E"/>
    <w:rsid w:val="00FD7893"/>
    <w:rsid w:val="00FD7AF3"/>
    <w:rsid w:val="00FD7F15"/>
    <w:rsid w:val="00FD7F7B"/>
    <w:rsid w:val="00FE001B"/>
    <w:rsid w:val="00FE0060"/>
    <w:rsid w:val="00FE05CD"/>
    <w:rsid w:val="00FE0D1C"/>
    <w:rsid w:val="00FE0DAE"/>
    <w:rsid w:val="00FE0FDF"/>
    <w:rsid w:val="00FE1319"/>
    <w:rsid w:val="00FE135E"/>
    <w:rsid w:val="00FE1425"/>
    <w:rsid w:val="00FE147A"/>
    <w:rsid w:val="00FE165A"/>
    <w:rsid w:val="00FE177F"/>
    <w:rsid w:val="00FE189B"/>
    <w:rsid w:val="00FE1ACD"/>
    <w:rsid w:val="00FE22B3"/>
    <w:rsid w:val="00FE22DC"/>
    <w:rsid w:val="00FE2512"/>
    <w:rsid w:val="00FE25D7"/>
    <w:rsid w:val="00FE268C"/>
    <w:rsid w:val="00FE26DD"/>
    <w:rsid w:val="00FE2CFD"/>
    <w:rsid w:val="00FE2DFC"/>
    <w:rsid w:val="00FE305F"/>
    <w:rsid w:val="00FE34FB"/>
    <w:rsid w:val="00FE381B"/>
    <w:rsid w:val="00FE3F2E"/>
    <w:rsid w:val="00FE4232"/>
    <w:rsid w:val="00FE4313"/>
    <w:rsid w:val="00FE458A"/>
    <w:rsid w:val="00FE48F0"/>
    <w:rsid w:val="00FE4C3F"/>
    <w:rsid w:val="00FE51FC"/>
    <w:rsid w:val="00FE530C"/>
    <w:rsid w:val="00FE5869"/>
    <w:rsid w:val="00FE5B40"/>
    <w:rsid w:val="00FE6114"/>
    <w:rsid w:val="00FE62E8"/>
    <w:rsid w:val="00FE6542"/>
    <w:rsid w:val="00FE65F2"/>
    <w:rsid w:val="00FE67DE"/>
    <w:rsid w:val="00FE6DF2"/>
    <w:rsid w:val="00FE6E42"/>
    <w:rsid w:val="00FE7382"/>
    <w:rsid w:val="00FE77E5"/>
    <w:rsid w:val="00FE7D69"/>
    <w:rsid w:val="00FF03DC"/>
    <w:rsid w:val="00FF0536"/>
    <w:rsid w:val="00FF07DC"/>
    <w:rsid w:val="00FF09A9"/>
    <w:rsid w:val="00FF0A34"/>
    <w:rsid w:val="00FF0A79"/>
    <w:rsid w:val="00FF0AEC"/>
    <w:rsid w:val="00FF0DEE"/>
    <w:rsid w:val="00FF13C4"/>
    <w:rsid w:val="00FF16CC"/>
    <w:rsid w:val="00FF1BF3"/>
    <w:rsid w:val="00FF1E3A"/>
    <w:rsid w:val="00FF1ED2"/>
    <w:rsid w:val="00FF21C3"/>
    <w:rsid w:val="00FF28FD"/>
    <w:rsid w:val="00FF2C6F"/>
    <w:rsid w:val="00FF2CCB"/>
    <w:rsid w:val="00FF329E"/>
    <w:rsid w:val="00FF3ACE"/>
    <w:rsid w:val="00FF3C87"/>
    <w:rsid w:val="00FF3C97"/>
    <w:rsid w:val="00FF3EEC"/>
    <w:rsid w:val="00FF429C"/>
    <w:rsid w:val="00FF459D"/>
    <w:rsid w:val="00FF468C"/>
    <w:rsid w:val="00FF47E4"/>
    <w:rsid w:val="00FF484E"/>
    <w:rsid w:val="00FF48DE"/>
    <w:rsid w:val="00FF490F"/>
    <w:rsid w:val="00FF499D"/>
    <w:rsid w:val="00FF4B14"/>
    <w:rsid w:val="00FF4F82"/>
    <w:rsid w:val="00FF5052"/>
    <w:rsid w:val="00FF527C"/>
    <w:rsid w:val="00FF5373"/>
    <w:rsid w:val="00FF5478"/>
    <w:rsid w:val="00FF5748"/>
    <w:rsid w:val="00FF574D"/>
    <w:rsid w:val="00FF5EFF"/>
    <w:rsid w:val="00FF64E7"/>
    <w:rsid w:val="00FF65F8"/>
    <w:rsid w:val="00FF68A4"/>
    <w:rsid w:val="00FF68FC"/>
    <w:rsid w:val="00FF6BEE"/>
    <w:rsid w:val="00FF6D13"/>
    <w:rsid w:val="00FF769B"/>
    <w:rsid w:val="00FF77DA"/>
    <w:rsid w:val="00FF77E8"/>
    <w:rsid w:val="00FF78EB"/>
    <w:rsid w:val="00FF7A63"/>
    <w:rsid w:val="00FF7B3F"/>
    <w:rsid w:val="00FF7BDE"/>
    <w:rsid w:val="00FF7BF1"/>
    <w:rsid w:val="00FF7D87"/>
    <w:rsid w:val="00FF7F41"/>
    <w:rsid w:val="010EE609"/>
    <w:rsid w:val="012ABA0C"/>
    <w:rsid w:val="012C95F2"/>
    <w:rsid w:val="012F185D"/>
    <w:rsid w:val="0154457A"/>
    <w:rsid w:val="0164D40F"/>
    <w:rsid w:val="0197CC2E"/>
    <w:rsid w:val="01A09222"/>
    <w:rsid w:val="01A69214"/>
    <w:rsid w:val="01AF078C"/>
    <w:rsid w:val="01EBB17F"/>
    <w:rsid w:val="0203D134"/>
    <w:rsid w:val="020E57BB"/>
    <w:rsid w:val="021C7B6C"/>
    <w:rsid w:val="022A39B5"/>
    <w:rsid w:val="023D1648"/>
    <w:rsid w:val="02442829"/>
    <w:rsid w:val="0247991E"/>
    <w:rsid w:val="025AC9D7"/>
    <w:rsid w:val="02716422"/>
    <w:rsid w:val="02860378"/>
    <w:rsid w:val="02BC8B95"/>
    <w:rsid w:val="02E3A2BA"/>
    <w:rsid w:val="02FB759E"/>
    <w:rsid w:val="030266B3"/>
    <w:rsid w:val="03086A47"/>
    <w:rsid w:val="0309F2E0"/>
    <w:rsid w:val="0335A184"/>
    <w:rsid w:val="037C3B80"/>
    <w:rsid w:val="037FF320"/>
    <w:rsid w:val="03A11687"/>
    <w:rsid w:val="03A2BCB8"/>
    <w:rsid w:val="03A9627B"/>
    <w:rsid w:val="03B532C7"/>
    <w:rsid w:val="03C96615"/>
    <w:rsid w:val="03DBD1FB"/>
    <w:rsid w:val="0407B838"/>
    <w:rsid w:val="04205BDD"/>
    <w:rsid w:val="042AA9A2"/>
    <w:rsid w:val="0436A0F0"/>
    <w:rsid w:val="045437DC"/>
    <w:rsid w:val="0454456D"/>
    <w:rsid w:val="0457272B"/>
    <w:rsid w:val="045DD859"/>
    <w:rsid w:val="0480C6C1"/>
    <w:rsid w:val="0495BABA"/>
    <w:rsid w:val="04A71FD2"/>
    <w:rsid w:val="04AA7D2A"/>
    <w:rsid w:val="04CE3F9F"/>
    <w:rsid w:val="04D691B2"/>
    <w:rsid w:val="04D8E87A"/>
    <w:rsid w:val="04E24D54"/>
    <w:rsid w:val="04EF987E"/>
    <w:rsid w:val="0501B51E"/>
    <w:rsid w:val="0508528A"/>
    <w:rsid w:val="0515E211"/>
    <w:rsid w:val="052A62CD"/>
    <w:rsid w:val="05456F36"/>
    <w:rsid w:val="05486D51"/>
    <w:rsid w:val="0561D688"/>
    <w:rsid w:val="05B1BAAA"/>
    <w:rsid w:val="05CF616F"/>
    <w:rsid w:val="05F009B5"/>
    <w:rsid w:val="05F8763A"/>
    <w:rsid w:val="05FB6CC5"/>
    <w:rsid w:val="05FDA205"/>
    <w:rsid w:val="063B9780"/>
    <w:rsid w:val="063CA270"/>
    <w:rsid w:val="0641B540"/>
    <w:rsid w:val="064C6C3F"/>
    <w:rsid w:val="06644A24"/>
    <w:rsid w:val="06671B5F"/>
    <w:rsid w:val="066865CC"/>
    <w:rsid w:val="0678BB52"/>
    <w:rsid w:val="06858291"/>
    <w:rsid w:val="069C765D"/>
    <w:rsid w:val="06A0F04F"/>
    <w:rsid w:val="06AACFDA"/>
    <w:rsid w:val="06BD9A56"/>
    <w:rsid w:val="06DDF615"/>
    <w:rsid w:val="06E0A483"/>
    <w:rsid w:val="0728F175"/>
    <w:rsid w:val="073647D0"/>
    <w:rsid w:val="0739A739"/>
    <w:rsid w:val="073CFE67"/>
    <w:rsid w:val="076383C8"/>
    <w:rsid w:val="07727640"/>
    <w:rsid w:val="078B1DE1"/>
    <w:rsid w:val="079A3BC1"/>
    <w:rsid w:val="07C13C9A"/>
    <w:rsid w:val="07FB3D63"/>
    <w:rsid w:val="08087A7D"/>
    <w:rsid w:val="081A18A4"/>
    <w:rsid w:val="08251CF4"/>
    <w:rsid w:val="08496F9A"/>
    <w:rsid w:val="084B4954"/>
    <w:rsid w:val="085419DB"/>
    <w:rsid w:val="08546F72"/>
    <w:rsid w:val="0869114D"/>
    <w:rsid w:val="08A4CED5"/>
    <w:rsid w:val="08AAAA3A"/>
    <w:rsid w:val="08C61DEC"/>
    <w:rsid w:val="08D0BB50"/>
    <w:rsid w:val="08D7A11A"/>
    <w:rsid w:val="08EB26B6"/>
    <w:rsid w:val="08F231D7"/>
    <w:rsid w:val="08FB42BA"/>
    <w:rsid w:val="090E3622"/>
    <w:rsid w:val="09357C35"/>
    <w:rsid w:val="0937163E"/>
    <w:rsid w:val="0938DB83"/>
    <w:rsid w:val="094B08C4"/>
    <w:rsid w:val="095CE859"/>
    <w:rsid w:val="0962252C"/>
    <w:rsid w:val="098712CE"/>
    <w:rsid w:val="0987B035"/>
    <w:rsid w:val="098EE7E1"/>
    <w:rsid w:val="099BAE39"/>
    <w:rsid w:val="09C3F0BE"/>
    <w:rsid w:val="09C5E0BC"/>
    <w:rsid w:val="09C8696F"/>
    <w:rsid w:val="09EA7CB8"/>
    <w:rsid w:val="09F3F3E7"/>
    <w:rsid w:val="09FBC4C2"/>
    <w:rsid w:val="0A06B563"/>
    <w:rsid w:val="0A119FC2"/>
    <w:rsid w:val="0A35423A"/>
    <w:rsid w:val="0A3F132F"/>
    <w:rsid w:val="0A4C35F7"/>
    <w:rsid w:val="0A6F232F"/>
    <w:rsid w:val="0A9327B7"/>
    <w:rsid w:val="0A961C50"/>
    <w:rsid w:val="0AA5A125"/>
    <w:rsid w:val="0AB1B1CB"/>
    <w:rsid w:val="0AE4EC98"/>
    <w:rsid w:val="0AF5D6BF"/>
    <w:rsid w:val="0B086B19"/>
    <w:rsid w:val="0B588117"/>
    <w:rsid w:val="0B627F16"/>
    <w:rsid w:val="0B7D7241"/>
    <w:rsid w:val="0BACFACF"/>
    <w:rsid w:val="0BB6752D"/>
    <w:rsid w:val="0BE0609F"/>
    <w:rsid w:val="0BEBE3F1"/>
    <w:rsid w:val="0BF0CBC9"/>
    <w:rsid w:val="0C18E3AF"/>
    <w:rsid w:val="0C287970"/>
    <w:rsid w:val="0C3419D8"/>
    <w:rsid w:val="0C38A2F0"/>
    <w:rsid w:val="0C5D4F37"/>
    <w:rsid w:val="0C7C8BAC"/>
    <w:rsid w:val="0C945ED0"/>
    <w:rsid w:val="0C99D19A"/>
    <w:rsid w:val="0C9BC3DE"/>
    <w:rsid w:val="0CAB5661"/>
    <w:rsid w:val="0CAE46FF"/>
    <w:rsid w:val="0CBE74E7"/>
    <w:rsid w:val="0D072C77"/>
    <w:rsid w:val="0D08AA10"/>
    <w:rsid w:val="0D0DA739"/>
    <w:rsid w:val="0D2695EB"/>
    <w:rsid w:val="0D390E06"/>
    <w:rsid w:val="0D3AA478"/>
    <w:rsid w:val="0D465254"/>
    <w:rsid w:val="0D495FBD"/>
    <w:rsid w:val="0D4B3424"/>
    <w:rsid w:val="0D56CA14"/>
    <w:rsid w:val="0D75DA82"/>
    <w:rsid w:val="0D8CF9CB"/>
    <w:rsid w:val="0D9896A7"/>
    <w:rsid w:val="0D990139"/>
    <w:rsid w:val="0DDE6BC8"/>
    <w:rsid w:val="0DE1F17E"/>
    <w:rsid w:val="0DF17229"/>
    <w:rsid w:val="0DF64F4D"/>
    <w:rsid w:val="0E1D4134"/>
    <w:rsid w:val="0E300160"/>
    <w:rsid w:val="0E31F381"/>
    <w:rsid w:val="0E4CE98A"/>
    <w:rsid w:val="0E59946D"/>
    <w:rsid w:val="0E6A08C8"/>
    <w:rsid w:val="0E7980D3"/>
    <w:rsid w:val="0E7B40A5"/>
    <w:rsid w:val="0E8C5F91"/>
    <w:rsid w:val="0E8D5BA4"/>
    <w:rsid w:val="0E9D2B15"/>
    <w:rsid w:val="0E9D9F23"/>
    <w:rsid w:val="0EBCF1FB"/>
    <w:rsid w:val="0EC880C1"/>
    <w:rsid w:val="0ECD05D9"/>
    <w:rsid w:val="0F2C0161"/>
    <w:rsid w:val="0F35EC89"/>
    <w:rsid w:val="0F4DFDA4"/>
    <w:rsid w:val="0F706C6D"/>
    <w:rsid w:val="0F788FF7"/>
    <w:rsid w:val="0F79142B"/>
    <w:rsid w:val="0F8E4193"/>
    <w:rsid w:val="0FA1BBC6"/>
    <w:rsid w:val="0FB554EC"/>
    <w:rsid w:val="0FC3FB04"/>
    <w:rsid w:val="0FD3A2F7"/>
    <w:rsid w:val="0FE4F3E0"/>
    <w:rsid w:val="102B5987"/>
    <w:rsid w:val="103B7597"/>
    <w:rsid w:val="1040F135"/>
    <w:rsid w:val="104C69EE"/>
    <w:rsid w:val="107E5AE8"/>
    <w:rsid w:val="109610D2"/>
    <w:rsid w:val="10CD8167"/>
    <w:rsid w:val="10EAD6D3"/>
    <w:rsid w:val="10FF1397"/>
    <w:rsid w:val="1100E06A"/>
    <w:rsid w:val="110D72FA"/>
    <w:rsid w:val="113C575C"/>
    <w:rsid w:val="1140A249"/>
    <w:rsid w:val="114DDF8F"/>
    <w:rsid w:val="115270C2"/>
    <w:rsid w:val="1170DEF9"/>
    <w:rsid w:val="119354AC"/>
    <w:rsid w:val="11C2F6C8"/>
    <w:rsid w:val="11D7F06E"/>
    <w:rsid w:val="11DD9E61"/>
    <w:rsid w:val="11FE5653"/>
    <w:rsid w:val="12283AC0"/>
    <w:rsid w:val="123713A4"/>
    <w:rsid w:val="123C20D0"/>
    <w:rsid w:val="12614240"/>
    <w:rsid w:val="1283439A"/>
    <w:rsid w:val="129A5074"/>
    <w:rsid w:val="129E01A8"/>
    <w:rsid w:val="12E3BA00"/>
    <w:rsid w:val="12FDECCF"/>
    <w:rsid w:val="13000793"/>
    <w:rsid w:val="1300E1B9"/>
    <w:rsid w:val="130EC1F1"/>
    <w:rsid w:val="132749EE"/>
    <w:rsid w:val="13418125"/>
    <w:rsid w:val="1346B6A1"/>
    <w:rsid w:val="1358A480"/>
    <w:rsid w:val="137DB9DE"/>
    <w:rsid w:val="13A4E8AA"/>
    <w:rsid w:val="13C076F7"/>
    <w:rsid w:val="14038732"/>
    <w:rsid w:val="143B63D9"/>
    <w:rsid w:val="14559AE9"/>
    <w:rsid w:val="1473FDB1"/>
    <w:rsid w:val="1487DA03"/>
    <w:rsid w:val="149256BA"/>
    <w:rsid w:val="14978169"/>
    <w:rsid w:val="14BD0EA9"/>
    <w:rsid w:val="14CCD95C"/>
    <w:rsid w:val="14CFEA25"/>
    <w:rsid w:val="14E07374"/>
    <w:rsid w:val="14F1A576"/>
    <w:rsid w:val="150AC15E"/>
    <w:rsid w:val="15184C10"/>
    <w:rsid w:val="15260058"/>
    <w:rsid w:val="156478A9"/>
    <w:rsid w:val="1567C9E8"/>
    <w:rsid w:val="15708C5F"/>
    <w:rsid w:val="1571FBC8"/>
    <w:rsid w:val="15FAEC75"/>
    <w:rsid w:val="162473F5"/>
    <w:rsid w:val="1631BF94"/>
    <w:rsid w:val="16384812"/>
    <w:rsid w:val="163B211D"/>
    <w:rsid w:val="1640CC14"/>
    <w:rsid w:val="167930A0"/>
    <w:rsid w:val="167A7F46"/>
    <w:rsid w:val="168CEBB7"/>
    <w:rsid w:val="16D655C0"/>
    <w:rsid w:val="16EDBF1D"/>
    <w:rsid w:val="16F00E96"/>
    <w:rsid w:val="17461698"/>
    <w:rsid w:val="17592EF9"/>
    <w:rsid w:val="1766DB69"/>
    <w:rsid w:val="1767DB7A"/>
    <w:rsid w:val="17A6105C"/>
    <w:rsid w:val="17A6D685"/>
    <w:rsid w:val="17B30E69"/>
    <w:rsid w:val="17ECD337"/>
    <w:rsid w:val="17F0F016"/>
    <w:rsid w:val="180480C0"/>
    <w:rsid w:val="182139BB"/>
    <w:rsid w:val="182A6108"/>
    <w:rsid w:val="182DB843"/>
    <w:rsid w:val="182F7506"/>
    <w:rsid w:val="1833691A"/>
    <w:rsid w:val="18383920"/>
    <w:rsid w:val="1849A069"/>
    <w:rsid w:val="1850779C"/>
    <w:rsid w:val="1860F258"/>
    <w:rsid w:val="187C4932"/>
    <w:rsid w:val="1883DA1B"/>
    <w:rsid w:val="188C4D25"/>
    <w:rsid w:val="1897BEFA"/>
    <w:rsid w:val="18A342F8"/>
    <w:rsid w:val="18A7AF41"/>
    <w:rsid w:val="18AB74C3"/>
    <w:rsid w:val="18C99B7A"/>
    <w:rsid w:val="18CBB6C3"/>
    <w:rsid w:val="18CCE776"/>
    <w:rsid w:val="18D17716"/>
    <w:rsid w:val="18EF734F"/>
    <w:rsid w:val="18F03283"/>
    <w:rsid w:val="19070529"/>
    <w:rsid w:val="19166064"/>
    <w:rsid w:val="1916627D"/>
    <w:rsid w:val="192105A1"/>
    <w:rsid w:val="193CAD6F"/>
    <w:rsid w:val="19448334"/>
    <w:rsid w:val="197D1320"/>
    <w:rsid w:val="1980D58A"/>
    <w:rsid w:val="19943AF1"/>
    <w:rsid w:val="19A93700"/>
    <w:rsid w:val="19AD1A1F"/>
    <w:rsid w:val="19AE1C5B"/>
    <w:rsid w:val="19B5FA4E"/>
    <w:rsid w:val="19E0FD71"/>
    <w:rsid w:val="1A0B9BB0"/>
    <w:rsid w:val="1A18E607"/>
    <w:rsid w:val="1A2C3C09"/>
    <w:rsid w:val="1A437B2F"/>
    <w:rsid w:val="1A7B07D3"/>
    <w:rsid w:val="1A9C8EB0"/>
    <w:rsid w:val="1AB2BBA4"/>
    <w:rsid w:val="1AD75728"/>
    <w:rsid w:val="1AE0394D"/>
    <w:rsid w:val="1AEB9F4B"/>
    <w:rsid w:val="1B020966"/>
    <w:rsid w:val="1B043162"/>
    <w:rsid w:val="1B23B7EF"/>
    <w:rsid w:val="1B256A65"/>
    <w:rsid w:val="1B3F62E9"/>
    <w:rsid w:val="1B47E2F3"/>
    <w:rsid w:val="1B69CC5F"/>
    <w:rsid w:val="1B82EC87"/>
    <w:rsid w:val="1B96379A"/>
    <w:rsid w:val="1BAF5AA9"/>
    <w:rsid w:val="1BB6C95B"/>
    <w:rsid w:val="1BC41E87"/>
    <w:rsid w:val="1BD0E142"/>
    <w:rsid w:val="1BF08042"/>
    <w:rsid w:val="1BF7207D"/>
    <w:rsid w:val="1BFDDE24"/>
    <w:rsid w:val="1C019E73"/>
    <w:rsid w:val="1C20AC7C"/>
    <w:rsid w:val="1C48F593"/>
    <w:rsid w:val="1C64D936"/>
    <w:rsid w:val="1C664065"/>
    <w:rsid w:val="1C79823D"/>
    <w:rsid w:val="1C809AD3"/>
    <w:rsid w:val="1C85810F"/>
    <w:rsid w:val="1C8A6964"/>
    <w:rsid w:val="1C8CF562"/>
    <w:rsid w:val="1C8EB8D9"/>
    <w:rsid w:val="1C90D5E2"/>
    <w:rsid w:val="1C942B5D"/>
    <w:rsid w:val="1CAE09B7"/>
    <w:rsid w:val="1CC24772"/>
    <w:rsid w:val="1CEFB5A0"/>
    <w:rsid w:val="1D12FA3C"/>
    <w:rsid w:val="1D45CE10"/>
    <w:rsid w:val="1D5EB32F"/>
    <w:rsid w:val="1D630FEB"/>
    <w:rsid w:val="1D65E360"/>
    <w:rsid w:val="1D6DC6D7"/>
    <w:rsid w:val="1DBA8A89"/>
    <w:rsid w:val="1DBD0F2A"/>
    <w:rsid w:val="1DD20B2F"/>
    <w:rsid w:val="1DD6A297"/>
    <w:rsid w:val="1DE162C9"/>
    <w:rsid w:val="1E4A99E0"/>
    <w:rsid w:val="1E65CAC1"/>
    <w:rsid w:val="1E68DDD2"/>
    <w:rsid w:val="1E7E1A5D"/>
    <w:rsid w:val="1E7F184E"/>
    <w:rsid w:val="1EA08CD0"/>
    <w:rsid w:val="1EA89162"/>
    <w:rsid w:val="1EB097BE"/>
    <w:rsid w:val="1EB7DEF6"/>
    <w:rsid w:val="1EBDC3AD"/>
    <w:rsid w:val="1EC40578"/>
    <w:rsid w:val="1EF609D0"/>
    <w:rsid w:val="1EFC0109"/>
    <w:rsid w:val="1F040637"/>
    <w:rsid w:val="1F0CA4A0"/>
    <w:rsid w:val="1F1B9818"/>
    <w:rsid w:val="1F29985A"/>
    <w:rsid w:val="1F37E011"/>
    <w:rsid w:val="1F44CE18"/>
    <w:rsid w:val="1F472402"/>
    <w:rsid w:val="1F4CF9EB"/>
    <w:rsid w:val="1F694B8C"/>
    <w:rsid w:val="1F9A9F8E"/>
    <w:rsid w:val="1FAA1767"/>
    <w:rsid w:val="1FABF25C"/>
    <w:rsid w:val="1FCA1CF5"/>
    <w:rsid w:val="1FED50D4"/>
    <w:rsid w:val="1FF44B9E"/>
    <w:rsid w:val="200B14D0"/>
    <w:rsid w:val="202B3BC0"/>
    <w:rsid w:val="2085B042"/>
    <w:rsid w:val="208E41AC"/>
    <w:rsid w:val="2090DAAC"/>
    <w:rsid w:val="20A48B0F"/>
    <w:rsid w:val="20C40CB3"/>
    <w:rsid w:val="20D02DFB"/>
    <w:rsid w:val="20DEF030"/>
    <w:rsid w:val="20DEFAC7"/>
    <w:rsid w:val="20EE569F"/>
    <w:rsid w:val="21002DA5"/>
    <w:rsid w:val="2111B71D"/>
    <w:rsid w:val="21329509"/>
    <w:rsid w:val="21393BB3"/>
    <w:rsid w:val="213AEFD1"/>
    <w:rsid w:val="214A31B8"/>
    <w:rsid w:val="215DFC94"/>
    <w:rsid w:val="2163769E"/>
    <w:rsid w:val="2177B49C"/>
    <w:rsid w:val="21821532"/>
    <w:rsid w:val="21A1FD35"/>
    <w:rsid w:val="21FD72E6"/>
    <w:rsid w:val="2203B8E0"/>
    <w:rsid w:val="220D3E14"/>
    <w:rsid w:val="221C016B"/>
    <w:rsid w:val="22483F44"/>
    <w:rsid w:val="22563A2C"/>
    <w:rsid w:val="22640DD3"/>
    <w:rsid w:val="227DDD39"/>
    <w:rsid w:val="22C19316"/>
    <w:rsid w:val="22CB5B60"/>
    <w:rsid w:val="22F126F6"/>
    <w:rsid w:val="2319DAF1"/>
    <w:rsid w:val="231DA82A"/>
    <w:rsid w:val="2322BB5E"/>
    <w:rsid w:val="2326CF6E"/>
    <w:rsid w:val="234A68CC"/>
    <w:rsid w:val="23518199"/>
    <w:rsid w:val="23A55064"/>
    <w:rsid w:val="23A6EE95"/>
    <w:rsid w:val="23A7DEF7"/>
    <w:rsid w:val="23BCEA0F"/>
    <w:rsid w:val="23D2CBFF"/>
    <w:rsid w:val="23DDA8E5"/>
    <w:rsid w:val="23F370B8"/>
    <w:rsid w:val="23F5DA23"/>
    <w:rsid w:val="23F6555F"/>
    <w:rsid w:val="24028293"/>
    <w:rsid w:val="240B5F83"/>
    <w:rsid w:val="240C618E"/>
    <w:rsid w:val="24107BEC"/>
    <w:rsid w:val="2426EF70"/>
    <w:rsid w:val="242A4D71"/>
    <w:rsid w:val="2430589C"/>
    <w:rsid w:val="2459CF16"/>
    <w:rsid w:val="245DDCBC"/>
    <w:rsid w:val="246540B0"/>
    <w:rsid w:val="2469530A"/>
    <w:rsid w:val="247312D1"/>
    <w:rsid w:val="2479BAB0"/>
    <w:rsid w:val="247A199F"/>
    <w:rsid w:val="24AABCBE"/>
    <w:rsid w:val="24BFFFA9"/>
    <w:rsid w:val="24D4D604"/>
    <w:rsid w:val="24FAD636"/>
    <w:rsid w:val="25382CEE"/>
    <w:rsid w:val="255AE5B2"/>
    <w:rsid w:val="25795AAB"/>
    <w:rsid w:val="25A6CD82"/>
    <w:rsid w:val="25ABF345"/>
    <w:rsid w:val="25C57B71"/>
    <w:rsid w:val="25D8AA74"/>
    <w:rsid w:val="25EAA3A4"/>
    <w:rsid w:val="260273A1"/>
    <w:rsid w:val="260CC4E1"/>
    <w:rsid w:val="265C9AE8"/>
    <w:rsid w:val="266F9A3A"/>
    <w:rsid w:val="267AFE3D"/>
    <w:rsid w:val="267EE53C"/>
    <w:rsid w:val="269AFD25"/>
    <w:rsid w:val="26AC25BC"/>
    <w:rsid w:val="26AC5B5A"/>
    <w:rsid w:val="26BEBB55"/>
    <w:rsid w:val="26C2AB3E"/>
    <w:rsid w:val="26D5B4B5"/>
    <w:rsid w:val="26D6DA05"/>
    <w:rsid w:val="26DB19CA"/>
    <w:rsid w:val="26F430D0"/>
    <w:rsid w:val="270DA0A5"/>
    <w:rsid w:val="270F1734"/>
    <w:rsid w:val="2744668F"/>
    <w:rsid w:val="27545683"/>
    <w:rsid w:val="2764554E"/>
    <w:rsid w:val="276A2E05"/>
    <w:rsid w:val="276B106F"/>
    <w:rsid w:val="2785A717"/>
    <w:rsid w:val="279A829D"/>
    <w:rsid w:val="279B421F"/>
    <w:rsid w:val="27B0C9F9"/>
    <w:rsid w:val="27BAE82E"/>
    <w:rsid w:val="27BAF0B3"/>
    <w:rsid w:val="27C3FF7B"/>
    <w:rsid w:val="27CCAF01"/>
    <w:rsid w:val="281DD9EF"/>
    <w:rsid w:val="28270E01"/>
    <w:rsid w:val="2861A8D2"/>
    <w:rsid w:val="28779EE2"/>
    <w:rsid w:val="2890A6BD"/>
    <w:rsid w:val="2890CB77"/>
    <w:rsid w:val="28B8DDBF"/>
    <w:rsid w:val="28CF2381"/>
    <w:rsid w:val="28E24AD5"/>
    <w:rsid w:val="28F71CDA"/>
    <w:rsid w:val="2902B734"/>
    <w:rsid w:val="291F96A1"/>
    <w:rsid w:val="2935D3EA"/>
    <w:rsid w:val="2937AE0B"/>
    <w:rsid w:val="296D2AF4"/>
    <w:rsid w:val="296F64DC"/>
    <w:rsid w:val="297951F0"/>
    <w:rsid w:val="298E1CD8"/>
    <w:rsid w:val="29981383"/>
    <w:rsid w:val="29B5010B"/>
    <w:rsid w:val="29D9C754"/>
    <w:rsid w:val="29E9276A"/>
    <w:rsid w:val="2A1604E9"/>
    <w:rsid w:val="2A27F378"/>
    <w:rsid w:val="2A2BC8EC"/>
    <w:rsid w:val="2A5B077A"/>
    <w:rsid w:val="2A5D835B"/>
    <w:rsid w:val="2A625BDA"/>
    <w:rsid w:val="2A78A3D9"/>
    <w:rsid w:val="2AAB1CBB"/>
    <w:rsid w:val="2AAF7EB4"/>
    <w:rsid w:val="2AAFC8E3"/>
    <w:rsid w:val="2AC49643"/>
    <w:rsid w:val="2AC78D4F"/>
    <w:rsid w:val="2AF313E7"/>
    <w:rsid w:val="2B05AB3D"/>
    <w:rsid w:val="2B1983A6"/>
    <w:rsid w:val="2B1DA2EA"/>
    <w:rsid w:val="2B23D2AC"/>
    <w:rsid w:val="2B509E37"/>
    <w:rsid w:val="2B5FAB82"/>
    <w:rsid w:val="2B7E5A28"/>
    <w:rsid w:val="2B8DEB10"/>
    <w:rsid w:val="2B90DA97"/>
    <w:rsid w:val="2B91540B"/>
    <w:rsid w:val="2B942DBD"/>
    <w:rsid w:val="2B9F2EC9"/>
    <w:rsid w:val="2BDBE407"/>
    <w:rsid w:val="2BEB6657"/>
    <w:rsid w:val="2BECC9E5"/>
    <w:rsid w:val="2C2F978E"/>
    <w:rsid w:val="2C3E2861"/>
    <w:rsid w:val="2C6A60C5"/>
    <w:rsid w:val="2C8BA4DD"/>
    <w:rsid w:val="2C8FBE18"/>
    <w:rsid w:val="2C9DFD89"/>
    <w:rsid w:val="2CB5223A"/>
    <w:rsid w:val="2CB6CAE1"/>
    <w:rsid w:val="2CB75EBE"/>
    <w:rsid w:val="2CB9811E"/>
    <w:rsid w:val="2CD361F3"/>
    <w:rsid w:val="2CE3E4CA"/>
    <w:rsid w:val="2CE59A7E"/>
    <w:rsid w:val="2D01926D"/>
    <w:rsid w:val="2D17967F"/>
    <w:rsid w:val="2D2843FA"/>
    <w:rsid w:val="2D2D5DED"/>
    <w:rsid w:val="2D3BB5C1"/>
    <w:rsid w:val="2D46B1DE"/>
    <w:rsid w:val="2D72F9D6"/>
    <w:rsid w:val="2D735A94"/>
    <w:rsid w:val="2D7600D3"/>
    <w:rsid w:val="2D7EB678"/>
    <w:rsid w:val="2D9FD8E4"/>
    <w:rsid w:val="2DAE8255"/>
    <w:rsid w:val="2DB8ED74"/>
    <w:rsid w:val="2DCB70AD"/>
    <w:rsid w:val="2DD1EAB5"/>
    <w:rsid w:val="2DED23D2"/>
    <w:rsid w:val="2DEE044E"/>
    <w:rsid w:val="2E15DC39"/>
    <w:rsid w:val="2E1BD6EE"/>
    <w:rsid w:val="2E25EC56"/>
    <w:rsid w:val="2E2AD348"/>
    <w:rsid w:val="2E2B096C"/>
    <w:rsid w:val="2E3D0223"/>
    <w:rsid w:val="2E724279"/>
    <w:rsid w:val="2E9017EA"/>
    <w:rsid w:val="2EBED0A8"/>
    <w:rsid w:val="2ED67E6B"/>
    <w:rsid w:val="2F07667F"/>
    <w:rsid w:val="2F0AA5AF"/>
    <w:rsid w:val="2F2289FB"/>
    <w:rsid w:val="2F4EE01A"/>
    <w:rsid w:val="2F6F7624"/>
    <w:rsid w:val="2F77F936"/>
    <w:rsid w:val="2FBFAC1A"/>
    <w:rsid w:val="2FC86C85"/>
    <w:rsid w:val="2FD11055"/>
    <w:rsid w:val="2FEFFC2C"/>
    <w:rsid w:val="2FF0DEC0"/>
    <w:rsid w:val="2FF8559A"/>
    <w:rsid w:val="2FFB2CC0"/>
    <w:rsid w:val="3033753E"/>
    <w:rsid w:val="30438DF4"/>
    <w:rsid w:val="3079FE2E"/>
    <w:rsid w:val="30B3D7A2"/>
    <w:rsid w:val="30C194C3"/>
    <w:rsid w:val="30DDE0EB"/>
    <w:rsid w:val="30EE92BF"/>
    <w:rsid w:val="30FFBA4E"/>
    <w:rsid w:val="31060E08"/>
    <w:rsid w:val="310B0940"/>
    <w:rsid w:val="3112E3CE"/>
    <w:rsid w:val="31131904"/>
    <w:rsid w:val="3117282D"/>
    <w:rsid w:val="3163A2FB"/>
    <w:rsid w:val="317328D3"/>
    <w:rsid w:val="3186902E"/>
    <w:rsid w:val="3188359A"/>
    <w:rsid w:val="31892B7E"/>
    <w:rsid w:val="31A4EA88"/>
    <w:rsid w:val="31C333A4"/>
    <w:rsid w:val="31D52075"/>
    <w:rsid w:val="31D54483"/>
    <w:rsid w:val="31E5370D"/>
    <w:rsid w:val="322DD4A5"/>
    <w:rsid w:val="3263474F"/>
    <w:rsid w:val="32781BC0"/>
    <w:rsid w:val="327E8D9B"/>
    <w:rsid w:val="32832D50"/>
    <w:rsid w:val="329DA56F"/>
    <w:rsid w:val="32A331F5"/>
    <w:rsid w:val="32A53895"/>
    <w:rsid w:val="32B6ED3C"/>
    <w:rsid w:val="32C0E27E"/>
    <w:rsid w:val="32CEB197"/>
    <w:rsid w:val="32D044F3"/>
    <w:rsid w:val="330764E2"/>
    <w:rsid w:val="331D23C8"/>
    <w:rsid w:val="332F1856"/>
    <w:rsid w:val="334D064D"/>
    <w:rsid w:val="3372E58E"/>
    <w:rsid w:val="338224E3"/>
    <w:rsid w:val="33AB2BE3"/>
    <w:rsid w:val="33AB6020"/>
    <w:rsid w:val="33BE8925"/>
    <w:rsid w:val="33D1128F"/>
    <w:rsid w:val="33D814BC"/>
    <w:rsid w:val="33F31EB6"/>
    <w:rsid w:val="340DE26E"/>
    <w:rsid w:val="342F0F65"/>
    <w:rsid w:val="344D83DB"/>
    <w:rsid w:val="345E108B"/>
    <w:rsid w:val="34635B53"/>
    <w:rsid w:val="346385F8"/>
    <w:rsid w:val="348C6A15"/>
    <w:rsid w:val="34BC4C42"/>
    <w:rsid w:val="34D9EA47"/>
    <w:rsid w:val="34F2EFD6"/>
    <w:rsid w:val="3505763F"/>
    <w:rsid w:val="3529C85E"/>
    <w:rsid w:val="352B8D27"/>
    <w:rsid w:val="3554558A"/>
    <w:rsid w:val="356BAA39"/>
    <w:rsid w:val="3589450E"/>
    <w:rsid w:val="358F6E9E"/>
    <w:rsid w:val="3593A6B6"/>
    <w:rsid w:val="359E54B1"/>
    <w:rsid w:val="35A3B63D"/>
    <w:rsid w:val="35B767F1"/>
    <w:rsid w:val="35BC85DA"/>
    <w:rsid w:val="35D506B4"/>
    <w:rsid w:val="35E40E8E"/>
    <w:rsid w:val="35EC106D"/>
    <w:rsid w:val="360F0643"/>
    <w:rsid w:val="361CE963"/>
    <w:rsid w:val="362AF2E3"/>
    <w:rsid w:val="3632C17F"/>
    <w:rsid w:val="3653E172"/>
    <w:rsid w:val="3689138A"/>
    <w:rsid w:val="369000E0"/>
    <w:rsid w:val="36AF22C7"/>
    <w:rsid w:val="36CECD39"/>
    <w:rsid w:val="36EBAB90"/>
    <w:rsid w:val="36F4B194"/>
    <w:rsid w:val="3703CDBC"/>
    <w:rsid w:val="370C6A8F"/>
    <w:rsid w:val="3718D6BB"/>
    <w:rsid w:val="37258AB1"/>
    <w:rsid w:val="3730C64C"/>
    <w:rsid w:val="3745D887"/>
    <w:rsid w:val="378B4AD9"/>
    <w:rsid w:val="37977A6E"/>
    <w:rsid w:val="37A24A29"/>
    <w:rsid w:val="37A9B63E"/>
    <w:rsid w:val="37C5D70F"/>
    <w:rsid w:val="37D8398F"/>
    <w:rsid w:val="37EB1FDC"/>
    <w:rsid w:val="3811CC33"/>
    <w:rsid w:val="3825F41F"/>
    <w:rsid w:val="382AB5C1"/>
    <w:rsid w:val="382CFEA3"/>
    <w:rsid w:val="384A2739"/>
    <w:rsid w:val="386966EE"/>
    <w:rsid w:val="387DAEA4"/>
    <w:rsid w:val="38D6E609"/>
    <w:rsid w:val="38F03E1A"/>
    <w:rsid w:val="39057590"/>
    <w:rsid w:val="391CEC70"/>
    <w:rsid w:val="3933E26C"/>
    <w:rsid w:val="3941B9F4"/>
    <w:rsid w:val="39424356"/>
    <w:rsid w:val="3957CED2"/>
    <w:rsid w:val="3958AF1C"/>
    <w:rsid w:val="395FE496"/>
    <w:rsid w:val="39933367"/>
    <w:rsid w:val="3994E8BC"/>
    <w:rsid w:val="39987228"/>
    <w:rsid w:val="39A0F3CF"/>
    <w:rsid w:val="39A73767"/>
    <w:rsid w:val="39CFFACC"/>
    <w:rsid w:val="39E6F7A0"/>
    <w:rsid w:val="39EC7BA7"/>
    <w:rsid w:val="39F33028"/>
    <w:rsid w:val="3A09066C"/>
    <w:rsid w:val="3A1989DD"/>
    <w:rsid w:val="3A1E23C5"/>
    <w:rsid w:val="3A263D49"/>
    <w:rsid w:val="3A3A0903"/>
    <w:rsid w:val="3A60C969"/>
    <w:rsid w:val="3AB12746"/>
    <w:rsid w:val="3AB29C02"/>
    <w:rsid w:val="3AD1AEC5"/>
    <w:rsid w:val="3AEA1D8B"/>
    <w:rsid w:val="3B0C64E4"/>
    <w:rsid w:val="3B2C8797"/>
    <w:rsid w:val="3B2E59D3"/>
    <w:rsid w:val="3B3BF414"/>
    <w:rsid w:val="3B71943A"/>
    <w:rsid w:val="3B7906D5"/>
    <w:rsid w:val="3B86803E"/>
    <w:rsid w:val="3B99CE54"/>
    <w:rsid w:val="3BB56596"/>
    <w:rsid w:val="3BC46CDD"/>
    <w:rsid w:val="3BE191A0"/>
    <w:rsid w:val="3BEDBD4A"/>
    <w:rsid w:val="3C049C15"/>
    <w:rsid w:val="3C10F9B7"/>
    <w:rsid w:val="3C3DB211"/>
    <w:rsid w:val="3C4C5FA6"/>
    <w:rsid w:val="3C54814B"/>
    <w:rsid w:val="3C585139"/>
    <w:rsid w:val="3C6BF4F3"/>
    <w:rsid w:val="3CF0C3AE"/>
    <w:rsid w:val="3D12A18C"/>
    <w:rsid w:val="3D1CB0CC"/>
    <w:rsid w:val="3D2138C0"/>
    <w:rsid w:val="3D37E5BE"/>
    <w:rsid w:val="3D450A48"/>
    <w:rsid w:val="3D4E9AE9"/>
    <w:rsid w:val="3D7160AC"/>
    <w:rsid w:val="3D845206"/>
    <w:rsid w:val="3D85FBEE"/>
    <w:rsid w:val="3D93B9F3"/>
    <w:rsid w:val="3D94BDE3"/>
    <w:rsid w:val="3D94CD96"/>
    <w:rsid w:val="3DB78192"/>
    <w:rsid w:val="3DB804D2"/>
    <w:rsid w:val="3DBFAB6A"/>
    <w:rsid w:val="3DD61ED2"/>
    <w:rsid w:val="3DDA5171"/>
    <w:rsid w:val="3E1949B7"/>
    <w:rsid w:val="3E1BDB60"/>
    <w:rsid w:val="3E451538"/>
    <w:rsid w:val="3E4B21CF"/>
    <w:rsid w:val="3E6B90BE"/>
    <w:rsid w:val="3E7EC45C"/>
    <w:rsid w:val="3E8BFB77"/>
    <w:rsid w:val="3E9B6901"/>
    <w:rsid w:val="3E9E46E3"/>
    <w:rsid w:val="3EF64F1D"/>
    <w:rsid w:val="3EFF9A94"/>
    <w:rsid w:val="3F0F28DF"/>
    <w:rsid w:val="3F2E5B57"/>
    <w:rsid w:val="3F37E88E"/>
    <w:rsid w:val="3F3B6754"/>
    <w:rsid w:val="3F6B0F1C"/>
    <w:rsid w:val="3F80BD00"/>
    <w:rsid w:val="3F832946"/>
    <w:rsid w:val="3F8A6CD8"/>
    <w:rsid w:val="3F969356"/>
    <w:rsid w:val="3F98CF56"/>
    <w:rsid w:val="3F9976A9"/>
    <w:rsid w:val="3FA2A367"/>
    <w:rsid w:val="3FB7DA5B"/>
    <w:rsid w:val="3FD4DC92"/>
    <w:rsid w:val="400BB6CE"/>
    <w:rsid w:val="404ED59D"/>
    <w:rsid w:val="405068DD"/>
    <w:rsid w:val="40528814"/>
    <w:rsid w:val="405F18BA"/>
    <w:rsid w:val="4077E6F1"/>
    <w:rsid w:val="408DE340"/>
    <w:rsid w:val="4099AAAE"/>
    <w:rsid w:val="40A5A494"/>
    <w:rsid w:val="40A83033"/>
    <w:rsid w:val="40AA5651"/>
    <w:rsid w:val="40CCE806"/>
    <w:rsid w:val="4111EC84"/>
    <w:rsid w:val="413542F0"/>
    <w:rsid w:val="41361E2E"/>
    <w:rsid w:val="4167DC1A"/>
    <w:rsid w:val="4173138A"/>
    <w:rsid w:val="41794D0F"/>
    <w:rsid w:val="417A8CC9"/>
    <w:rsid w:val="41825DCB"/>
    <w:rsid w:val="41A4F25A"/>
    <w:rsid w:val="41C84E71"/>
    <w:rsid w:val="41DB5969"/>
    <w:rsid w:val="41FF31B7"/>
    <w:rsid w:val="420C4DF6"/>
    <w:rsid w:val="421042E2"/>
    <w:rsid w:val="4222B325"/>
    <w:rsid w:val="423C2DC4"/>
    <w:rsid w:val="42674E80"/>
    <w:rsid w:val="42675094"/>
    <w:rsid w:val="426BE46F"/>
    <w:rsid w:val="42A3F40D"/>
    <w:rsid w:val="42C385AA"/>
    <w:rsid w:val="42D1A79A"/>
    <w:rsid w:val="42DC23BE"/>
    <w:rsid w:val="43002677"/>
    <w:rsid w:val="431AE72D"/>
    <w:rsid w:val="431F28EB"/>
    <w:rsid w:val="432510CA"/>
    <w:rsid w:val="4328B87A"/>
    <w:rsid w:val="4348988A"/>
    <w:rsid w:val="43600016"/>
    <w:rsid w:val="43689265"/>
    <w:rsid w:val="436D4793"/>
    <w:rsid w:val="437F205E"/>
    <w:rsid w:val="437F777E"/>
    <w:rsid w:val="438E524F"/>
    <w:rsid w:val="43967ABB"/>
    <w:rsid w:val="43AC8232"/>
    <w:rsid w:val="43BE96B8"/>
    <w:rsid w:val="43C1C73E"/>
    <w:rsid w:val="43D1CB10"/>
    <w:rsid w:val="43DFF30C"/>
    <w:rsid w:val="43E7158E"/>
    <w:rsid w:val="43EA6B0F"/>
    <w:rsid w:val="4410825E"/>
    <w:rsid w:val="441E3DDB"/>
    <w:rsid w:val="4423E191"/>
    <w:rsid w:val="442CCCB6"/>
    <w:rsid w:val="443401CF"/>
    <w:rsid w:val="4441C4E5"/>
    <w:rsid w:val="4450811F"/>
    <w:rsid w:val="446EB76E"/>
    <w:rsid w:val="44A4D0EB"/>
    <w:rsid w:val="450EF463"/>
    <w:rsid w:val="4543BAD6"/>
    <w:rsid w:val="4549FF48"/>
    <w:rsid w:val="454EB85F"/>
    <w:rsid w:val="454EC087"/>
    <w:rsid w:val="456774D9"/>
    <w:rsid w:val="457BECB2"/>
    <w:rsid w:val="45AE112D"/>
    <w:rsid w:val="45C5DFC3"/>
    <w:rsid w:val="45DB3880"/>
    <w:rsid w:val="45E13DC7"/>
    <w:rsid w:val="45E44A62"/>
    <w:rsid w:val="460830AB"/>
    <w:rsid w:val="46272474"/>
    <w:rsid w:val="4627464A"/>
    <w:rsid w:val="46364AB4"/>
    <w:rsid w:val="4636A4D2"/>
    <w:rsid w:val="46795E47"/>
    <w:rsid w:val="468E3821"/>
    <w:rsid w:val="468EC760"/>
    <w:rsid w:val="469CCF76"/>
    <w:rsid w:val="46A9FD6F"/>
    <w:rsid w:val="46D176B1"/>
    <w:rsid w:val="46FAD5B8"/>
    <w:rsid w:val="46FC26EB"/>
    <w:rsid w:val="4702C099"/>
    <w:rsid w:val="47070A16"/>
    <w:rsid w:val="471F2F02"/>
    <w:rsid w:val="474FC40C"/>
    <w:rsid w:val="4753EBD0"/>
    <w:rsid w:val="475E979E"/>
    <w:rsid w:val="478BD404"/>
    <w:rsid w:val="47941D2C"/>
    <w:rsid w:val="479DAD69"/>
    <w:rsid w:val="47B411C2"/>
    <w:rsid w:val="47B4EDBA"/>
    <w:rsid w:val="47C8C795"/>
    <w:rsid w:val="47DD644A"/>
    <w:rsid w:val="47F04FF0"/>
    <w:rsid w:val="4800488B"/>
    <w:rsid w:val="4801D4DD"/>
    <w:rsid w:val="480CC057"/>
    <w:rsid w:val="48186336"/>
    <w:rsid w:val="48263049"/>
    <w:rsid w:val="4851F793"/>
    <w:rsid w:val="48736DFA"/>
    <w:rsid w:val="4876460E"/>
    <w:rsid w:val="4886AFE3"/>
    <w:rsid w:val="489B2DB3"/>
    <w:rsid w:val="489BBC75"/>
    <w:rsid w:val="48B29ABC"/>
    <w:rsid w:val="48CBB6B6"/>
    <w:rsid w:val="48D4BC47"/>
    <w:rsid w:val="48EF8960"/>
    <w:rsid w:val="48F1F7BD"/>
    <w:rsid w:val="49157607"/>
    <w:rsid w:val="49158F22"/>
    <w:rsid w:val="49280751"/>
    <w:rsid w:val="4937B6DA"/>
    <w:rsid w:val="493A5D8F"/>
    <w:rsid w:val="49525659"/>
    <w:rsid w:val="4953CB40"/>
    <w:rsid w:val="4989CD00"/>
    <w:rsid w:val="49BC2E30"/>
    <w:rsid w:val="49CF694C"/>
    <w:rsid w:val="49DD42D2"/>
    <w:rsid w:val="49F58892"/>
    <w:rsid w:val="4A33BE61"/>
    <w:rsid w:val="4A350DFA"/>
    <w:rsid w:val="4A4B1CC4"/>
    <w:rsid w:val="4A4C081F"/>
    <w:rsid w:val="4A4DF6F8"/>
    <w:rsid w:val="4A598C7A"/>
    <w:rsid w:val="4A5D919C"/>
    <w:rsid w:val="4A6E5C1B"/>
    <w:rsid w:val="4A7DB07A"/>
    <w:rsid w:val="4A8A2E6D"/>
    <w:rsid w:val="4A90CC84"/>
    <w:rsid w:val="4A923841"/>
    <w:rsid w:val="4B209BE5"/>
    <w:rsid w:val="4B2A3341"/>
    <w:rsid w:val="4B5D37DA"/>
    <w:rsid w:val="4BC88A3C"/>
    <w:rsid w:val="4BCE45CD"/>
    <w:rsid w:val="4BD2C989"/>
    <w:rsid w:val="4BECD059"/>
    <w:rsid w:val="4C018950"/>
    <w:rsid w:val="4C0C76BB"/>
    <w:rsid w:val="4C1F5092"/>
    <w:rsid w:val="4C41324D"/>
    <w:rsid w:val="4C4C0F79"/>
    <w:rsid w:val="4C5967F5"/>
    <w:rsid w:val="4C5CA8F7"/>
    <w:rsid w:val="4C722E6A"/>
    <w:rsid w:val="4C996291"/>
    <w:rsid w:val="4CE8EC45"/>
    <w:rsid w:val="4CF0B366"/>
    <w:rsid w:val="4D063C36"/>
    <w:rsid w:val="4D08EFC1"/>
    <w:rsid w:val="4D0D23EB"/>
    <w:rsid w:val="4D0FA867"/>
    <w:rsid w:val="4D29D56C"/>
    <w:rsid w:val="4D2F9ABC"/>
    <w:rsid w:val="4D36E70D"/>
    <w:rsid w:val="4D5A3006"/>
    <w:rsid w:val="4D7E7141"/>
    <w:rsid w:val="4D80819A"/>
    <w:rsid w:val="4D847B1E"/>
    <w:rsid w:val="4DCE203E"/>
    <w:rsid w:val="4DFC95A5"/>
    <w:rsid w:val="4DFEE6CB"/>
    <w:rsid w:val="4E0E2F24"/>
    <w:rsid w:val="4E22F61A"/>
    <w:rsid w:val="4E23FCC9"/>
    <w:rsid w:val="4E4F34FA"/>
    <w:rsid w:val="4E58E6A3"/>
    <w:rsid w:val="4E75129D"/>
    <w:rsid w:val="4E76E835"/>
    <w:rsid w:val="4E8AA670"/>
    <w:rsid w:val="4EA63915"/>
    <w:rsid w:val="4EA97330"/>
    <w:rsid w:val="4EB31422"/>
    <w:rsid w:val="4ECFE458"/>
    <w:rsid w:val="4ED0BEEE"/>
    <w:rsid w:val="4EF3E527"/>
    <w:rsid w:val="4F04B78B"/>
    <w:rsid w:val="4F232326"/>
    <w:rsid w:val="4F262A75"/>
    <w:rsid w:val="4F373E10"/>
    <w:rsid w:val="4F4EBE38"/>
    <w:rsid w:val="4FB16893"/>
    <w:rsid w:val="4FF3A132"/>
    <w:rsid w:val="4FFDC9E2"/>
    <w:rsid w:val="4FFED55B"/>
    <w:rsid w:val="500ADF16"/>
    <w:rsid w:val="5010BBC0"/>
    <w:rsid w:val="50207854"/>
    <w:rsid w:val="504431D2"/>
    <w:rsid w:val="50548119"/>
    <w:rsid w:val="50651F9F"/>
    <w:rsid w:val="506ED82E"/>
    <w:rsid w:val="50A79196"/>
    <w:rsid w:val="50B5F18A"/>
    <w:rsid w:val="50B77FD0"/>
    <w:rsid w:val="50BCA09E"/>
    <w:rsid w:val="50C405C5"/>
    <w:rsid w:val="50CE6757"/>
    <w:rsid w:val="50D618FA"/>
    <w:rsid w:val="50FB78D7"/>
    <w:rsid w:val="5101D372"/>
    <w:rsid w:val="510EB988"/>
    <w:rsid w:val="51215732"/>
    <w:rsid w:val="512DD829"/>
    <w:rsid w:val="513EA377"/>
    <w:rsid w:val="5191898F"/>
    <w:rsid w:val="51A981EA"/>
    <w:rsid w:val="51A9E68C"/>
    <w:rsid w:val="51D7E6CA"/>
    <w:rsid w:val="51E8507A"/>
    <w:rsid w:val="51F0338C"/>
    <w:rsid w:val="5218B1A9"/>
    <w:rsid w:val="52657768"/>
    <w:rsid w:val="52689CE3"/>
    <w:rsid w:val="52B1B996"/>
    <w:rsid w:val="52BB01F5"/>
    <w:rsid w:val="52D27865"/>
    <w:rsid w:val="52D50F78"/>
    <w:rsid w:val="52E91FF0"/>
    <w:rsid w:val="53040B58"/>
    <w:rsid w:val="53057274"/>
    <w:rsid w:val="530E3B69"/>
    <w:rsid w:val="5324EA62"/>
    <w:rsid w:val="53404BF8"/>
    <w:rsid w:val="535A115D"/>
    <w:rsid w:val="53622A98"/>
    <w:rsid w:val="5374CB39"/>
    <w:rsid w:val="53B11D95"/>
    <w:rsid w:val="53C01DE1"/>
    <w:rsid w:val="53C49669"/>
    <w:rsid w:val="53D08688"/>
    <w:rsid w:val="53E2E5C3"/>
    <w:rsid w:val="53E6A9A6"/>
    <w:rsid w:val="53EE2AA6"/>
    <w:rsid w:val="53F7BCAE"/>
    <w:rsid w:val="540DE310"/>
    <w:rsid w:val="541DDEC7"/>
    <w:rsid w:val="542CD61B"/>
    <w:rsid w:val="543517D2"/>
    <w:rsid w:val="5452315C"/>
    <w:rsid w:val="5454D52C"/>
    <w:rsid w:val="54582A9D"/>
    <w:rsid w:val="54618818"/>
    <w:rsid w:val="5468A4FC"/>
    <w:rsid w:val="546C9A98"/>
    <w:rsid w:val="547A18E1"/>
    <w:rsid w:val="5481AEAE"/>
    <w:rsid w:val="5499F460"/>
    <w:rsid w:val="54B713A7"/>
    <w:rsid w:val="54BFF63D"/>
    <w:rsid w:val="54DB4F90"/>
    <w:rsid w:val="54E3ABD4"/>
    <w:rsid w:val="54E52B47"/>
    <w:rsid w:val="54EA0989"/>
    <w:rsid w:val="550642B4"/>
    <w:rsid w:val="551B19A1"/>
    <w:rsid w:val="552AD5C8"/>
    <w:rsid w:val="55513D9E"/>
    <w:rsid w:val="556C6A8C"/>
    <w:rsid w:val="55766607"/>
    <w:rsid w:val="55833D6C"/>
    <w:rsid w:val="5587496A"/>
    <w:rsid w:val="559DB0D4"/>
    <w:rsid w:val="55A184E4"/>
    <w:rsid w:val="55A30EC5"/>
    <w:rsid w:val="55A9AD3E"/>
    <w:rsid w:val="55BD9E72"/>
    <w:rsid w:val="55CA40D3"/>
    <w:rsid w:val="55CD58C1"/>
    <w:rsid w:val="55E614A0"/>
    <w:rsid w:val="55E77515"/>
    <w:rsid w:val="55E850CE"/>
    <w:rsid w:val="5628A8C4"/>
    <w:rsid w:val="56323ACD"/>
    <w:rsid w:val="56342727"/>
    <w:rsid w:val="56550347"/>
    <w:rsid w:val="56610B59"/>
    <w:rsid w:val="5679DE53"/>
    <w:rsid w:val="567ABE0B"/>
    <w:rsid w:val="568B47D5"/>
    <w:rsid w:val="569D1FDD"/>
    <w:rsid w:val="56B73075"/>
    <w:rsid w:val="56D239F5"/>
    <w:rsid w:val="56EB316A"/>
    <w:rsid w:val="573184EC"/>
    <w:rsid w:val="57385694"/>
    <w:rsid w:val="57456032"/>
    <w:rsid w:val="5752CEB1"/>
    <w:rsid w:val="57670D6A"/>
    <w:rsid w:val="5773BC9E"/>
    <w:rsid w:val="577D6297"/>
    <w:rsid w:val="5785D06D"/>
    <w:rsid w:val="5793EEF2"/>
    <w:rsid w:val="57A1A321"/>
    <w:rsid w:val="57A5CD4F"/>
    <w:rsid w:val="57AD0F9A"/>
    <w:rsid w:val="57AF3910"/>
    <w:rsid w:val="57C28530"/>
    <w:rsid w:val="57D18BA0"/>
    <w:rsid w:val="57D7232F"/>
    <w:rsid w:val="57D820A9"/>
    <w:rsid w:val="57D87138"/>
    <w:rsid w:val="57DA8050"/>
    <w:rsid w:val="580D7A27"/>
    <w:rsid w:val="5825FEC4"/>
    <w:rsid w:val="586974F5"/>
    <w:rsid w:val="586FBE1E"/>
    <w:rsid w:val="588FC22D"/>
    <w:rsid w:val="58913EF9"/>
    <w:rsid w:val="5891B8FA"/>
    <w:rsid w:val="58B530E9"/>
    <w:rsid w:val="58D9E374"/>
    <w:rsid w:val="58DB3122"/>
    <w:rsid w:val="58E699B3"/>
    <w:rsid w:val="58ED319D"/>
    <w:rsid w:val="58F4F934"/>
    <w:rsid w:val="59132BDA"/>
    <w:rsid w:val="5927F2D6"/>
    <w:rsid w:val="594EBC82"/>
    <w:rsid w:val="5966CD8A"/>
    <w:rsid w:val="597777F2"/>
    <w:rsid w:val="5992C59A"/>
    <w:rsid w:val="59A2CB2C"/>
    <w:rsid w:val="59C4C580"/>
    <w:rsid w:val="59CE70E0"/>
    <w:rsid w:val="5A1E4A45"/>
    <w:rsid w:val="5A3F5A2C"/>
    <w:rsid w:val="5A5D7C62"/>
    <w:rsid w:val="5A65C242"/>
    <w:rsid w:val="5A69F478"/>
    <w:rsid w:val="5A914312"/>
    <w:rsid w:val="5A9A4938"/>
    <w:rsid w:val="5AA6BF9B"/>
    <w:rsid w:val="5AD778A7"/>
    <w:rsid w:val="5AF34BD9"/>
    <w:rsid w:val="5B16329C"/>
    <w:rsid w:val="5B240538"/>
    <w:rsid w:val="5B413AFE"/>
    <w:rsid w:val="5B496ED8"/>
    <w:rsid w:val="5B4EC709"/>
    <w:rsid w:val="5B5BDD59"/>
    <w:rsid w:val="5B7E4A5A"/>
    <w:rsid w:val="5B89C246"/>
    <w:rsid w:val="5B9536E1"/>
    <w:rsid w:val="5B99E9A3"/>
    <w:rsid w:val="5BA34014"/>
    <w:rsid w:val="5BBC072E"/>
    <w:rsid w:val="5BBEFE1A"/>
    <w:rsid w:val="5BD3A54B"/>
    <w:rsid w:val="5BDF4A4D"/>
    <w:rsid w:val="5BE01C54"/>
    <w:rsid w:val="5C24B47D"/>
    <w:rsid w:val="5C27154E"/>
    <w:rsid w:val="5C32DA7D"/>
    <w:rsid w:val="5C3372A2"/>
    <w:rsid w:val="5C5A121A"/>
    <w:rsid w:val="5C674273"/>
    <w:rsid w:val="5C6A54F6"/>
    <w:rsid w:val="5C7A8324"/>
    <w:rsid w:val="5CA08D1D"/>
    <w:rsid w:val="5CA2F8CC"/>
    <w:rsid w:val="5CC5E5CB"/>
    <w:rsid w:val="5CDBA7D7"/>
    <w:rsid w:val="5CE12400"/>
    <w:rsid w:val="5CE31E69"/>
    <w:rsid w:val="5CE4C214"/>
    <w:rsid w:val="5CE710FD"/>
    <w:rsid w:val="5CEDF00C"/>
    <w:rsid w:val="5CFD4073"/>
    <w:rsid w:val="5D043D57"/>
    <w:rsid w:val="5D06A8CE"/>
    <w:rsid w:val="5D131156"/>
    <w:rsid w:val="5D1C5AD0"/>
    <w:rsid w:val="5D434CC4"/>
    <w:rsid w:val="5D50DAB0"/>
    <w:rsid w:val="5D7146CC"/>
    <w:rsid w:val="5D887883"/>
    <w:rsid w:val="5DBAA1E5"/>
    <w:rsid w:val="5DCB2443"/>
    <w:rsid w:val="5DCDFFE7"/>
    <w:rsid w:val="5DCFE76A"/>
    <w:rsid w:val="5DD1751E"/>
    <w:rsid w:val="5DD7A008"/>
    <w:rsid w:val="5DDE007A"/>
    <w:rsid w:val="5E34D320"/>
    <w:rsid w:val="5E399B19"/>
    <w:rsid w:val="5E7435E9"/>
    <w:rsid w:val="5E7BDFD3"/>
    <w:rsid w:val="5E9E8130"/>
    <w:rsid w:val="5E9FC36B"/>
    <w:rsid w:val="5EAB7858"/>
    <w:rsid w:val="5EC23D0E"/>
    <w:rsid w:val="5EC9A26F"/>
    <w:rsid w:val="5ECC2F09"/>
    <w:rsid w:val="5ED1F643"/>
    <w:rsid w:val="5EE29DB2"/>
    <w:rsid w:val="5EF37B0F"/>
    <w:rsid w:val="5F04C527"/>
    <w:rsid w:val="5F1EAC02"/>
    <w:rsid w:val="5F2264CB"/>
    <w:rsid w:val="5F32A562"/>
    <w:rsid w:val="5F4324F0"/>
    <w:rsid w:val="5F478FDD"/>
    <w:rsid w:val="5F4FC6B7"/>
    <w:rsid w:val="5F62C1AB"/>
    <w:rsid w:val="5F66ACE9"/>
    <w:rsid w:val="5F66D1F6"/>
    <w:rsid w:val="5F775E62"/>
    <w:rsid w:val="5F8734C4"/>
    <w:rsid w:val="5F90B118"/>
    <w:rsid w:val="5FAEF1CE"/>
    <w:rsid w:val="5FBDDA29"/>
    <w:rsid w:val="5FBDE5FA"/>
    <w:rsid w:val="5FC25E50"/>
    <w:rsid w:val="60033822"/>
    <w:rsid w:val="6007830E"/>
    <w:rsid w:val="602C97A9"/>
    <w:rsid w:val="605B192D"/>
    <w:rsid w:val="605EAC8F"/>
    <w:rsid w:val="607053F8"/>
    <w:rsid w:val="609B0D82"/>
    <w:rsid w:val="60C31814"/>
    <w:rsid w:val="60CD413B"/>
    <w:rsid w:val="60CEF0BB"/>
    <w:rsid w:val="60F7C256"/>
    <w:rsid w:val="60FF76DC"/>
    <w:rsid w:val="61151379"/>
    <w:rsid w:val="616E613A"/>
    <w:rsid w:val="6188F81F"/>
    <w:rsid w:val="619D8E9F"/>
    <w:rsid w:val="61A86C9B"/>
    <w:rsid w:val="61B148A3"/>
    <w:rsid w:val="61C5487E"/>
    <w:rsid w:val="61D6D2DB"/>
    <w:rsid w:val="61F46E24"/>
    <w:rsid w:val="61F82BFF"/>
    <w:rsid w:val="61F8FDEC"/>
    <w:rsid w:val="61FCDEA3"/>
    <w:rsid w:val="6226B83E"/>
    <w:rsid w:val="623F1190"/>
    <w:rsid w:val="62958E88"/>
    <w:rsid w:val="6298C741"/>
    <w:rsid w:val="6298CB60"/>
    <w:rsid w:val="62EB1698"/>
    <w:rsid w:val="6317DA05"/>
    <w:rsid w:val="63313B29"/>
    <w:rsid w:val="6341F68D"/>
    <w:rsid w:val="63465F69"/>
    <w:rsid w:val="634FA950"/>
    <w:rsid w:val="635431EA"/>
    <w:rsid w:val="635D95E0"/>
    <w:rsid w:val="636736A0"/>
    <w:rsid w:val="6383552A"/>
    <w:rsid w:val="6383EC0D"/>
    <w:rsid w:val="638F5755"/>
    <w:rsid w:val="63CBD1C5"/>
    <w:rsid w:val="63D74694"/>
    <w:rsid w:val="63D74A49"/>
    <w:rsid w:val="63D7ED0B"/>
    <w:rsid w:val="63E026A9"/>
    <w:rsid w:val="63F5FF3E"/>
    <w:rsid w:val="63F9E1F7"/>
    <w:rsid w:val="64135250"/>
    <w:rsid w:val="64516153"/>
    <w:rsid w:val="645F3AEB"/>
    <w:rsid w:val="64612918"/>
    <w:rsid w:val="6475BAB7"/>
    <w:rsid w:val="647AB4C8"/>
    <w:rsid w:val="64828F33"/>
    <w:rsid w:val="64929B5E"/>
    <w:rsid w:val="649AB66D"/>
    <w:rsid w:val="64AF2149"/>
    <w:rsid w:val="64B858CF"/>
    <w:rsid w:val="64BEB03E"/>
    <w:rsid w:val="64E6B8BE"/>
    <w:rsid w:val="650A625E"/>
    <w:rsid w:val="650F6A98"/>
    <w:rsid w:val="651A24DA"/>
    <w:rsid w:val="65220361"/>
    <w:rsid w:val="652356DC"/>
    <w:rsid w:val="6531BF32"/>
    <w:rsid w:val="654AA3E5"/>
    <w:rsid w:val="6550F4C7"/>
    <w:rsid w:val="65545F0B"/>
    <w:rsid w:val="655BAA03"/>
    <w:rsid w:val="655D550C"/>
    <w:rsid w:val="6566CE39"/>
    <w:rsid w:val="65726793"/>
    <w:rsid w:val="65729A63"/>
    <w:rsid w:val="6592A272"/>
    <w:rsid w:val="6598F956"/>
    <w:rsid w:val="65D011C5"/>
    <w:rsid w:val="65D55719"/>
    <w:rsid w:val="65EFB378"/>
    <w:rsid w:val="661262D8"/>
    <w:rsid w:val="66252889"/>
    <w:rsid w:val="6651AB34"/>
    <w:rsid w:val="66547A83"/>
    <w:rsid w:val="665C8C97"/>
    <w:rsid w:val="6677BF17"/>
    <w:rsid w:val="66833414"/>
    <w:rsid w:val="668A9E3E"/>
    <w:rsid w:val="6697D7E0"/>
    <w:rsid w:val="66A49F01"/>
    <w:rsid w:val="66B60208"/>
    <w:rsid w:val="66DD0B85"/>
    <w:rsid w:val="66E27B81"/>
    <w:rsid w:val="66EBF23A"/>
    <w:rsid w:val="66F82C19"/>
    <w:rsid w:val="670A33B7"/>
    <w:rsid w:val="670D30E8"/>
    <w:rsid w:val="6710D624"/>
    <w:rsid w:val="671DCDC8"/>
    <w:rsid w:val="6722A19A"/>
    <w:rsid w:val="67415496"/>
    <w:rsid w:val="674F3157"/>
    <w:rsid w:val="6750A586"/>
    <w:rsid w:val="67642BFC"/>
    <w:rsid w:val="678396FA"/>
    <w:rsid w:val="678C8BD5"/>
    <w:rsid w:val="67A26455"/>
    <w:rsid w:val="67A6FFD1"/>
    <w:rsid w:val="67B5E4FE"/>
    <w:rsid w:val="67BB96BF"/>
    <w:rsid w:val="67C346AD"/>
    <w:rsid w:val="67C4CD13"/>
    <w:rsid w:val="67F50ACF"/>
    <w:rsid w:val="67FE716F"/>
    <w:rsid w:val="68149318"/>
    <w:rsid w:val="6821EABB"/>
    <w:rsid w:val="6825FA15"/>
    <w:rsid w:val="68406DA9"/>
    <w:rsid w:val="68507313"/>
    <w:rsid w:val="68668528"/>
    <w:rsid w:val="6876D82E"/>
    <w:rsid w:val="68AFEF2C"/>
    <w:rsid w:val="68CFFC56"/>
    <w:rsid w:val="68E6D818"/>
    <w:rsid w:val="691FBB17"/>
    <w:rsid w:val="692518CC"/>
    <w:rsid w:val="693118A2"/>
    <w:rsid w:val="693535EE"/>
    <w:rsid w:val="69701848"/>
    <w:rsid w:val="6989FA1B"/>
    <w:rsid w:val="6992E5D9"/>
    <w:rsid w:val="69985E86"/>
    <w:rsid w:val="69B5BFD1"/>
    <w:rsid w:val="69D7DA4D"/>
    <w:rsid w:val="69E3D5F8"/>
    <w:rsid w:val="69F5AC03"/>
    <w:rsid w:val="69FA9023"/>
    <w:rsid w:val="6A01F1C5"/>
    <w:rsid w:val="6A122672"/>
    <w:rsid w:val="6A1D3C00"/>
    <w:rsid w:val="6A218CA4"/>
    <w:rsid w:val="6A239F9A"/>
    <w:rsid w:val="6A23B254"/>
    <w:rsid w:val="6A486338"/>
    <w:rsid w:val="6A4E9EEE"/>
    <w:rsid w:val="6A501882"/>
    <w:rsid w:val="6A5C111A"/>
    <w:rsid w:val="6A74365F"/>
    <w:rsid w:val="6A7F6685"/>
    <w:rsid w:val="6AA2C9B1"/>
    <w:rsid w:val="6AB2AF0A"/>
    <w:rsid w:val="6AC62431"/>
    <w:rsid w:val="6ADF9B7B"/>
    <w:rsid w:val="6AE89684"/>
    <w:rsid w:val="6AF65F74"/>
    <w:rsid w:val="6B3E0BCD"/>
    <w:rsid w:val="6B474FA0"/>
    <w:rsid w:val="6B49712F"/>
    <w:rsid w:val="6B5B183D"/>
    <w:rsid w:val="6B7CE881"/>
    <w:rsid w:val="6B844701"/>
    <w:rsid w:val="6B8E8687"/>
    <w:rsid w:val="6BA7D087"/>
    <w:rsid w:val="6BB59CC7"/>
    <w:rsid w:val="6BC252C7"/>
    <w:rsid w:val="6BC2AF7F"/>
    <w:rsid w:val="6BD68C3E"/>
    <w:rsid w:val="6BFFEB63"/>
    <w:rsid w:val="6C0CF4EF"/>
    <w:rsid w:val="6C2F9586"/>
    <w:rsid w:val="6C326097"/>
    <w:rsid w:val="6C3C1C24"/>
    <w:rsid w:val="6C3F91D0"/>
    <w:rsid w:val="6C474877"/>
    <w:rsid w:val="6CE84E9F"/>
    <w:rsid w:val="6D00F65E"/>
    <w:rsid w:val="6D1346A0"/>
    <w:rsid w:val="6D13BABF"/>
    <w:rsid w:val="6D150A5B"/>
    <w:rsid w:val="6D18CCE0"/>
    <w:rsid w:val="6D197C3B"/>
    <w:rsid w:val="6D1F262B"/>
    <w:rsid w:val="6D64C481"/>
    <w:rsid w:val="6D67DCED"/>
    <w:rsid w:val="6DA3DB08"/>
    <w:rsid w:val="6DA4E3DC"/>
    <w:rsid w:val="6DAF4385"/>
    <w:rsid w:val="6DB461A2"/>
    <w:rsid w:val="6DEED076"/>
    <w:rsid w:val="6E18E6AE"/>
    <w:rsid w:val="6E1F046D"/>
    <w:rsid w:val="6E468CBC"/>
    <w:rsid w:val="6E5DED0B"/>
    <w:rsid w:val="6E5F7968"/>
    <w:rsid w:val="6E6D904D"/>
    <w:rsid w:val="6E9DBECE"/>
    <w:rsid w:val="6EAAE41F"/>
    <w:rsid w:val="6EBE6118"/>
    <w:rsid w:val="6EE50168"/>
    <w:rsid w:val="6EEE7EB0"/>
    <w:rsid w:val="6EF118EE"/>
    <w:rsid w:val="6F048EC6"/>
    <w:rsid w:val="6F20E935"/>
    <w:rsid w:val="6F3958A6"/>
    <w:rsid w:val="6F402E7A"/>
    <w:rsid w:val="6F47BD7A"/>
    <w:rsid w:val="6F4EE477"/>
    <w:rsid w:val="6F726510"/>
    <w:rsid w:val="6F754413"/>
    <w:rsid w:val="6FB630B1"/>
    <w:rsid w:val="6FB86DB8"/>
    <w:rsid w:val="6FC4931C"/>
    <w:rsid w:val="6FCC3E5C"/>
    <w:rsid w:val="6FFCB313"/>
    <w:rsid w:val="7000E674"/>
    <w:rsid w:val="7008956A"/>
    <w:rsid w:val="700B3844"/>
    <w:rsid w:val="700CEF38"/>
    <w:rsid w:val="7032CF50"/>
    <w:rsid w:val="70448E26"/>
    <w:rsid w:val="705045FB"/>
    <w:rsid w:val="7070335C"/>
    <w:rsid w:val="7083CFF6"/>
    <w:rsid w:val="7084D15C"/>
    <w:rsid w:val="70B3036B"/>
    <w:rsid w:val="70C0ED4F"/>
    <w:rsid w:val="70D6D929"/>
    <w:rsid w:val="70E9A447"/>
    <w:rsid w:val="70F799D6"/>
    <w:rsid w:val="711043D8"/>
    <w:rsid w:val="711086D0"/>
    <w:rsid w:val="71340224"/>
    <w:rsid w:val="7137A78A"/>
    <w:rsid w:val="71711910"/>
    <w:rsid w:val="717561FA"/>
    <w:rsid w:val="71785C03"/>
    <w:rsid w:val="717CF4AC"/>
    <w:rsid w:val="71A49102"/>
    <w:rsid w:val="71D85771"/>
    <w:rsid w:val="71E2685C"/>
    <w:rsid w:val="71E33F50"/>
    <w:rsid w:val="71E8817A"/>
    <w:rsid w:val="720142E1"/>
    <w:rsid w:val="7211653F"/>
    <w:rsid w:val="7221ED75"/>
    <w:rsid w:val="722447AF"/>
    <w:rsid w:val="726576DA"/>
    <w:rsid w:val="726C77AA"/>
    <w:rsid w:val="72796D15"/>
    <w:rsid w:val="727FB8FF"/>
    <w:rsid w:val="72812C73"/>
    <w:rsid w:val="72833586"/>
    <w:rsid w:val="728AE59C"/>
    <w:rsid w:val="72A0E7D0"/>
    <w:rsid w:val="72C1F963"/>
    <w:rsid w:val="72DA6A38"/>
    <w:rsid w:val="72DD5427"/>
    <w:rsid w:val="72E0CB0F"/>
    <w:rsid w:val="72EE7172"/>
    <w:rsid w:val="72F6E08B"/>
    <w:rsid w:val="7311D7CF"/>
    <w:rsid w:val="73178DAA"/>
    <w:rsid w:val="731E6B04"/>
    <w:rsid w:val="731E6EE1"/>
    <w:rsid w:val="73414134"/>
    <w:rsid w:val="73522DC8"/>
    <w:rsid w:val="735562C8"/>
    <w:rsid w:val="73A6D711"/>
    <w:rsid w:val="73B792B2"/>
    <w:rsid w:val="73D2E7B0"/>
    <w:rsid w:val="73E6C95F"/>
    <w:rsid w:val="73FBBAA7"/>
    <w:rsid w:val="74080E6A"/>
    <w:rsid w:val="740EB844"/>
    <w:rsid w:val="74186E71"/>
    <w:rsid w:val="7452B438"/>
    <w:rsid w:val="74546B86"/>
    <w:rsid w:val="745C8AF2"/>
    <w:rsid w:val="74738E66"/>
    <w:rsid w:val="7477F8AD"/>
    <w:rsid w:val="7489B99E"/>
    <w:rsid w:val="748D19DC"/>
    <w:rsid w:val="749A8436"/>
    <w:rsid w:val="749E2206"/>
    <w:rsid w:val="74A44091"/>
    <w:rsid w:val="74A93520"/>
    <w:rsid w:val="74AA5BF9"/>
    <w:rsid w:val="74ADBA20"/>
    <w:rsid w:val="74C469F1"/>
    <w:rsid w:val="74D8F3F1"/>
    <w:rsid w:val="74DFCDEC"/>
    <w:rsid w:val="74FAF66F"/>
    <w:rsid w:val="750EEBBE"/>
    <w:rsid w:val="7524A543"/>
    <w:rsid w:val="7575D785"/>
    <w:rsid w:val="757B6EEE"/>
    <w:rsid w:val="75842A1D"/>
    <w:rsid w:val="75878AB6"/>
    <w:rsid w:val="75944CBA"/>
    <w:rsid w:val="759B6E33"/>
    <w:rsid w:val="759F7D4B"/>
    <w:rsid w:val="75A38108"/>
    <w:rsid w:val="75F196CF"/>
    <w:rsid w:val="75F390AE"/>
    <w:rsid w:val="75F7CD56"/>
    <w:rsid w:val="75FCC4A4"/>
    <w:rsid w:val="762748FD"/>
    <w:rsid w:val="763DD45F"/>
    <w:rsid w:val="7644A3A5"/>
    <w:rsid w:val="7648C5D4"/>
    <w:rsid w:val="76538559"/>
    <w:rsid w:val="76555637"/>
    <w:rsid w:val="76847A66"/>
    <w:rsid w:val="76907AB5"/>
    <w:rsid w:val="769717CB"/>
    <w:rsid w:val="769CDB23"/>
    <w:rsid w:val="76C1A20B"/>
    <w:rsid w:val="76CD9E57"/>
    <w:rsid w:val="76EFA022"/>
    <w:rsid w:val="76FC36D3"/>
    <w:rsid w:val="771D1104"/>
    <w:rsid w:val="77249C85"/>
    <w:rsid w:val="77333BE4"/>
    <w:rsid w:val="775FEB95"/>
    <w:rsid w:val="77613AAE"/>
    <w:rsid w:val="7769A804"/>
    <w:rsid w:val="776B8F4F"/>
    <w:rsid w:val="77785260"/>
    <w:rsid w:val="778DF292"/>
    <w:rsid w:val="77A4D539"/>
    <w:rsid w:val="77C43AC2"/>
    <w:rsid w:val="77CD1426"/>
    <w:rsid w:val="77D050C2"/>
    <w:rsid w:val="77DEA18C"/>
    <w:rsid w:val="77E2A8EB"/>
    <w:rsid w:val="77F6C812"/>
    <w:rsid w:val="77FF2E6B"/>
    <w:rsid w:val="78007DDA"/>
    <w:rsid w:val="78056A34"/>
    <w:rsid w:val="781CE02D"/>
    <w:rsid w:val="78295C9B"/>
    <w:rsid w:val="782E3D5B"/>
    <w:rsid w:val="7830EE59"/>
    <w:rsid w:val="783451CF"/>
    <w:rsid w:val="7854536D"/>
    <w:rsid w:val="78636E8A"/>
    <w:rsid w:val="78704CCA"/>
    <w:rsid w:val="78753B62"/>
    <w:rsid w:val="78840669"/>
    <w:rsid w:val="788D267B"/>
    <w:rsid w:val="78CCF94B"/>
    <w:rsid w:val="78E43D9A"/>
    <w:rsid w:val="7919DC3E"/>
    <w:rsid w:val="7938CFE4"/>
    <w:rsid w:val="7940D307"/>
    <w:rsid w:val="7956919A"/>
    <w:rsid w:val="796E10FD"/>
    <w:rsid w:val="79937583"/>
    <w:rsid w:val="7993FFC6"/>
    <w:rsid w:val="79A0F4FE"/>
    <w:rsid w:val="79A1A225"/>
    <w:rsid w:val="79C9D886"/>
    <w:rsid w:val="79DBC292"/>
    <w:rsid w:val="79EE18BB"/>
    <w:rsid w:val="79F65B1D"/>
    <w:rsid w:val="7A0F0BFB"/>
    <w:rsid w:val="7A3403B0"/>
    <w:rsid w:val="7A4363B3"/>
    <w:rsid w:val="7A642D4A"/>
    <w:rsid w:val="7A71D530"/>
    <w:rsid w:val="7A7FCA89"/>
    <w:rsid w:val="7A8BE5B8"/>
    <w:rsid w:val="7A907950"/>
    <w:rsid w:val="7AB28FC6"/>
    <w:rsid w:val="7ADA6C02"/>
    <w:rsid w:val="7ADAE4E3"/>
    <w:rsid w:val="7AE5874B"/>
    <w:rsid w:val="7AE6AB4C"/>
    <w:rsid w:val="7B0531C0"/>
    <w:rsid w:val="7B334E4B"/>
    <w:rsid w:val="7B39F41A"/>
    <w:rsid w:val="7B3FDA33"/>
    <w:rsid w:val="7B4E31D3"/>
    <w:rsid w:val="7B594CFF"/>
    <w:rsid w:val="7B7A7636"/>
    <w:rsid w:val="7B7DC4C1"/>
    <w:rsid w:val="7B927FF4"/>
    <w:rsid w:val="7BC91558"/>
    <w:rsid w:val="7BD85811"/>
    <w:rsid w:val="7C018124"/>
    <w:rsid w:val="7C36F862"/>
    <w:rsid w:val="7C660257"/>
    <w:rsid w:val="7C7F1414"/>
    <w:rsid w:val="7CAD25A7"/>
    <w:rsid w:val="7CB70952"/>
    <w:rsid w:val="7CBC2C78"/>
    <w:rsid w:val="7CBD7D5C"/>
    <w:rsid w:val="7CC5B2E8"/>
    <w:rsid w:val="7CC911FA"/>
    <w:rsid w:val="7CFC3433"/>
    <w:rsid w:val="7D03B10C"/>
    <w:rsid w:val="7D1FA4AB"/>
    <w:rsid w:val="7D42BD91"/>
    <w:rsid w:val="7D605CDA"/>
    <w:rsid w:val="7D6FCB6E"/>
    <w:rsid w:val="7D7EA342"/>
    <w:rsid w:val="7D83A31B"/>
    <w:rsid w:val="7D84BB59"/>
    <w:rsid w:val="7D8EED4C"/>
    <w:rsid w:val="7DC7691A"/>
    <w:rsid w:val="7DE7280D"/>
    <w:rsid w:val="7DEB1B1B"/>
    <w:rsid w:val="7DEFC406"/>
    <w:rsid w:val="7E01EDA2"/>
    <w:rsid w:val="7E03D55B"/>
    <w:rsid w:val="7E188B89"/>
    <w:rsid w:val="7E1AD631"/>
    <w:rsid w:val="7E2FB68E"/>
    <w:rsid w:val="7E870504"/>
    <w:rsid w:val="7E951329"/>
    <w:rsid w:val="7E9802B2"/>
    <w:rsid w:val="7EA1EFB2"/>
    <w:rsid w:val="7EA3815E"/>
    <w:rsid w:val="7EC1E667"/>
    <w:rsid w:val="7ECDF25B"/>
    <w:rsid w:val="7ECF0DC3"/>
    <w:rsid w:val="7EE8CBFA"/>
    <w:rsid w:val="7EFFEECD"/>
    <w:rsid w:val="7F068056"/>
    <w:rsid w:val="7F129D1B"/>
    <w:rsid w:val="7F1D5EC9"/>
    <w:rsid w:val="7F2A0E3B"/>
    <w:rsid w:val="7F400CAA"/>
    <w:rsid w:val="7F900047"/>
    <w:rsid w:val="7FC5AD96"/>
    <w:rsid w:val="7FD3BB41"/>
    <w:rsid w:val="7FF107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35465"/>
  <w15:docId w15:val="{50813A0F-4F62-4F5A-928D-BC97388E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64EC6"/>
    <w:pPr>
      <w:spacing w:before="120" w:after="120"/>
      <w:ind w:left="-720"/>
      <w:jc w:val="both"/>
    </w:pPr>
    <w:rPr>
      <w:rFonts w:ascii="Times New Roman" w:hAnsi="Times New Roman"/>
      <w:sz w:val="24"/>
      <w:lang w:val="en-GB"/>
    </w:rPr>
  </w:style>
  <w:style w:type="paragraph" w:styleId="Nagwek1">
    <w:name w:val="heading 1"/>
    <w:basedOn w:val="Normalny"/>
    <w:next w:val="Tekstpodstawowy"/>
    <w:link w:val="Nagwek1Znak"/>
    <w:qFormat/>
    <w:rsid w:val="00524E39"/>
    <w:pPr>
      <w:keepNext/>
      <w:pageBreakBefore/>
      <w:numPr>
        <w:numId w:val="2"/>
      </w:numPr>
      <w:suppressLineNumbers/>
      <w:spacing w:before="360" w:after="240"/>
      <w:jc w:val="left"/>
      <w:outlineLvl w:val="0"/>
    </w:pPr>
    <w:rPr>
      <w:rFonts w:ascii="Arial Bold" w:hAnsi="Arial Bold"/>
      <w:b/>
      <w:color w:val="808080"/>
      <w:kern w:val="28"/>
      <w:sz w:val="28"/>
      <w:u w:color="568A9E"/>
    </w:rPr>
  </w:style>
  <w:style w:type="paragraph" w:styleId="Nagwek2">
    <w:name w:val="heading 2"/>
    <w:basedOn w:val="Normalny"/>
    <w:next w:val="Tekstpodstawowy"/>
    <w:link w:val="Nagwek2Znak"/>
    <w:qFormat/>
    <w:rsid w:val="00524E39"/>
    <w:pPr>
      <w:keepNext/>
      <w:numPr>
        <w:ilvl w:val="1"/>
        <w:numId w:val="2"/>
      </w:numPr>
      <w:suppressLineNumbers/>
      <w:spacing w:before="240"/>
      <w:jc w:val="left"/>
      <w:outlineLvl w:val="1"/>
    </w:pPr>
    <w:rPr>
      <w:rFonts w:ascii="Arial Bold" w:hAnsi="Arial Bold"/>
      <w:b/>
      <w:color w:val="808080"/>
    </w:rPr>
  </w:style>
  <w:style w:type="paragraph" w:styleId="Nagwek3">
    <w:name w:val="heading 3"/>
    <w:basedOn w:val="Normalny"/>
    <w:next w:val="Tekstpodstawowy"/>
    <w:link w:val="Nagwek3Znak"/>
    <w:qFormat/>
    <w:rsid w:val="00524E39"/>
    <w:pPr>
      <w:keepNext/>
      <w:numPr>
        <w:ilvl w:val="2"/>
        <w:numId w:val="2"/>
      </w:numPr>
      <w:suppressLineNumbers/>
      <w:spacing w:before="240"/>
      <w:jc w:val="left"/>
      <w:outlineLvl w:val="2"/>
    </w:pPr>
    <w:rPr>
      <w:rFonts w:ascii="Arial Bold" w:hAnsi="Arial Bold"/>
      <w:b/>
      <w:color w:val="808080"/>
      <w:sz w:val="22"/>
    </w:rPr>
  </w:style>
  <w:style w:type="paragraph" w:styleId="Nagwek4">
    <w:name w:val="heading 4"/>
    <w:basedOn w:val="Normalny"/>
    <w:next w:val="Tekstpodstawowy"/>
    <w:link w:val="Nagwek4Znak"/>
    <w:qFormat/>
    <w:pPr>
      <w:keepNext/>
      <w:suppressLineNumbers/>
      <w:suppressAutoHyphens/>
      <w:spacing w:before="200"/>
      <w:ind w:left="0"/>
      <w:jc w:val="left"/>
      <w:outlineLvl w:val="3"/>
    </w:pPr>
    <w:rPr>
      <w:rFonts w:ascii="Arial Bold" w:hAnsi="Arial Bold"/>
      <w:b/>
      <w:i/>
      <w:color w:val="808080"/>
      <w:sz w:val="20"/>
    </w:rPr>
  </w:style>
  <w:style w:type="paragraph" w:styleId="Nagwek5">
    <w:name w:val="heading 5"/>
    <w:basedOn w:val="Normalny"/>
    <w:next w:val="Normalny"/>
    <w:qFormat/>
    <w:rsid w:val="00524E39"/>
    <w:pPr>
      <w:numPr>
        <w:ilvl w:val="4"/>
        <w:numId w:val="2"/>
      </w:numPr>
      <w:outlineLvl w:val="4"/>
    </w:pPr>
    <w:rPr>
      <w:b/>
      <w:sz w:val="20"/>
    </w:rPr>
  </w:style>
  <w:style w:type="paragraph" w:styleId="Nagwek6">
    <w:name w:val="heading 6"/>
    <w:basedOn w:val="Normalny"/>
    <w:next w:val="Normalny"/>
    <w:qFormat/>
    <w:rsid w:val="00524E39"/>
    <w:pPr>
      <w:numPr>
        <w:ilvl w:val="5"/>
        <w:numId w:val="2"/>
      </w:numPr>
      <w:outlineLvl w:val="5"/>
    </w:pPr>
    <w:rPr>
      <w:sz w:val="20"/>
      <w:u w:val="single"/>
    </w:rPr>
  </w:style>
  <w:style w:type="paragraph" w:styleId="Nagwek7">
    <w:name w:val="heading 7"/>
    <w:basedOn w:val="Normalny"/>
    <w:next w:val="Normalny"/>
    <w:qFormat/>
    <w:rsid w:val="00524E39"/>
    <w:pPr>
      <w:numPr>
        <w:ilvl w:val="6"/>
        <w:numId w:val="2"/>
      </w:numPr>
      <w:spacing w:before="240" w:after="60"/>
      <w:outlineLvl w:val="6"/>
    </w:pPr>
    <w:rPr>
      <w:rFonts w:ascii="Arial" w:hAnsi="Arial"/>
      <w:sz w:val="20"/>
    </w:rPr>
  </w:style>
  <w:style w:type="paragraph" w:styleId="Nagwek8">
    <w:name w:val="heading 8"/>
    <w:basedOn w:val="Normalny"/>
    <w:next w:val="Normalny"/>
    <w:qFormat/>
    <w:rsid w:val="00524E39"/>
    <w:pPr>
      <w:numPr>
        <w:ilvl w:val="7"/>
        <w:numId w:val="2"/>
      </w:numPr>
      <w:spacing w:before="240" w:after="60"/>
      <w:outlineLvl w:val="7"/>
    </w:pPr>
    <w:rPr>
      <w:rFonts w:ascii="Arial" w:hAnsi="Arial"/>
      <w:i/>
      <w:sz w:val="20"/>
    </w:rPr>
  </w:style>
  <w:style w:type="paragraph" w:styleId="Nagwek9">
    <w:name w:val="heading 9"/>
    <w:basedOn w:val="Normalny"/>
    <w:next w:val="Normalny"/>
    <w:qFormat/>
    <w:rsid w:val="00524E39"/>
    <w:pPr>
      <w:numPr>
        <w:ilvl w:val="8"/>
        <w:numId w:val="2"/>
      </w:numPr>
      <w:spacing w:before="240" w:after="60"/>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qFormat/>
    <w:rsid w:val="00A23023"/>
    <w:pPr>
      <w:suppressAutoHyphens/>
      <w:spacing w:line="288" w:lineRule="auto"/>
      <w:ind w:left="0"/>
    </w:pPr>
    <w:rPr>
      <w:rFonts w:ascii="Arial" w:hAnsi="Arial"/>
      <w:sz w:val="20"/>
    </w:rPr>
  </w:style>
  <w:style w:type="paragraph" w:styleId="Tytu">
    <w:name w:val="Title"/>
    <w:basedOn w:val="Normalny"/>
    <w:qFormat/>
    <w:pPr>
      <w:widowControl w:val="0"/>
      <w:suppressAutoHyphens/>
      <w:spacing w:before="0" w:after="280"/>
      <w:ind w:left="431" w:right="-357"/>
      <w:jc w:val="left"/>
    </w:pPr>
    <w:rPr>
      <w:rFonts w:ascii="Arial Bold" w:hAnsi="Arial Bold"/>
      <w:b/>
      <w:color w:val="FFFFFF"/>
      <w:sz w:val="40"/>
      <w:lang w:val="en-AU"/>
    </w:rPr>
  </w:style>
  <w:style w:type="paragraph" w:styleId="Spistreci2">
    <w:name w:val="toc 2"/>
    <w:basedOn w:val="Normalny"/>
    <w:next w:val="Normalny"/>
    <w:uiPriority w:val="39"/>
    <w:rsid w:val="009C2CD4"/>
    <w:pPr>
      <w:tabs>
        <w:tab w:val="left" w:pos="425"/>
        <w:tab w:val="right" w:leader="dot" w:pos="7920"/>
      </w:tabs>
      <w:spacing w:after="0"/>
      <w:ind w:left="425" w:hanging="714"/>
      <w:jc w:val="left"/>
    </w:pPr>
    <w:rPr>
      <w:rFonts w:ascii="Arial" w:hAnsi="Arial"/>
      <w:noProof/>
      <w:sz w:val="20"/>
    </w:rPr>
  </w:style>
  <w:style w:type="paragraph" w:styleId="Spistreci1">
    <w:name w:val="toc 1"/>
    <w:basedOn w:val="Normalny"/>
    <w:next w:val="Normalny"/>
    <w:uiPriority w:val="39"/>
    <w:rsid w:val="009C2CD4"/>
    <w:pPr>
      <w:tabs>
        <w:tab w:val="left" w:pos="-144"/>
        <w:tab w:val="right" w:leader="dot" w:pos="7920"/>
      </w:tabs>
      <w:spacing w:before="360"/>
      <w:ind w:left="-288" w:hanging="432"/>
      <w:jc w:val="left"/>
    </w:pPr>
    <w:rPr>
      <w:rFonts w:ascii="Arial" w:hAnsi="Arial"/>
      <w:b/>
      <w:noProof/>
      <w:color w:val="808080"/>
      <w:sz w:val="20"/>
    </w:rPr>
  </w:style>
  <w:style w:type="paragraph" w:styleId="Stopka">
    <w:name w:val="footer"/>
    <w:basedOn w:val="Normalny"/>
    <w:rsid w:val="00006410"/>
    <w:pPr>
      <w:pBdr>
        <w:top w:val="single" w:sz="6" w:space="1" w:color="808080"/>
      </w:pBdr>
      <w:tabs>
        <w:tab w:val="center" w:pos="3686"/>
        <w:tab w:val="right" w:pos="8280"/>
      </w:tabs>
    </w:pPr>
    <w:rPr>
      <w:rFonts w:ascii="Arial" w:hAnsi="Arial"/>
      <w:sz w:val="18"/>
    </w:rPr>
  </w:style>
  <w:style w:type="paragraph" w:styleId="Nagwek">
    <w:name w:val="header"/>
    <w:basedOn w:val="Normalny"/>
    <w:link w:val="NagwekZnak"/>
    <w:rsid w:val="00220E70"/>
    <w:pPr>
      <w:tabs>
        <w:tab w:val="right" w:pos="7938"/>
        <w:tab w:val="right" w:pos="13860"/>
      </w:tabs>
      <w:spacing w:before="0" w:after="0"/>
    </w:pPr>
    <w:rPr>
      <w:rFonts w:ascii="Arial" w:hAnsi="Arial"/>
      <w:sz w:val="20"/>
    </w:rPr>
  </w:style>
  <w:style w:type="character" w:styleId="Odwoanieprzypisudolnego">
    <w:name w:val="footnote reference"/>
    <w:rsid w:val="007A6373"/>
    <w:rPr>
      <w:rFonts w:ascii="Arial" w:hAnsi="Arial"/>
      <w:position w:val="6"/>
      <w:sz w:val="16"/>
    </w:rPr>
  </w:style>
  <w:style w:type="paragraph" w:styleId="Tekstprzypisudolnego">
    <w:name w:val="footnote text"/>
    <w:aliases w:val="fn,Footnote Text Char1,Footnote Text Char Char,Footnote Text Char1 Char Char,Footnote Text Char Char1 Char Char,Footnote Text Char1 Char Char Char Char,Footnote Text Char Char1 Char Char Char Char"/>
    <w:basedOn w:val="Normalny"/>
    <w:link w:val="TekstprzypisudolnegoZnak"/>
    <w:rsid w:val="007A6373"/>
    <w:pPr>
      <w:keepLines/>
      <w:suppressAutoHyphens/>
      <w:spacing w:line="240" w:lineRule="exact"/>
      <w:ind w:left="0" w:hanging="720"/>
    </w:pPr>
    <w:rPr>
      <w:rFonts w:ascii="Arial" w:hAnsi="Arial"/>
      <w:sz w:val="16"/>
    </w:rPr>
  </w:style>
  <w:style w:type="paragraph" w:styleId="Spistreci3">
    <w:name w:val="toc 3"/>
    <w:basedOn w:val="Normalny"/>
    <w:next w:val="Normalny"/>
    <w:uiPriority w:val="39"/>
    <w:rsid w:val="009C2CD4"/>
    <w:pPr>
      <w:tabs>
        <w:tab w:val="left" w:pos="432"/>
        <w:tab w:val="left" w:pos="1080"/>
        <w:tab w:val="left" w:pos="1200"/>
        <w:tab w:val="right" w:leader="dot" w:pos="7920"/>
      </w:tabs>
      <w:spacing w:after="0"/>
      <w:ind w:left="432"/>
      <w:jc w:val="left"/>
    </w:pPr>
    <w:rPr>
      <w:rFonts w:ascii="Arial" w:hAnsi="Arial"/>
      <w:noProof/>
      <w:sz w:val="20"/>
    </w:rPr>
  </w:style>
  <w:style w:type="paragraph" w:styleId="Listanumerowana">
    <w:name w:val="List Number"/>
    <w:basedOn w:val="Normalny"/>
    <w:rsid w:val="00151B3E"/>
    <w:pPr>
      <w:keepLines/>
      <w:numPr>
        <w:numId w:val="11"/>
      </w:numPr>
      <w:tabs>
        <w:tab w:val="num" w:pos="426"/>
      </w:tabs>
      <w:suppressAutoHyphens/>
      <w:spacing w:line="280" w:lineRule="exact"/>
      <w:jc w:val="left"/>
    </w:pPr>
    <w:rPr>
      <w:rFonts w:ascii="Arial" w:hAnsi="Arial"/>
      <w:sz w:val="20"/>
    </w:rPr>
  </w:style>
  <w:style w:type="paragraph" w:styleId="Spistreci4">
    <w:name w:val="toc 4"/>
    <w:basedOn w:val="Normalny"/>
    <w:next w:val="Normalny"/>
    <w:semiHidden/>
    <w:pPr>
      <w:spacing w:before="0" w:after="0"/>
      <w:ind w:left="720"/>
      <w:jc w:val="left"/>
    </w:pPr>
    <w:rPr>
      <w:sz w:val="18"/>
    </w:rPr>
  </w:style>
  <w:style w:type="paragraph" w:styleId="Spistreci5">
    <w:name w:val="toc 5"/>
    <w:basedOn w:val="Normalny"/>
    <w:next w:val="Normalny"/>
    <w:semiHidden/>
    <w:pPr>
      <w:spacing w:before="0" w:after="0"/>
      <w:ind w:left="960"/>
      <w:jc w:val="left"/>
    </w:pPr>
    <w:rPr>
      <w:sz w:val="18"/>
    </w:rPr>
  </w:style>
  <w:style w:type="paragraph" w:styleId="Spistreci6">
    <w:name w:val="toc 6"/>
    <w:basedOn w:val="Normalny"/>
    <w:next w:val="Normalny"/>
    <w:semiHidden/>
    <w:pPr>
      <w:spacing w:before="0" w:after="0"/>
      <w:ind w:left="1200"/>
      <w:jc w:val="left"/>
    </w:pPr>
    <w:rPr>
      <w:sz w:val="18"/>
    </w:rPr>
  </w:style>
  <w:style w:type="paragraph" w:styleId="Spistreci7">
    <w:name w:val="toc 7"/>
    <w:basedOn w:val="Normalny"/>
    <w:next w:val="Normalny"/>
    <w:semiHidden/>
    <w:pPr>
      <w:spacing w:before="0" w:after="0"/>
      <w:ind w:left="1440"/>
      <w:jc w:val="left"/>
    </w:pPr>
    <w:rPr>
      <w:sz w:val="18"/>
    </w:rPr>
  </w:style>
  <w:style w:type="paragraph" w:styleId="Spistreci8">
    <w:name w:val="toc 8"/>
    <w:basedOn w:val="Normalny"/>
    <w:next w:val="Normalny"/>
    <w:semiHidden/>
    <w:pPr>
      <w:spacing w:before="0" w:after="0"/>
      <w:ind w:left="1680"/>
      <w:jc w:val="left"/>
    </w:pPr>
    <w:rPr>
      <w:sz w:val="18"/>
    </w:rPr>
  </w:style>
  <w:style w:type="paragraph" w:styleId="Spistreci9">
    <w:name w:val="toc 9"/>
    <w:basedOn w:val="Normalny"/>
    <w:next w:val="Normalny"/>
    <w:semiHidden/>
    <w:pPr>
      <w:spacing w:before="0" w:after="0"/>
      <w:ind w:left="1920"/>
      <w:jc w:val="left"/>
    </w:pPr>
    <w:rPr>
      <w:sz w:val="18"/>
    </w:rPr>
  </w:style>
  <w:style w:type="paragraph" w:styleId="Data">
    <w:name w:val="Date"/>
    <w:basedOn w:val="Normalny"/>
    <w:next w:val="Normalny"/>
    <w:pPr>
      <w:spacing w:before="0" w:after="0"/>
      <w:ind w:left="885" w:right="-357"/>
      <w:jc w:val="left"/>
    </w:pPr>
    <w:rPr>
      <w:rFonts w:ascii="Arial Bold" w:hAnsi="Arial Bold"/>
      <w:b/>
      <w:color w:val="FFFFFF"/>
      <w:sz w:val="19"/>
    </w:rPr>
  </w:style>
  <w:style w:type="paragraph" w:customStyle="1" w:styleId="Status">
    <w:name w:val="Status"/>
    <w:rsid w:val="00006410"/>
    <w:pPr>
      <w:spacing w:before="120" w:after="120" w:line="280" w:lineRule="exact"/>
    </w:pPr>
    <w:rPr>
      <w:rFonts w:ascii="Arial Bold" w:hAnsi="Arial Bold"/>
      <w:b/>
      <w:noProof/>
      <w:color w:val="808080"/>
      <w:sz w:val="22"/>
    </w:rPr>
  </w:style>
  <w:style w:type="paragraph" w:customStyle="1" w:styleId="SectionHeading">
    <w:name w:val="Section Heading"/>
    <w:basedOn w:val="Normalny"/>
    <w:qFormat/>
    <w:rsid w:val="00B948AC"/>
    <w:pPr>
      <w:spacing w:before="240" w:after="240" w:line="360" w:lineRule="auto"/>
      <w:jc w:val="center"/>
    </w:pPr>
    <w:rPr>
      <w:rFonts w:ascii="Arial Bold" w:hAnsi="Arial Bold"/>
      <w:b/>
      <w:color w:val="808080"/>
      <w:sz w:val="28"/>
    </w:rPr>
  </w:style>
  <w:style w:type="paragraph" w:styleId="Listapunktowana2">
    <w:name w:val="List Bullet 2"/>
    <w:basedOn w:val="Normalny"/>
    <w:rsid w:val="00151B3E"/>
    <w:pPr>
      <w:numPr>
        <w:numId w:val="13"/>
      </w:numPr>
      <w:suppressAutoHyphens/>
      <w:spacing w:line="280" w:lineRule="exact"/>
      <w:jc w:val="left"/>
    </w:pPr>
    <w:rPr>
      <w:rFonts w:ascii="Arial" w:hAnsi="Arial"/>
      <w:sz w:val="20"/>
    </w:rPr>
  </w:style>
  <w:style w:type="paragraph" w:customStyle="1" w:styleId="Figure">
    <w:name w:val="Figure"/>
    <w:basedOn w:val="Normalny"/>
    <w:next w:val="Legenda"/>
    <w:pPr>
      <w:keepNext/>
      <w:keepLines/>
      <w:suppressAutoHyphens/>
      <w:ind w:left="0"/>
    </w:pPr>
    <w:rPr>
      <w:b/>
      <w:sz w:val="22"/>
    </w:rPr>
  </w:style>
  <w:style w:type="paragraph" w:styleId="Legenda">
    <w:name w:val="caption"/>
    <w:basedOn w:val="Normalny"/>
    <w:next w:val="Tekstpodstawowy"/>
    <w:qFormat/>
    <w:rsid w:val="00F16690"/>
    <w:pPr>
      <w:keepNext/>
      <w:keepLines/>
      <w:suppressAutoHyphens/>
      <w:spacing w:line="280" w:lineRule="exact"/>
      <w:ind w:left="0"/>
    </w:pPr>
    <w:rPr>
      <w:rFonts w:ascii="Arial Bold" w:hAnsi="Arial Bold"/>
      <w:b/>
      <w:sz w:val="20"/>
    </w:rPr>
  </w:style>
  <w:style w:type="paragraph" w:customStyle="1" w:styleId="TableHeading">
    <w:name w:val="Table Heading"/>
    <w:basedOn w:val="Tekstpodstawowy"/>
    <w:next w:val="TableText"/>
    <w:rsid w:val="009B098E"/>
    <w:rPr>
      <w:b/>
      <w:bCs/>
      <w:color w:val="FFFFFF" w:themeColor="background1"/>
    </w:rPr>
  </w:style>
  <w:style w:type="paragraph" w:customStyle="1" w:styleId="TableText">
    <w:name w:val="Table Text"/>
    <w:basedOn w:val="Tekstpodstawowy"/>
    <w:rsid w:val="009B098E"/>
    <w:rPr>
      <w:bCs/>
    </w:rPr>
  </w:style>
  <w:style w:type="paragraph" w:styleId="Listapunktowana">
    <w:name w:val="List Bullet"/>
    <w:basedOn w:val="Normalny"/>
    <w:rsid w:val="00151B3E"/>
    <w:pPr>
      <w:numPr>
        <w:numId w:val="10"/>
      </w:numPr>
      <w:suppressAutoHyphens/>
      <w:spacing w:line="280" w:lineRule="exact"/>
      <w:jc w:val="left"/>
    </w:pPr>
    <w:rPr>
      <w:rFonts w:ascii="Arial" w:hAnsi="Arial"/>
      <w:sz w:val="20"/>
    </w:rPr>
  </w:style>
  <w:style w:type="paragraph" w:customStyle="1" w:styleId="Appendix1">
    <w:name w:val="Appendix 1"/>
    <w:basedOn w:val="Normalny"/>
    <w:next w:val="Tekstpodstawowy"/>
    <w:qFormat/>
    <w:rsid w:val="00524E39"/>
    <w:pPr>
      <w:keepNext/>
      <w:keepLines/>
      <w:numPr>
        <w:numId w:val="1"/>
      </w:numPr>
      <w:suppressLineNumbers/>
      <w:suppressAutoHyphens/>
      <w:spacing w:before="360" w:after="240"/>
      <w:jc w:val="left"/>
    </w:pPr>
    <w:rPr>
      <w:rFonts w:ascii="Arial Bold" w:hAnsi="Arial Bold"/>
      <w:b/>
      <w:color w:val="808080"/>
      <w:sz w:val="28"/>
      <w:u w:color="568A9E"/>
    </w:rPr>
  </w:style>
  <w:style w:type="paragraph" w:customStyle="1" w:styleId="Appendix2">
    <w:name w:val="Appendix 2"/>
    <w:basedOn w:val="Normalny"/>
    <w:next w:val="Tekstpodstawowy"/>
    <w:rsid w:val="00DA17FA"/>
    <w:pPr>
      <w:keepNext/>
      <w:keepLines/>
      <w:numPr>
        <w:ilvl w:val="1"/>
        <w:numId w:val="1"/>
      </w:numPr>
      <w:suppressLineNumbers/>
      <w:tabs>
        <w:tab w:val="num" w:pos="0"/>
      </w:tabs>
      <w:suppressAutoHyphens/>
      <w:spacing w:before="240"/>
      <w:jc w:val="left"/>
    </w:pPr>
    <w:rPr>
      <w:rFonts w:ascii="Arial Bold" w:hAnsi="Arial Bold"/>
      <w:b/>
      <w:color w:val="808080"/>
    </w:rPr>
  </w:style>
  <w:style w:type="paragraph" w:customStyle="1" w:styleId="Appendix3">
    <w:name w:val="Appendix 3"/>
    <w:basedOn w:val="Normalny"/>
    <w:next w:val="Tekstpodstawowy"/>
    <w:rsid w:val="00E5637F"/>
    <w:pPr>
      <w:keepNext/>
      <w:keepLines/>
      <w:numPr>
        <w:ilvl w:val="2"/>
        <w:numId w:val="1"/>
      </w:numPr>
      <w:suppressLineNumbers/>
      <w:suppressAutoHyphens/>
      <w:spacing w:before="240"/>
      <w:jc w:val="left"/>
    </w:pPr>
    <w:rPr>
      <w:rFonts w:ascii="Arial Bold" w:hAnsi="Arial Bold"/>
      <w:b/>
      <w:color w:val="808080"/>
      <w:sz w:val="22"/>
    </w:rPr>
  </w:style>
  <w:style w:type="paragraph" w:customStyle="1" w:styleId="Appendix4">
    <w:name w:val="Appendix 4"/>
    <w:basedOn w:val="Normalny"/>
    <w:next w:val="Tekstpodstawowy"/>
    <w:pPr>
      <w:keepNext/>
      <w:keepLines/>
      <w:numPr>
        <w:ilvl w:val="3"/>
        <w:numId w:val="1"/>
      </w:numPr>
      <w:suppressLineNumbers/>
      <w:suppressAutoHyphens/>
      <w:spacing w:before="200"/>
      <w:jc w:val="left"/>
    </w:pPr>
    <w:rPr>
      <w:rFonts w:ascii="Arial Bold" w:hAnsi="Arial Bold"/>
      <w:b/>
      <w:i/>
      <w:color w:val="808080"/>
      <w:sz w:val="20"/>
    </w:rPr>
  </w:style>
  <w:style w:type="paragraph" w:customStyle="1" w:styleId="CVTitle">
    <w:name w:val="CVTitle"/>
    <w:basedOn w:val="Normalny"/>
    <w:rsid w:val="00B948AC"/>
    <w:pPr>
      <w:suppressAutoHyphens/>
      <w:spacing w:before="240" w:after="240"/>
      <w:ind w:left="0"/>
      <w:jc w:val="left"/>
    </w:pPr>
    <w:rPr>
      <w:rFonts w:ascii="Arial Bold" w:hAnsi="Arial Bold"/>
      <w:b/>
      <w:color w:val="808080"/>
      <w:sz w:val="32"/>
    </w:rPr>
  </w:style>
  <w:style w:type="paragraph" w:customStyle="1" w:styleId="Titlepagebodytext">
    <w:name w:val="Titlepagebodytext"/>
    <w:basedOn w:val="Tekstpodstawowy"/>
    <w:pPr>
      <w:spacing w:before="0" w:after="0"/>
      <w:ind w:left="885" w:right="-357"/>
    </w:pPr>
    <w:rPr>
      <w:color w:val="FFFFFF"/>
    </w:rPr>
  </w:style>
  <w:style w:type="paragraph" w:customStyle="1" w:styleId="CVHeading2">
    <w:name w:val="CVHeading2"/>
    <w:basedOn w:val="Normalny"/>
    <w:pPr>
      <w:keepNext/>
      <w:suppressAutoHyphens/>
      <w:spacing w:before="240"/>
      <w:ind w:left="0"/>
      <w:jc w:val="left"/>
      <w:outlineLvl w:val="0"/>
    </w:pPr>
    <w:rPr>
      <w:rFonts w:ascii="Arial" w:hAnsi="Arial"/>
      <w:b/>
      <w:color w:val="808080"/>
      <w:kern w:val="28"/>
    </w:rPr>
  </w:style>
  <w:style w:type="paragraph" w:customStyle="1" w:styleId="CVHeading3">
    <w:name w:val="CVHeading3"/>
    <w:basedOn w:val="CVHeading2"/>
    <w:rPr>
      <w:b w:val="0"/>
      <w:i/>
    </w:rPr>
  </w:style>
  <w:style w:type="character" w:styleId="Hipercze">
    <w:name w:val="Hyperlink"/>
    <w:uiPriority w:val="99"/>
    <w:rPr>
      <w:rFonts w:ascii="Arial" w:hAnsi="Arial"/>
      <w:color w:val="808080"/>
      <w:sz w:val="19"/>
      <w:u w:val="single" w:color="808080"/>
    </w:rPr>
  </w:style>
  <w:style w:type="paragraph" w:customStyle="1" w:styleId="CVHeading1">
    <w:name w:val="CVHeading1"/>
    <w:basedOn w:val="Nagwek1"/>
    <w:rsid w:val="00B948AC"/>
    <w:pPr>
      <w:numPr>
        <w:numId w:val="0"/>
      </w:numPr>
      <w:suppressAutoHyphens/>
    </w:pPr>
    <w:rPr>
      <w:rFonts w:cs="Helvetica"/>
    </w:rPr>
  </w:style>
  <w:style w:type="character" w:styleId="UyteHipercze">
    <w:name w:val="FollowedHyperlink"/>
    <w:rPr>
      <w:rFonts w:ascii="Arial" w:hAnsi="Arial"/>
      <w:color w:val="808080"/>
      <w:sz w:val="19"/>
      <w:u w:val="single" w:color="808080"/>
    </w:rPr>
  </w:style>
  <w:style w:type="character" w:styleId="Numerwiersza">
    <w:name w:val="line number"/>
    <w:rPr>
      <w:rFonts w:ascii="Arial" w:hAnsi="Arial"/>
      <w:vanish/>
      <w:color w:val="808080"/>
      <w:sz w:val="16"/>
    </w:rPr>
  </w:style>
  <w:style w:type="paragraph" w:customStyle="1" w:styleId="Quotations">
    <w:name w:val="Quotations"/>
    <w:basedOn w:val="Tekstpodstawowy"/>
    <w:rsid w:val="0020342F"/>
    <w:pPr>
      <w:ind w:left="720"/>
    </w:pPr>
    <w:rPr>
      <w:i/>
      <w:iCs/>
    </w:rPr>
  </w:style>
  <w:style w:type="paragraph" w:customStyle="1" w:styleId="Source">
    <w:name w:val="Source"/>
    <w:basedOn w:val="Tekstpodstawowy"/>
    <w:rsid w:val="009E7564"/>
    <w:rPr>
      <w:i/>
      <w:sz w:val="16"/>
    </w:rPr>
  </w:style>
  <w:style w:type="paragraph" w:customStyle="1" w:styleId="Disclaimer">
    <w:name w:val="Disclaimer"/>
    <w:basedOn w:val="Tekstpodstawowy"/>
    <w:qFormat/>
    <w:rsid w:val="00051285"/>
    <w:rPr>
      <w:iCs/>
    </w:rPr>
  </w:style>
  <w:style w:type="paragraph" w:customStyle="1" w:styleId="BodyTextOut">
    <w:name w:val="Body Text Out"/>
    <w:basedOn w:val="Tekstpodstawowy"/>
    <w:pPr>
      <w:ind w:left="-709"/>
    </w:pPr>
  </w:style>
  <w:style w:type="paragraph" w:customStyle="1" w:styleId="TabletextR2">
    <w:name w:val="Tabletext R2"/>
    <w:basedOn w:val="Normalny"/>
    <w:pPr>
      <w:keepNext/>
      <w:widowControl w:val="0"/>
      <w:spacing w:after="60"/>
      <w:ind w:left="252"/>
      <w:jc w:val="left"/>
    </w:pPr>
    <w:rPr>
      <w:rFonts w:ascii="Arial" w:hAnsi="Arial"/>
      <w:b/>
      <w:sz w:val="18"/>
    </w:rPr>
  </w:style>
  <w:style w:type="paragraph" w:customStyle="1" w:styleId="BoxHeading">
    <w:name w:val="Box Heading"/>
    <w:basedOn w:val="Nagwek4"/>
    <w:rPr>
      <w:i w:val="0"/>
    </w:rPr>
  </w:style>
  <w:style w:type="paragraph" w:customStyle="1" w:styleId="TabletextR3">
    <w:name w:val="Tabletext R3"/>
    <w:basedOn w:val="Normalny"/>
    <w:pPr>
      <w:keepNext/>
      <w:widowControl w:val="0"/>
      <w:spacing w:after="60"/>
      <w:ind w:left="0"/>
      <w:jc w:val="left"/>
    </w:pPr>
    <w:rPr>
      <w:rFonts w:ascii="Arial" w:hAnsi="Arial"/>
      <w:sz w:val="18"/>
    </w:rPr>
  </w:style>
  <w:style w:type="paragraph" w:customStyle="1" w:styleId="ReportName">
    <w:name w:val="Report Name"/>
    <w:basedOn w:val="Tekstpodstawowy"/>
    <w:pPr>
      <w:suppressAutoHyphens w:val="0"/>
      <w:spacing w:before="0" w:after="240" w:line="264" w:lineRule="auto"/>
      <w:ind w:left="1440"/>
    </w:pPr>
    <w:rPr>
      <w:color w:val="808080"/>
      <w:sz w:val="52"/>
    </w:rPr>
  </w:style>
  <w:style w:type="character" w:styleId="Numerstrony">
    <w:name w:val="page number"/>
    <w:basedOn w:val="Domylnaczcionkaakapitu"/>
    <w:rsid w:val="00413023"/>
  </w:style>
  <w:style w:type="paragraph" w:customStyle="1" w:styleId="DeleteMe">
    <w:name w:val="Delete Me"/>
    <w:basedOn w:val="Tekstpodstawowy"/>
    <w:rPr>
      <w:color w:val="FF0000"/>
    </w:rPr>
  </w:style>
  <w:style w:type="paragraph" w:customStyle="1" w:styleId="BoilerplateText">
    <w:name w:val="Boilerplate Text"/>
    <w:basedOn w:val="Normalny"/>
    <w:rsid w:val="00571AF1"/>
    <w:pPr>
      <w:autoSpaceDE w:val="0"/>
      <w:autoSpaceDN w:val="0"/>
      <w:adjustRightInd w:val="0"/>
      <w:spacing w:before="0" w:after="0"/>
      <w:ind w:left="0" w:right="432"/>
      <w:jc w:val="left"/>
    </w:pPr>
    <w:rPr>
      <w:rFonts w:ascii="Arial" w:hAnsi="Arial" w:cs="Arial"/>
      <w:bCs/>
      <w:sz w:val="16"/>
      <w:szCs w:val="16"/>
    </w:rPr>
  </w:style>
  <w:style w:type="paragraph" w:styleId="Tekstdymka">
    <w:name w:val="Balloon Text"/>
    <w:basedOn w:val="Normalny"/>
    <w:semiHidden/>
    <w:rsid w:val="00337746"/>
    <w:rPr>
      <w:rFonts w:ascii="Tahoma" w:hAnsi="Tahoma" w:cs="Tahoma"/>
      <w:sz w:val="16"/>
      <w:szCs w:val="16"/>
    </w:rPr>
  </w:style>
  <w:style w:type="character" w:styleId="Odwoaniedokomentarza">
    <w:name w:val="annotation reference"/>
    <w:semiHidden/>
    <w:rsid w:val="006D7111"/>
    <w:rPr>
      <w:sz w:val="16"/>
      <w:szCs w:val="16"/>
    </w:rPr>
  </w:style>
  <w:style w:type="paragraph" w:customStyle="1" w:styleId="StyleSectionHeading">
    <w:name w:val="Style Section Heading"/>
    <w:basedOn w:val="SectionHeading"/>
    <w:next w:val="SectionHeading"/>
    <w:rsid w:val="00B948AC"/>
    <w:rPr>
      <w:bCs/>
    </w:rPr>
  </w:style>
  <w:style w:type="character" w:customStyle="1" w:styleId="TekstpodstawowyZnak">
    <w:name w:val="Tekst podstawowy Znak"/>
    <w:link w:val="Tekstpodstawowy"/>
    <w:rsid w:val="00A23023"/>
    <w:rPr>
      <w:rFonts w:ascii="Arial" w:hAnsi="Arial"/>
    </w:rPr>
  </w:style>
  <w:style w:type="paragraph" w:styleId="Tekstkomentarza">
    <w:name w:val="annotation text"/>
    <w:basedOn w:val="Normalny"/>
    <w:link w:val="TekstkomentarzaZnak"/>
    <w:semiHidden/>
    <w:rsid w:val="006D7111"/>
    <w:rPr>
      <w:sz w:val="20"/>
    </w:rPr>
  </w:style>
  <w:style w:type="paragraph" w:styleId="Tematkomentarza">
    <w:name w:val="annotation subject"/>
    <w:basedOn w:val="Tekstkomentarza"/>
    <w:next w:val="Tekstkomentarza"/>
    <w:semiHidden/>
    <w:rsid w:val="006D7111"/>
    <w:rPr>
      <w:b/>
      <w:bCs/>
    </w:rPr>
  </w:style>
  <w:style w:type="table" w:styleId="Tabela-Siatka">
    <w:name w:val="Table Grid"/>
    <w:basedOn w:val="Standardowy"/>
    <w:rsid w:val="00F16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1">
    <w:name w:val="Light List Accent 1"/>
    <w:basedOn w:val="Standardowy"/>
    <w:uiPriority w:val="61"/>
    <w:rsid w:val="00E56831"/>
    <w:pPr>
      <w:spacing w:before="120" w:after="120" w:line="288" w:lineRule="auto"/>
    </w:pPr>
    <w:rPr>
      <w:rFonts w:ascii="Arial" w:hAnsi="Arial"/>
    </w:rPr>
    <w:tblPr>
      <w:tblStyleRowBandSize w:val="1"/>
      <w:tblStyleColBandSize w:val="1"/>
      <w:tblBorders>
        <w:top w:val="single" w:sz="8" w:space="0" w:color="0073AE" w:themeColor="accent1"/>
        <w:left w:val="single" w:sz="8" w:space="0" w:color="0073AE" w:themeColor="accent1"/>
        <w:bottom w:val="single" w:sz="8" w:space="0" w:color="0073AE" w:themeColor="accent1"/>
        <w:right w:val="single" w:sz="8" w:space="0" w:color="0073AE" w:themeColor="accent1"/>
      </w:tblBorders>
    </w:tblPr>
    <w:tblStylePr w:type="firstRow">
      <w:pPr>
        <w:spacing w:before="0" w:after="0" w:line="240" w:lineRule="auto"/>
      </w:pPr>
      <w:rPr>
        <w:b/>
        <w:bCs/>
        <w:color w:val="FFFFFF" w:themeColor="background1"/>
      </w:rPr>
      <w:tblPr/>
      <w:tcPr>
        <w:shd w:val="clear" w:color="auto" w:fill="0073AE" w:themeFill="accent1"/>
      </w:tcPr>
    </w:tblStylePr>
    <w:tblStylePr w:type="lastRow">
      <w:pPr>
        <w:spacing w:before="0" w:after="0" w:line="240" w:lineRule="auto"/>
      </w:pPr>
      <w:rPr>
        <w:b/>
        <w:bCs/>
      </w:rPr>
      <w:tblPr/>
      <w:tcPr>
        <w:tcBorders>
          <w:top w:val="double" w:sz="6" w:space="0" w:color="0073AE" w:themeColor="accent1"/>
          <w:left w:val="single" w:sz="8" w:space="0" w:color="0073AE" w:themeColor="accent1"/>
          <w:bottom w:val="single" w:sz="8" w:space="0" w:color="0073AE" w:themeColor="accent1"/>
          <w:right w:val="single" w:sz="8" w:space="0" w:color="0073AE" w:themeColor="accent1"/>
        </w:tcBorders>
      </w:tcPr>
    </w:tblStylePr>
    <w:tblStylePr w:type="firstCol">
      <w:rPr>
        <w:b w:val="0"/>
        <w:bCs/>
      </w:rPr>
    </w:tblStylePr>
    <w:tblStylePr w:type="lastCol">
      <w:rPr>
        <w:b/>
        <w:bCs/>
      </w:rPr>
    </w:tblStylePr>
    <w:tblStylePr w:type="band1Vert">
      <w:tblPr/>
      <w:tcPr>
        <w:tcBorders>
          <w:top w:val="single" w:sz="8" w:space="0" w:color="0073AE" w:themeColor="accent1"/>
          <w:left w:val="single" w:sz="8" w:space="0" w:color="0073AE" w:themeColor="accent1"/>
          <w:bottom w:val="single" w:sz="8" w:space="0" w:color="0073AE" w:themeColor="accent1"/>
          <w:right w:val="single" w:sz="8" w:space="0" w:color="0073AE" w:themeColor="accent1"/>
        </w:tcBorders>
      </w:tcPr>
    </w:tblStylePr>
    <w:tblStylePr w:type="band1Horz">
      <w:tblPr/>
      <w:tcPr>
        <w:tcBorders>
          <w:top w:val="single" w:sz="8" w:space="0" w:color="0073AE" w:themeColor="accent1"/>
          <w:left w:val="single" w:sz="8" w:space="0" w:color="0073AE" w:themeColor="accent1"/>
          <w:bottom w:val="single" w:sz="8" w:space="0" w:color="0073AE" w:themeColor="accent1"/>
          <w:right w:val="single" w:sz="8" w:space="0" w:color="0073AE" w:themeColor="accent1"/>
        </w:tcBorders>
      </w:tcPr>
    </w:tblStylePr>
  </w:style>
  <w:style w:type="table" w:customStyle="1" w:styleId="CRAtable">
    <w:name w:val="CRA table"/>
    <w:basedOn w:val="Jasnalistaakcent1"/>
    <w:uiPriority w:val="99"/>
    <w:rsid w:val="009E7564"/>
    <w:tblPr>
      <w:tblBorders>
        <w:top w:val="single" w:sz="4" w:space="0" w:color="0073AE" w:themeColor="accent1"/>
        <w:left w:val="single" w:sz="4" w:space="0" w:color="0073AE" w:themeColor="accent1"/>
        <w:bottom w:val="single" w:sz="4" w:space="0" w:color="0073AE" w:themeColor="accent1"/>
        <w:right w:val="single" w:sz="4" w:space="0" w:color="0073AE" w:themeColor="accent1"/>
      </w:tblBorders>
    </w:tblPr>
    <w:tblStylePr w:type="firstRow">
      <w:pPr>
        <w:spacing w:before="0" w:after="0" w:line="240" w:lineRule="auto"/>
      </w:pPr>
      <w:rPr>
        <w:rFonts w:ascii="Arial" w:hAnsi="Arial"/>
        <w:b/>
        <w:bCs/>
        <w:color w:val="FFFFFF" w:themeColor="background1"/>
        <w:sz w:val="20"/>
      </w:rPr>
      <w:tblPr/>
      <w:tcPr>
        <w:shd w:val="clear" w:color="auto" w:fill="0073AE" w:themeFill="accent1"/>
      </w:tcPr>
    </w:tblStylePr>
    <w:tblStylePr w:type="lastRow">
      <w:pPr>
        <w:spacing w:before="0" w:after="0" w:line="240" w:lineRule="auto"/>
      </w:pPr>
      <w:rPr>
        <w:b/>
        <w:bCs/>
      </w:rPr>
      <w:tblPr/>
      <w:tcPr>
        <w:tcBorders>
          <w:top w:val="double" w:sz="6" w:space="0" w:color="0073AE" w:themeColor="accent1"/>
          <w:left w:val="single" w:sz="8" w:space="0" w:color="0073AE" w:themeColor="accent1"/>
          <w:bottom w:val="single" w:sz="8" w:space="0" w:color="0073AE" w:themeColor="accent1"/>
          <w:right w:val="single" w:sz="8" w:space="0" w:color="0073AE" w:themeColor="accent1"/>
        </w:tcBorders>
      </w:tcPr>
    </w:tblStylePr>
    <w:tblStylePr w:type="firstCol">
      <w:rPr>
        <w:b/>
        <w:bCs/>
      </w:rPr>
    </w:tblStylePr>
    <w:tblStylePr w:type="lastCol">
      <w:rPr>
        <w:b/>
        <w:bCs/>
      </w:rPr>
    </w:tblStylePr>
    <w:tblStylePr w:type="band1Vert">
      <w:tblPr/>
      <w:tcPr>
        <w:tcBorders>
          <w:top w:val="single" w:sz="8" w:space="0" w:color="0073AE" w:themeColor="accent1"/>
          <w:left w:val="single" w:sz="8" w:space="0" w:color="0073AE" w:themeColor="accent1"/>
          <w:bottom w:val="single" w:sz="8" w:space="0" w:color="0073AE" w:themeColor="accent1"/>
          <w:right w:val="single" w:sz="8" w:space="0" w:color="0073AE" w:themeColor="accent1"/>
        </w:tcBorders>
      </w:tcPr>
    </w:tblStylePr>
    <w:tblStylePr w:type="band1Horz">
      <w:tblPr/>
      <w:tcPr>
        <w:tcBorders>
          <w:top w:val="single" w:sz="8" w:space="0" w:color="0073AE" w:themeColor="accent1"/>
          <w:left w:val="single" w:sz="8" w:space="0" w:color="0073AE" w:themeColor="accent1"/>
          <w:bottom w:val="single" w:sz="8" w:space="0" w:color="0073AE" w:themeColor="accent1"/>
          <w:right w:val="single" w:sz="8" w:space="0" w:color="0073AE" w:themeColor="accent1"/>
        </w:tcBorders>
      </w:tcPr>
    </w:tblStylePr>
  </w:style>
  <w:style w:type="character" w:customStyle="1" w:styleId="Style">
    <w:name w:val="Style"/>
    <w:basedOn w:val="Odwoanieprzypisudolnego"/>
    <w:rsid w:val="009B098E"/>
    <w:rPr>
      <w:rFonts w:ascii="Arial" w:hAnsi="Arial"/>
      <w:i/>
      <w:iCs/>
      <w:position w:val="6"/>
      <w:sz w:val="16"/>
    </w:rPr>
  </w:style>
  <w:style w:type="paragraph" w:customStyle="1" w:styleId="Footnote">
    <w:name w:val="Footnote"/>
    <w:basedOn w:val="Tekstprzypisudolnego"/>
    <w:qFormat/>
    <w:rsid w:val="00153CF5"/>
    <w:pPr>
      <w:spacing w:line="240" w:lineRule="auto"/>
      <w:jc w:val="left"/>
    </w:pPr>
  </w:style>
  <w:style w:type="paragraph" w:customStyle="1" w:styleId="Reportsubtitle">
    <w:name w:val="Report subtitle"/>
    <w:basedOn w:val="ReportName"/>
    <w:qFormat/>
    <w:rsid w:val="00153CF5"/>
    <w:rPr>
      <w:sz w:val="40"/>
      <w:lang w:val="en-CA"/>
    </w:rPr>
  </w:style>
  <w:style w:type="table" w:customStyle="1" w:styleId="CRAbox">
    <w:name w:val="CRA box"/>
    <w:basedOn w:val="Standardowy"/>
    <w:uiPriority w:val="99"/>
    <w:rsid w:val="009E7564"/>
    <w:pPr>
      <w:spacing w:before="120" w:after="120" w:line="288" w:lineRule="auto"/>
    </w:pPr>
    <w:tblPr>
      <w:tblBorders>
        <w:top w:val="single" w:sz="4" w:space="0" w:color="auto"/>
        <w:left w:val="single" w:sz="4" w:space="0" w:color="auto"/>
        <w:bottom w:val="single" w:sz="4" w:space="0" w:color="auto"/>
        <w:right w:val="single" w:sz="4" w:space="0" w:color="auto"/>
      </w:tblBorders>
    </w:tblPr>
    <w:tcPr>
      <w:shd w:val="clear" w:color="auto" w:fill="D9D9D9" w:themeFill="background1" w:themeFillShade="D9"/>
    </w:tcPr>
  </w:style>
  <w:style w:type="paragraph" w:styleId="Spisilustracji">
    <w:name w:val="table of figures"/>
    <w:basedOn w:val="Normalny"/>
    <w:next w:val="Normalny"/>
    <w:uiPriority w:val="99"/>
    <w:rsid w:val="002D2850"/>
    <w:pPr>
      <w:spacing w:line="288" w:lineRule="auto"/>
      <w:ind w:left="482" w:hanging="482"/>
      <w:jc w:val="left"/>
    </w:pPr>
    <w:rPr>
      <w:rFonts w:ascii="Arial" w:hAnsi="Arial"/>
      <w:bCs/>
      <w:sz w:val="20"/>
    </w:rPr>
  </w:style>
  <w:style w:type="paragraph" w:styleId="Tekstprzypisukocowego">
    <w:name w:val="endnote text"/>
    <w:basedOn w:val="Tekstprzypisudolnego"/>
    <w:link w:val="TekstprzypisukocowegoZnak"/>
    <w:unhideWhenUsed/>
    <w:rsid w:val="008133C8"/>
  </w:style>
  <w:style w:type="character" w:customStyle="1" w:styleId="TekstprzypisukocowegoZnak">
    <w:name w:val="Tekst przypisu końcowego Znak"/>
    <w:basedOn w:val="Domylnaczcionkaakapitu"/>
    <w:link w:val="Tekstprzypisukocowego"/>
    <w:rsid w:val="008133C8"/>
    <w:rPr>
      <w:rFonts w:ascii="Arial" w:hAnsi="Arial"/>
      <w:sz w:val="16"/>
      <w:lang w:val="en-GB"/>
    </w:rPr>
  </w:style>
  <w:style w:type="character" w:styleId="Odwoanieprzypisukocowego">
    <w:name w:val="endnote reference"/>
    <w:unhideWhenUsed/>
    <w:rsid w:val="00C60263"/>
    <w:rPr>
      <w:rFonts w:ascii="Arial" w:hAnsi="Arial"/>
      <w:caps w:val="0"/>
      <w:smallCaps w:val="0"/>
      <w:strike w:val="0"/>
      <w:dstrike w:val="0"/>
      <w:vanish w:val="0"/>
      <w:position w:val="6"/>
      <w:sz w:val="16"/>
      <w:vertAlign w:val="baseline"/>
    </w:rPr>
  </w:style>
  <w:style w:type="character" w:customStyle="1" w:styleId="NagwekZnak">
    <w:name w:val="Nagłówek Znak"/>
    <w:basedOn w:val="Domylnaczcionkaakapitu"/>
    <w:link w:val="Nagwek"/>
    <w:rsid w:val="008020F1"/>
    <w:rPr>
      <w:rFonts w:ascii="Arial" w:hAnsi="Arial"/>
      <w:lang w:val="en-GB"/>
    </w:rPr>
  </w:style>
  <w:style w:type="character" w:customStyle="1" w:styleId="Nagwek3Znak">
    <w:name w:val="Nagłówek 3 Znak"/>
    <w:basedOn w:val="Domylnaczcionkaakapitu"/>
    <w:link w:val="Nagwek3"/>
    <w:rsid w:val="001D1CF8"/>
    <w:rPr>
      <w:rFonts w:ascii="Arial Bold" w:hAnsi="Arial Bold"/>
      <w:b/>
      <w:color w:val="808080"/>
      <w:sz w:val="22"/>
      <w:lang w:val="en-GB"/>
    </w:rPr>
  </w:style>
  <w:style w:type="character" w:styleId="Nierozpoznanawzmianka">
    <w:name w:val="Unresolved Mention"/>
    <w:basedOn w:val="Domylnaczcionkaakapitu"/>
    <w:uiPriority w:val="99"/>
    <w:semiHidden/>
    <w:unhideWhenUsed/>
    <w:rsid w:val="00F87973"/>
    <w:rPr>
      <w:color w:val="605E5C"/>
      <w:shd w:val="clear" w:color="auto" w:fill="E1DFDD"/>
    </w:rPr>
  </w:style>
  <w:style w:type="character" w:customStyle="1" w:styleId="TekstprzypisudolnegoZnak">
    <w:name w:val="Tekst przypisu dolnego Znak"/>
    <w:aliases w:val="fn Znak,Footnote Text Char1 Znak,Footnote Text Char Char Znak,Footnote Text Char1 Char Char Znak,Footnote Text Char Char1 Char Char Znak,Footnote Text Char1 Char Char Char Char Znak"/>
    <w:basedOn w:val="Domylnaczcionkaakapitu"/>
    <w:link w:val="Tekstprzypisudolnego"/>
    <w:rsid w:val="00ED63F8"/>
    <w:rPr>
      <w:rFonts w:ascii="Arial" w:hAnsi="Arial"/>
      <w:sz w:val="16"/>
      <w:lang w:val="en-GB"/>
    </w:rPr>
  </w:style>
  <w:style w:type="paragraph" w:styleId="Akapitzlist">
    <w:name w:val="List Paragraph"/>
    <w:basedOn w:val="Normalny"/>
    <w:uiPriority w:val="34"/>
    <w:qFormat/>
    <w:rsid w:val="003050BC"/>
    <w:pPr>
      <w:ind w:left="720"/>
      <w:contextualSpacing/>
    </w:pPr>
  </w:style>
  <w:style w:type="character" w:customStyle="1" w:styleId="Nagwek1Znak">
    <w:name w:val="Nagłówek 1 Znak"/>
    <w:basedOn w:val="Domylnaczcionkaakapitu"/>
    <w:link w:val="Nagwek1"/>
    <w:rsid w:val="00F152A6"/>
    <w:rPr>
      <w:rFonts w:ascii="Arial Bold" w:hAnsi="Arial Bold"/>
      <w:b/>
      <w:color w:val="808080"/>
      <w:kern w:val="28"/>
      <w:sz w:val="28"/>
      <w:u w:color="568A9E"/>
      <w:lang w:val="en-GB"/>
    </w:rPr>
  </w:style>
  <w:style w:type="character" w:customStyle="1" w:styleId="Nagwek2Znak">
    <w:name w:val="Nagłówek 2 Znak"/>
    <w:basedOn w:val="Domylnaczcionkaakapitu"/>
    <w:link w:val="Nagwek2"/>
    <w:rsid w:val="00F152A6"/>
    <w:rPr>
      <w:rFonts w:ascii="Arial Bold" w:hAnsi="Arial Bold"/>
      <w:b/>
      <w:color w:val="808080"/>
      <w:sz w:val="24"/>
      <w:lang w:val="en-GB"/>
    </w:rPr>
  </w:style>
  <w:style w:type="character" w:customStyle="1" w:styleId="TekstkomentarzaZnak">
    <w:name w:val="Tekst komentarza Znak"/>
    <w:basedOn w:val="Domylnaczcionkaakapitu"/>
    <w:link w:val="Tekstkomentarza"/>
    <w:semiHidden/>
    <w:rsid w:val="00AD3FEB"/>
    <w:rPr>
      <w:rFonts w:ascii="Times New Roman" w:hAnsi="Times New Roman"/>
      <w:lang w:val="en-GB"/>
    </w:rPr>
  </w:style>
  <w:style w:type="paragraph" w:styleId="Poprawka">
    <w:name w:val="Revision"/>
    <w:hidden/>
    <w:uiPriority w:val="99"/>
    <w:semiHidden/>
    <w:rsid w:val="002D22C7"/>
    <w:rPr>
      <w:rFonts w:ascii="Times New Roman" w:hAnsi="Times New Roman"/>
      <w:sz w:val="24"/>
      <w:lang w:val="en-GB"/>
    </w:rPr>
  </w:style>
  <w:style w:type="character" w:customStyle="1" w:styleId="Nagwek4Znak">
    <w:name w:val="Nagłówek 4 Znak"/>
    <w:basedOn w:val="Domylnaczcionkaakapitu"/>
    <w:link w:val="Nagwek4"/>
    <w:rsid w:val="0022111F"/>
    <w:rPr>
      <w:rFonts w:ascii="Arial Bold" w:hAnsi="Arial Bold"/>
      <w:b/>
      <w:i/>
      <w:color w:val="808080"/>
      <w:lang w:val="en-GB"/>
    </w:rPr>
  </w:style>
  <w:style w:type="paragraph" w:customStyle="1" w:styleId="yiv6967807833msolistparagraph">
    <w:name w:val="yiv6967807833msolistparagraph"/>
    <w:basedOn w:val="Normalny"/>
    <w:rsid w:val="00EF4348"/>
    <w:pPr>
      <w:spacing w:before="100" w:beforeAutospacing="1" w:after="100" w:afterAutospacing="1"/>
      <w:ind w:left="0"/>
      <w:jc w:val="left"/>
    </w:pPr>
    <w:rPr>
      <w:szCs w:val="24"/>
      <w:lang w:eastAsia="en-GB"/>
    </w:rPr>
  </w:style>
  <w:style w:type="character" w:customStyle="1" w:styleId="apple-converted-space">
    <w:name w:val="apple-converted-space"/>
    <w:basedOn w:val="Domylnaczcionkaakapitu"/>
    <w:rsid w:val="00676A87"/>
  </w:style>
  <w:style w:type="character" w:styleId="Wzmianka">
    <w:name w:val="Mention"/>
    <w:basedOn w:val="Domylnaczcionkaakapitu"/>
    <w:uiPriority w:val="99"/>
    <w:unhideWhenUsed/>
    <w:rsid w:val="00524E3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9254">
      <w:bodyDiv w:val="1"/>
      <w:marLeft w:val="0"/>
      <w:marRight w:val="0"/>
      <w:marTop w:val="0"/>
      <w:marBottom w:val="0"/>
      <w:divBdr>
        <w:top w:val="none" w:sz="0" w:space="0" w:color="auto"/>
        <w:left w:val="none" w:sz="0" w:space="0" w:color="auto"/>
        <w:bottom w:val="none" w:sz="0" w:space="0" w:color="auto"/>
        <w:right w:val="none" w:sz="0" w:space="0" w:color="auto"/>
      </w:divBdr>
      <w:divsChild>
        <w:div w:id="1937591285">
          <w:marLeft w:val="274"/>
          <w:marRight w:val="0"/>
          <w:marTop w:val="40"/>
          <w:marBottom w:val="40"/>
          <w:divBdr>
            <w:top w:val="none" w:sz="0" w:space="0" w:color="auto"/>
            <w:left w:val="none" w:sz="0" w:space="0" w:color="auto"/>
            <w:bottom w:val="none" w:sz="0" w:space="0" w:color="auto"/>
            <w:right w:val="none" w:sz="0" w:space="0" w:color="auto"/>
          </w:divBdr>
        </w:div>
      </w:divsChild>
    </w:div>
    <w:div w:id="97064367">
      <w:bodyDiv w:val="1"/>
      <w:marLeft w:val="0"/>
      <w:marRight w:val="0"/>
      <w:marTop w:val="0"/>
      <w:marBottom w:val="0"/>
      <w:divBdr>
        <w:top w:val="none" w:sz="0" w:space="0" w:color="auto"/>
        <w:left w:val="none" w:sz="0" w:space="0" w:color="auto"/>
        <w:bottom w:val="none" w:sz="0" w:space="0" w:color="auto"/>
        <w:right w:val="none" w:sz="0" w:space="0" w:color="auto"/>
      </w:divBdr>
    </w:div>
    <w:div w:id="121268854">
      <w:bodyDiv w:val="1"/>
      <w:marLeft w:val="0"/>
      <w:marRight w:val="0"/>
      <w:marTop w:val="0"/>
      <w:marBottom w:val="0"/>
      <w:divBdr>
        <w:top w:val="none" w:sz="0" w:space="0" w:color="auto"/>
        <w:left w:val="none" w:sz="0" w:space="0" w:color="auto"/>
        <w:bottom w:val="none" w:sz="0" w:space="0" w:color="auto"/>
        <w:right w:val="none" w:sz="0" w:space="0" w:color="auto"/>
      </w:divBdr>
    </w:div>
    <w:div w:id="155195275">
      <w:bodyDiv w:val="1"/>
      <w:marLeft w:val="0"/>
      <w:marRight w:val="0"/>
      <w:marTop w:val="0"/>
      <w:marBottom w:val="0"/>
      <w:divBdr>
        <w:top w:val="none" w:sz="0" w:space="0" w:color="auto"/>
        <w:left w:val="none" w:sz="0" w:space="0" w:color="auto"/>
        <w:bottom w:val="none" w:sz="0" w:space="0" w:color="auto"/>
        <w:right w:val="none" w:sz="0" w:space="0" w:color="auto"/>
      </w:divBdr>
    </w:div>
    <w:div w:id="207450475">
      <w:bodyDiv w:val="1"/>
      <w:marLeft w:val="0"/>
      <w:marRight w:val="0"/>
      <w:marTop w:val="0"/>
      <w:marBottom w:val="0"/>
      <w:divBdr>
        <w:top w:val="none" w:sz="0" w:space="0" w:color="auto"/>
        <w:left w:val="none" w:sz="0" w:space="0" w:color="auto"/>
        <w:bottom w:val="none" w:sz="0" w:space="0" w:color="auto"/>
        <w:right w:val="none" w:sz="0" w:space="0" w:color="auto"/>
      </w:divBdr>
    </w:div>
    <w:div w:id="208224203">
      <w:bodyDiv w:val="1"/>
      <w:marLeft w:val="0"/>
      <w:marRight w:val="0"/>
      <w:marTop w:val="0"/>
      <w:marBottom w:val="0"/>
      <w:divBdr>
        <w:top w:val="none" w:sz="0" w:space="0" w:color="auto"/>
        <w:left w:val="none" w:sz="0" w:space="0" w:color="auto"/>
        <w:bottom w:val="none" w:sz="0" w:space="0" w:color="auto"/>
        <w:right w:val="none" w:sz="0" w:space="0" w:color="auto"/>
      </w:divBdr>
    </w:div>
    <w:div w:id="377827455">
      <w:bodyDiv w:val="1"/>
      <w:marLeft w:val="0"/>
      <w:marRight w:val="0"/>
      <w:marTop w:val="0"/>
      <w:marBottom w:val="0"/>
      <w:divBdr>
        <w:top w:val="none" w:sz="0" w:space="0" w:color="auto"/>
        <w:left w:val="none" w:sz="0" w:space="0" w:color="auto"/>
        <w:bottom w:val="none" w:sz="0" w:space="0" w:color="auto"/>
        <w:right w:val="none" w:sz="0" w:space="0" w:color="auto"/>
      </w:divBdr>
      <w:divsChild>
        <w:div w:id="1876431754">
          <w:marLeft w:val="274"/>
          <w:marRight w:val="0"/>
          <w:marTop w:val="40"/>
          <w:marBottom w:val="40"/>
          <w:divBdr>
            <w:top w:val="none" w:sz="0" w:space="0" w:color="auto"/>
            <w:left w:val="none" w:sz="0" w:space="0" w:color="auto"/>
            <w:bottom w:val="none" w:sz="0" w:space="0" w:color="auto"/>
            <w:right w:val="none" w:sz="0" w:space="0" w:color="auto"/>
          </w:divBdr>
        </w:div>
      </w:divsChild>
    </w:div>
    <w:div w:id="516040949">
      <w:bodyDiv w:val="1"/>
      <w:marLeft w:val="0"/>
      <w:marRight w:val="0"/>
      <w:marTop w:val="0"/>
      <w:marBottom w:val="0"/>
      <w:divBdr>
        <w:top w:val="none" w:sz="0" w:space="0" w:color="auto"/>
        <w:left w:val="none" w:sz="0" w:space="0" w:color="auto"/>
        <w:bottom w:val="none" w:sz="0" w:space="0" w:color="auto"/>
        <w:right w:val="none" w:sz="0" w:space="0" w:color="auto"/>
      </w:divBdr>
      <w:divsChild>
        <w:div w:id="835998983">
          <w:marLeft w:val="446"/>
          <w:marRight w:val="0"/>
          <w:marTop w:val="0"/>
          <w:marBottom w:val="0"/>
          <w:divBdr>
            <w:top w:val="none" w:sz="0" w:space="0" w:color="auto"/>
            <w:left w:val="none" w:sz="0" w:space="0" w:color="auto"/>
            <w:bottom w:val="none" w:sz="0" w:space="0" w:color="auto"/>
            <w:right w:val="none" w:sz="0" w:space="0" w:color="auto"/>
          </w:divBdr>
        </w:div>
      </w:divsChild>
    </w:div>
    <w:div w:id="531579506">
      <w:bodyDiv w:val="1"/>
      <w:marLeft w:val="0"/>
      <w:marRight w:val="0"/>
      <w:marTop w:val="0"/>
      <w:marBottom w:val="0"/>
      <w:divBdr>
        <w:top w:val="none" w:sz="0" w:space="0" w:color="auto"/>
        <w:left w:val="none" w:sz="0" w:space="0" w:color="auto"/>
        <w:bottom w:val="none" w:sz="0" w:space="0" w:color="auto"/>
        <w:right w:val="none" w:sz="0" w:space="0" w:color="auto"/>
      </w:divBdr>
      <w:divsChild>
        <w:div w:id="137236455">
          <w:marLeft w:val="446"/>
          <w:marRight w:val="0"/>
          <w:marTop w:val="0"/>
          <w:marBottom w:val="120"/>
          <w:divBdr>
            <w:top w:val="none" w:sz="0" w:space="0" w:color="auto"/>
            <w:left w:val="none" w:sz="0" w:space="0" w:color="auto"/>
            <w:bottom w:val="none" w:sz="0" w:space="0" w:color="auto"/>
            <w:right w:val="none" w:sz="0" w:space="0" w:color="auto"/>
          </w:divBdr>
        </w:div>
        <w:div w:id="413552277">
          <w:marLeft w:val="1166"/>
          <w:marRight w:val="0"/>
          <w:marTop w:val="0"/>
          <w:marBottom w:val="120"/>
          <w:divBdr>
            <w:top w:val="none" w:sz="0" w:space="0" w:color="auto"/>
            <w:left w:val="none" w:sz="0" w:space="0" w:color="auto"/>
            <w:bottom w:val="none" w:sz="0" w:space="0" w:color="auto"/>
            <w:right w:val="none" w:sz="0" w:space="0" w:color="auto"/>
          </w:divBdr>
        </w:div>
        <w:div w:id="1712412975">
          <w:marLeft w:val="1166"/>
          <w:marRight w:val="0"/>
          <w:marTop w:val="0"/>
          <w:marBottom w:val="120"/>
          <w:divBdr>
            <w:top w:val="none" w:sz="0" w:space="0" w:color="auto"/>
            <w:left w:val="none" w:sz="0" w:space="0" w:color="auto"/>
            <w:bottom w:val="none" w:sz="0" w:space="0" w:color="auto"/>
            <w:right w:val="none" w:sz="0" w:space="0" w:color="auto"/>
          </w:divBdr>
        </w:div>
        <w:div w:id="1826508339">
          <w:marLeft w:val="1166"/>
          <w:marRight w:val="0"/>
          <w:marTop w:val="0"/>
          <w:marBottom w:val="120"/>
          <w:divBdr>
            <w:top w:val="none" w:sz="0" w:space="0" w:color="auto"/>
            <w:left w:val="none" w:sz="0" w:space="0" w:color="auto"/>
            <w:bottom w:val="none" w:sz="0" w:space="0" w:color="auto"/>
            <w:right w:val="none" w:sz="0" w:space="0" w:color="auto"/>
          </w:divBdr>
        </w:div>
      </w:divsChild>
    </w:div>
    <w:div w:id="538666005">
      <w:bodyDiv w:val="1"/>
      <w:marLeft w:val="0"/>
      <w:marRight w:val="0"/>
      <w:marTop w:val="0"/>
      <w:marBottom w:val="0"/>
      <w:divBdr>
        <w:top w:val="none" w:sz="0" w:space="0" w:color="auto"/>
        <w:left w:val="none" w:sz="0" w:space="0" w:color="auto"/>
        <w:bottom w:val="none" w:sz="0" w:space="0" w:color="auto"/>
        <w:right w:val="none" w:sz="0" w:space="0" w:color="auto"/>
      </w:divBdr>
      <w:divsChild>
        <w:div w:id="96029775">
          <w:marLeft w:val="360"/>
          <w:marRight w:val="0"/>
          <w:marTop w:val="0"/>
          <w:marBottom w:val="0"/>
          <w:divBdr>
            <w:top w:val="none" w:sz="0" w:space="0" w:color="auto"/>
            <w:left w:val="none" w:sz="0" w:space="0" w:color="auto"/>
            <w:bottom w:val="none" w:sz="0" w:space="0" w:color="auto"/>
            <w:right w:val="none" w:sz="0" w:space="0" w:color="auto"/>
          </w:divBdr>
        </w:div>
      </w:divsChild>
    </w:div>
    <w:div w:id="621034536">
      <w:bodyDiv w:val="1"/>
      <w:marLeft w:val="0"/>
      <w:marRight w:val="0"/>
      <w:marTop w:val="0"/>
      <w:marBottom w:val="0"/>
      <w:divBdr>
        <w:top w:val="none" w:sz="0" w:space="0" w:color="auto"/>
        <w:left w:val="none" w:sz="0" w:space="0" w:color="auto"/>
        <w:bottom w:val="none" w:sz="0" w:space="0" w:color="auto"/>
        <w:right w:val="none" w:sz="0" w:space="0" w:color="auto"/>
      </w:divBdr>
    </w:div>
    <w:div w:id="681320279">
      <w:bodyDiv w:val="1"/>
      <w:marLeft w:val="0"/>
      <w:marRight w:val="0"/>
      <w:marTop w:val="0"/>
      <w:marBottom w:val="0"/>
      <w:divBdr>
        <w:top w:val="none" w:sz="0" w:space="0" w:color="auto"/>
        <w:left w:val="none" w:sz="0" w:space="0" w:color="auto"/>
        <w:bottom w:val="none" w:sz="0" w:space="0" w:color="auto"/>
        <w:right w:val="none" w:sz="0" w:space="0" w:color="auto"/>
      </w:divBdr>
    </w:div>
    <w:div w:id="727001278">
      <w:bodyDiv w:val="1"/>
      <w:marLeft w:val="0"/>
      <w:marRight w:val="0"/>
      <w:marTop w:val="0"/>
      <w:marBottom w:val="0"/>
      <w:divBdr>
        <w:top w:val="none" w:sz="0" w:space="0" w:color="auto"/>
        <w:left w:val="none" w:sz="0" w:space="0" w:color="auto"/>
        <w:bottom w:val="none" w:sz="0" w:space="0" w:color="auto"/>
        <w:right w:val="none" w:sz="0" w:space="0" w:color="auto"/>
      </w:divBdr>
    </w:div>
    <w:div w:id="761029666">
      <w:bodyDiv w:val="1"/>
      <w:marLeft w:val="0"/>
      <w:marRight w:val="0"/>
      <w:marTop w:val="0"/>
      <w:marBottom w:val="0"/>
      <w:divBdr>
        <w:top w:val="none" w:sz="0" w:space="0" w:color="auto"/>
        <w:left w:val="none" w:sz="0" w:space="0" w:color="auto"/>
        <w:bottom w:val="none" w:sz="0" w:space="0" w:color="auto"/>
        <w:right w:val="none" w:sz="0" w:space="0" w:color="auto"/>
      </w:divBdr>
    </w:div>
    <w:div w:id="842167531">
      <w:bodyDiv w:val="1"/>
      <w:marLeft w:val="0"/>
      <w:marRight w:val="0"/>
      <w:marTop w:val="0"/>
      <w:marBottom w:val="0"/>
      <w:divBdr>
        <w:top w:val="none" w:sz="0" w:space="0" w:color="auto"/>
        <w:left w:val="none" w:sz="0" w:space="0" w:color="auto"/>
        <w:bottom w:val="none" w:sz="0" w:space="0" w:color="auto"/>
        <w:right w:val="none" w:sz="0" w:space="0" w:color="auto"/>
      </w:divBdr>
    </w:div>
    <w:div w:id="884605500">
      <w:bodyDiv w:val="1"/>
      <w:marLeft w:val="0"/>
      <w:marRight w:val="0"/>
      <w:marTop w:val="0"/>
      <w:marBottom w:val="0"/>
      <w:divBdr>
        <w:top w:val="none" w:sz="0" w:space="0" w:color="auto"/>
        <w:left w:val="none" w:sz="0" w:space="0" w:color="auto"/>
        <w:bottom w:val="none" w:sz="0" w:space="0" w:color="auto"/>
        <w:right w:val="none" w:sz="0" w:space="0" w:color="auto"/>
      </w:divBdr>
    </w:div>
    <w:div w:id="930896994">
      <w:bodyDiv w:val="1"/>
      <w:marLeft w:val="0"/>
      <w:marRight w:val="0"/>
      <w:marTop w:val="0"/>
      <w:marBottom w:val="0"/>
      <w:divBdr>
        <w:top w:val="none" w:sz="0" w:space="0" w:color="auto"/>
        <w:left w:val="none" w:sz="0" w:space="0" w:color="auto"/>
        <w:bottom w:val="none" w:sz="0" w:space="0" w:color="auto"/>
        <w:right w:val="none" w:sz="0" w:space="0" w:color="auto"/>
      </w:divBdr>
      <w:divsChild>
        <w:div w:id="786852937">
          <w:marLeft w:val="1166"/>
          <w:marRight w:val="0"/>
          <w:marTop w:val="0"/>
          <w:marBottom w:val="120"/>
          <w:divBdr>
            <w:top w:val="none" w:sz="0" w:space="0" w:color="auto"/>
            <w:left w:val="none" w:sz="0" w:space="0" w:color="auto"/>
            <w:bottom w:val="none" w:sz="0" w:space="0" w:color="auto"/>
            <w:right w:val="none" w:sz="0" w:space="0" w:color="auto"/>
          </w:divBdr>
        </w:div>
        <w:div w:id="1717318107">
          <w:marLeft w:val="1166"/>
          <w:marRight w:val="0"/>
          <w:marTop w:val="0"/>
          <w:marBottom w:val="120"/>
          <w:divBdr>
            <w:top w:val="none" w:sz="0" w:space="0" w:color="auto"/>
            <w:left w:val="none" w:sz="0" w:space="0" w:color="auto"/>
            <w:bottom w:val="none" w:sz="0" w:space="0" w:color="auto"/>
            <w:right w:val="none" w:sz="0" w:space="0" w:color="auto"/>
          </w:divBdr>
        </w:div>
        <w:div w:id="2086298832">
          <w:marLeft w:val="1166"/>
          <w:marRight w:val="0"/>
          <w:marTop w:val="0"/>
          <w:marBottom w:val="120"/>
          <w:divBdr>
            <w:top w:val="none" w:sz="0" w:space="0" w:color="auto"/>
            <w:left w:val="none" w:sz="0" w:space="0" w:color="auto"/>
            <w:bottom w:val="none" w:sz="0" w:space="0" w:color="auto"/>
            <w:right w:val="none" w:sz="0" w:space="0" w:color="auto"/>
          </w:divBdr>
        </w:div>
      </w:divsChild>
    </w:div>
    <w:div w:id="984285869">
      <w:bodyDiv w:val="1"/>
      <w:marLeft w:val="0"/>
      <w:marRight w:val="0"/>
      <w:marTop w:val="0"/>
      <w:marBottom w:val="0"/>
      <w:divBdr>
        <w:top w:val="none" w:sz="0" w:space="0" w:color="auto"/>
        <w:left w:val="none" w:sz="0" w:space="0" w:color="auto"/>
        <w:bottom w:val="none" w:sz="0" w:space="0" w:color="auto"/>
        <w:right w:val="none" w:sz="0" w:space="0" w:color="auto"/>
      </w:divBdr>
      <w:divsChild>
        <w:div w:id="1321929493">
          <w:marLeft w:val="274"/>
          <w:marRight w:val="0"/>
          <w:marTop w:val="40"/>
          <w:marBottom w:val="40"/>
          <w:divBdr>
            <w:top w:val="none" w:sz="0" w:space="0" w:color="auto"/>
            <w:left w:val="none" w:sz="0" w:space="0" w:color="auto"/>
            <w:bottom w:val="none" w:sz="0" w:space="0" w:color="auto"/>
            <w:right w:val="none" w:sz="0" w:space="0" w:color="auto"/>
          </w:divBdr>
        </w:div>
      </w:divsChild>
    </w:div>
    <w:div w:id="1045718862">
      <w:bodyDiv w:val="1"/>
      <w:marLeft w:val="0"/>
      <w:marRight w:val="0"/>
      <w:marTop w:val="0"/>
      <w:marBottom w:val="0"/>
      <w:divBdr>
        <w:top w:val="none" w:sz="0" w:space="0" w:color="auto"/>
        <w:left w:val="none" w:sz="0" w:space="0" w:color="auto"/>
        <w:bottom w:val="none" w:sz="0" w:space="0" w:color="auto"/>
        <w:right w:val="none" w:sz="0" w:space="0" w:color="auto"/>
      </w:divBdr>
      <w:divsChild>
        <w:div w:id="398403212">
          <w:marLeft w:val="1166"/>
          <w:marRight w:val="0"/>
          <w:marTop w:val="0"/>
          <w:marBottom w:val="120"/>
          <w:divBdr>
            <w:top w:val="none" w:sz="0" w:space="0" w:color="auto"/>
            <w:left w:val="none" w:sz="0" w:space="0" w:color="auto"/>
            <w:bottom w:val="none" w:sz="0" w:space="0" w:color="auto"/>
            <w:right w:val="none" w:sz="0" w:space="0" w:color="auto"/>
          </w:divBdr>
        </w:div>
        <w:div w:id="960646988">
          <w:marLeft w:val="1166"/>
          <w:marRight w:val="0"/>
          <w:marTop w:val="0"/>
          <w:marBottom w:val="120"/>
          <w:divBdr>
            <w:top w:val="none" w:sz="0" w:space="0" w:color="auto"/>
            <w:left w:val="none" w:sz="0" w:space="0" w:color="auto"/>
            <w:bottom w:val="none" w:sz="0" w:space="0" w:color="auto"/>
            <w:right w:val="none" w:sz="0" w:space="0" w:color="auto"/>
          </w:divBdr>
        </w:div>
        <w:div w:id="1956213532">
          <w:marLeft w:val="1166"/>
          <w:marRight w:val="0"/>
          <w:marTop w:val="0"/>
          <w:marBottom w:val="120"/>
          <w:divBdr>
            <w:top w:val="none" w:sz="0" w:space="0" w:color="auto"/>
            <w:left w:val="none" w:sz="0" w:space="0" w:color="auto"/>
            <w:bottom w:val="none" w:sz="0" w:space="0" w:color="auto"/>
            <w:right w:val="none" w:sz="0" w:space="0" w:color="auto"/>
          </w:divBdr>
        </w:div>
      </w:divsChild>
    </w:div>
    <w:div w:id="1049651898">
      <w:bodyDiv w:val="1"/>
      <w:marLeft w:val="0"/>
      <w:marRight w:val="0"/>
      <w:marTop w:val="0"/>
      <w:marBottom w:val="0"/>
      <w:divBdr>
        <w:top w:val="none" w:sz="0" w:space="0" w:color="auto"/>
        <w:left w:val="none" w:sz="0" w:space="0" w:color="auto"/>
        <w:bottom w:val="none" w:sz="0" w:space="0" w:color="auto"/>
        <w:right w:val="none" w:sz="0" w:space="0" w:color="auto"/>
      </w:divBdr>
    </w:div>
    <w:div w:id="1052726637">
      <w:bodyDiv w:val="1"/>
      <w:marLeft w:val="0"/>
      <w:marRight w:val="0"/>
      <w:marTop w:val="0"/>
      <w:marBottom w:val="0"/>
      <w:divBdr>
        <w:top w:val="none" w:sz="0" w:space="0" w:color="auto"/>
        <w:left w:val="none" w:sz="0" w:space="0" w:color="auto"/>
        <w:bottom w:val="none" w:sz="0" w:space="0" w:color="auto"/>
        <w:right w:val="none" w:sz="0" w:space="0" w:color="auto"/>
      </w:divBdr>
      <w:divsChild>
        <w:div w:id="1493907575">
          <w:marLeft w:val="0"/>
          <w:marRight w:val="0"/>
          <w:marTop w:val="0"/>
          <w:marBottom w:val="0"/>
          <w:divBdr>
            <w:top w:val="none" w:sz="0" w:space="0" w:color="auto"/>
            <w:left w:val="none" w:sz="0" w:space="0" w:color="auto"/>
            <w:bottom w:val="none" w:sz="0" w:space="0" w:color="auto"/>
            <w:right w:val="none" w:sz="0" w:space="0" w:color="auto"/>
          </w:divBdr>
          <w:divsChild>
            <w:div w:id="427507854">
              <w:marLeft w:val="0"/>
              <w:marRight w:val="0"/>
              <w:marTop w:val="0"/>
              <w:marBottom w:val="0"/>
              <w:divBdr>
                <w:top w:val="none" w:sz="0" w:space="0" w:color="auto"/>
                <w:left w:val="none" w:sz="0" w:space="0" w:color="auto"/>
                <w:bottom w:val="none" w:sz="0" w:space="0" w:color="auto"/>
                <w:right w:val="none" w:sz="0" w:space="0" w:color="auto"/>
              </w:divBdr>
              <w:divsChild>
                <w:div w:id="2007201250">
                  <w:marLeft w:val="0"/>
                  <w:marRight w:val="0"/>
                  <w:marTop w:val="0"/>
                  <w:marBottom w:val="0"/>
                  <w:divBdr>
                    <w:top w:val="none" w:sz="0" w:space="0" w:color="auto"/>
                    <w:left w:val="none" w:sz="0" w:space="0" w:color="auto"/>
                    <w:bottom w:val="none" w:sz="0" w:space="0" w:color="auto"/>
                    <w:right w:val="none" w:sz="0" w:space="0" w:color="auto"/>
                  </w:divBdr>
                  <w:divsChild>
                    <w:div w:id="100914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5831">
              <w:marLeft w:val="0"/>
              <w:marRight w:val="0"/>
              <w:marTop w:val="225"/>
              <w:marBottom w:val="0"/>
              <w:divBdr>
                <w:top w:val="none" w:sz="0" w:space="0" w:color="auto"/>
                <w:left w:val="none" w:sz="0" w:space="0" w:color="auto"/>
                <w:bottom w:val="none" w:sz="0" w:space="0" w:color="auto"/>
                <w:right w:val="none" w:sz="0" w:space="0" w:color="auto"/>
              </w:divBdr>
              <w:divsChild>
                <w:div w:id="511145321">
                  <w:marLeft w:val="0"/>
                  <w:marRight w:val="0"/>
                  <w:marTop w:val="0"/>
                  <w:marBottom w:val="0"/>
                  <w:divBdr>
                    <w:top w:val="none" w:sz="0" w:space="0" w:color="auto"/>
                    <w:left w:val="none" w:sz="0" w:space="0" w:color="auto"/>
                    <w:bottom w:val="none" w:sz="0" w:space="0" w:color="auto"/>
                    <w:right w:val="none" w:sz="0" w:space="0" w:color="auto"/>
                  </w:divBdr>
                  <w:divsChild>
                    <w:div w:id="329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21725">
      <w:bodyDiv w:val="1"/>
      <w:marLeft w:val="0"/>
      <w:marRight w:val="0"/>
      <w:marTop w:val="0"/>
      <w:marBottom w:val="0"/>
      <w:divBdr>
        <w:top w:val="none" w:sz="0" w:space="0" w:color="auto"/>
        <w:left w:val="none" w:sz="0" w:space="0" w:color="auto"/>
        <w:bottom w:val="none" w:sz="0" w:space="0" w:color="auto"/>
        <w:right w:val="none" w:sz="0" w:space="0" w:color="auto"/>
      </w:divBdr>
      <w:divsChild>
        <w:div w:id="1228220724">
          <w:marLeft w:val="274"/>
          <w:marRight w:val="0"/>
          <w:marTop w:val="40"/>
          <w:marBottom w:val="40"/>
          <w:divBdr>
            <w:top w:val="none" w:sz="0" w:space="0" w:color="auto"/>
            <w:left w:val="none" w:sz="0" w:space="0" w:color="auto"/>
            <w:bottom w:val="none" w:sz="0" w:space="0" w:color="auto"/>
            <w:right w:val="none" w:sz="0" w:space="0" w:color="auto"/>
          </w:divBdr>
        </w:div>
      </w:divsChild>
    </w:div>
    <w:div w:id="1099521407">
      <w:bodyDiv w:val="1"/>
      <w:marLeft w:val="0"/>
      <w:marRight w:val="0"/>
      <w:marTop w:val="0"/>
      <w:marBottom w:val="0"/>
      <w:divBdr>
        <w:top w:val="none" w:sz="0" w:space="0" w:color="auto"/>
        <w:left w:val="none" w:sz="0" w:space="0" w:color="auto"/>
        <w:bottom w:val="none" w:sz="0" w:space="0" w:color="auto"/>
        <w:right w:val="none" w:sz="0" w:space="0" w:color="auto"/>
      </w:divBdr>
    </w:div>
    <w:div w:id="1171721966">
      <w:bodyDiv w:val="1"/>
      <w:marLeft w:val="0"/>
      <w:marRight w:val="0"/>
      <w:marTop w:val="0"/>
      <w:marBottom w:val="0"/>
      <w:divBdr>
        <w:top w:val="none" w:sz="0" w:space="0" w:color="auto"/>
        <w:left w:val="none" w:sz="0" w:space="0" w:color="auto"/>
        <w:bottom w:val="none" w:sz="0" w:space="0" w:color="auto"/>
        <w:right w:val="none" w:sz="0" w:space="0" w:color="auto"/>
      </w:divBdr>
      <w:divsChild>
        <w:div w:id="911543612">
          <w:marLeft w:val="274"/>
          <w:marRight w:val="0"/>
          <w:marTop w:val="40"/>
          <w:marBottom w:val="40"/>
          <w:divBdr>
            <w:top w:val="none" w:sz="0" w:space="0" w:color="auto"/>
            <w:left w:val="none" w:sz="0" w:space="0" w:color="auto"/>
            <w:bottom w:val="none" w:sz="0" w:space="0" w:color="auto"/>
            <w:right w:val="none" w:sz="0" w:space="0" w:color="auto"/>
          </w:divBdr>
        </w:div>
      </w:divsChild>
    </w:div>
    <w:div w:id="1229807320">
      <w:bodyDiv w:val="1"/>
      <w:marLeft w:val="0"/>
      <w:marRight w:val="0"/>
      <w:marTop w:val="0"/>
      <w:marBottom w:val="0"/>
      <w:divBdr>
        <w:top w:val="none" w:sz="0" w:space="0" w:color="auto"/>
        <w:left w:val="none" w:sz="0" w:space="0" w:color="auto"/>
        <w:bottom w:val="none" w:sz="0" w:space="0" w:color="auto"/>
        <w:right w:val="none" w:sz="0" w:space="0" w:color="auto"/>
      </w:divBdr>
    </w:div>
    <w:div w:id="1281644652">
      <w:bodyDiv w:val="1"/>
      <w:marLeft w:val="0"/>
      <w:marRight w:val="0"/>
      <w:marTop w:val="0"/>
      <w:marBottom w:val="0"/>
      <w:divBdr>
        <w:top w:val="none" w:sz="0" w:space="0" w:color="auto"/>
        <w:left w:val="none" w:sz="0" w:space="0" w:color="auto"/>
        <w:bottom w:val="none" w:sz="0" w:space="0" w:color="auto"/>
        <w:right w:val="none" w:sz="0" w:space="0" w:color="auto"/>
      </w:divBdr>
    </w:div>
    <w:div w:id="1285309764">
      <w:bodyDiv w:val="1"/>
      <w:marLeft w:val="0"/>
      <w:marRight w:val="0"/>
      <w:marTop w:val="0"/>
      <w:marBottom w:val="0"/>
      <w:divBdr>
        <w:top w:val="none" w:sz="0" w:space="0" w:color="auto"/>
        <w:left w:val="none" w:sz="0" w:space="0" w:color="auto"/>
        <w:bottom w:val="none" w:sz="0" w:space="0" w:color="auto"/>
        <w:right w:val="none" w:sz="0" w:space="0" w:color="auto"/>
      </w:divBdr>
      <w:divsChild>
        <w:div w:id="1429350274">
          <w:marLeft w:val="274"/>
          <w:marRight w:val="0"/>
          <w:marTop w:val="40"/>
          <w:marBottom w:val="40"/>
          <w:divBdr>
            <w:top w:val="none" w:sz="0" w:space="0" w:color="auto"/>
            <w:left w:val="none" w:sz="0" w:space="0" w:color="auto"/>
            <w:bottom w:val="none" w:sz="0" w:space="0" w:color="auto"/>
            <w:right w:val="none" w:sz="0" w:space="0" w:color="auto"/>
          </w:divBdr>
        </w:div>
      </w:divsChild>
    </w:div>
    <w:div w:id="1309281519">
      <w:bodyDiv w:val="1"/>
      <w:marLeft w:val="0"/>
      <w:marRight w:val="0"/>
      <w:marTop w:val="0"/>
      <w:marBottom w:val="0"/>
      <w:divBdr>
        <w:top w:val="none" w:sz="0" w:space="0" w:color="auto"/>
        <w:left w:val="none" w:sz="0" w:space="0" w:color="auto"/>
        <w:bottom w:val="none" w:sz="0" w:space="0" w:color="auto"/>
        <w:right w:val="none" w:sz="0" w:space="0" w:color="auto"/>
      </w:divBdr>
    </w:div>
    <w:div w:id="1328823444">
      <w:bodyDiv w:val="1"/>
      <w:marLeft w:val="0"/>
      <w:marRight w:val="0"/>
      <w:marTop w:val="0"/>
      <w:marBottom w:val="0"/>
      <w:divBdr>
        <w:top w:val="none" w:sz="0" w:space="0" w:color="auto"/>
        <w:left w:val="none" w:sz="0" w:space="0" w:color="auto"/>
        <w:bottom w:val="none" w:sz="0" w:space="0" w:color="auto"/>
        <w:right w:val="none" w:sz="0" w:space="0" w:color="auto"/>
      </w:divBdr>
    </w:div>
    <w:div w:id="1420833897">
      <w:bodyDiv w:val="1"/>
      <w:marLeft w:val="0"/>
      <w:marRight w:val="0"/>
      <w:marTop w:val="0"/>
      <w:marBottom w:val="0"/>
      <w:divBdr>
        <w:top w:val="none" w:sz="0" w:space="0" w:color="auto"/>
        <w:left w:val="none" w:sz="0" w:space="0" w:color="auto"/>
        <w:bottom w:val="none" w:sz="0" w:space="0" w:color="auto"/>
        <w:right w:val="none" w:sz="0" w:space="0" w:color="auto"/>
      </w:divBdr>
    </w:div>
    <w:div w:id="1462648353">
      <w:bodyDiv w:val="1"/>
      <w:marLeft w:val="0"/>
      <w:marRight w:val="0"/>
      <w:marTop w:val="0"/>
      <w:marBottom w:val="0"/>
      <w:divBdr>
        <w:top w:val="none" w:sz="0" w:space="0" w:color="auto"/>
        <w:left w:val="none" w:sz="0" w:space="0" w:color="auto"/>
        <w:bottom w:val="none" w:sz="0" w:space="0" w:color="auto"/>
        <w:right w:val="none" w:sz="0" w:space="0" w:color="auto"/>
      </w:divBdr>
    </w:div>
    <w:div w:id="1530291428">
      <w:bodyDiv w:val="1"/>
      <w:marLeft w:val="0"/>
      <w:marRight w:val="0"/>
      <w:marTop w:val="0"/>
      <w:marBottom w:val="0"/>
      <w:divBdr>
        <w:top w:val="none" w:sz="0" w:space="0" w:color="auto"/>
        <w:left w:val="none" w:sz="0" w:space="0" w:color="auto"/>
        <w:bottom w:val="none" w:sz="0" w:space="0" w:color="auto"/>
        <w:right w:val="none" w:sz="0" w:space="0" w:color="auto"/>
      </w:divBdr>
      <w:divsChild>
        <w:div w:id="1713846331">
          <w:marLeft w:val="274"/>
          <w:marRight w:val="0"/>
          <w:marTop w:val="240"/>
          <w:marBottom w:val="0"/>
          <w:divBdr>
            <w:top w:val="none" w:sz="0" w:space="0" w:color="auto"/>
            <w:left w:val="none" w:sz="0" w:space="0" w:color="auto"/>
            <w:bottom w:val="none" w:sz="0" w:space="0" w:color="auto"/>
            <w:right w:val="none" w:sz="0" w:space="0" w:color="auto"/>
          </w:divBdr>
        </w:div>
      </w:divsChild>
    </w:div>
    <w:div w:id="1537621808">
      <w:bodyDiv w:val="1"/>
      <w:marLeft w:val="0"/>
      <w:marRight w:val="0"/>
      <w:marTop w:val="0"/>
      <w:marBottom w:val="0"/>
      <w:divBdr>
        <w:top w:val="none" w:sz="0" w:space="0" w:color="auto"/>
        <w:left w:val="none" w:sz="0" w:space="0" w:color="auto"/>
        <w:bottom w:val="none" w:sz="0" w:space="0" w:color="auto"/>
        <w:right w:val="none" w:sz="0" w:space="0" w:color="auto"/>
      </w:divBdr>
    </w:div>
    <w:div w:id="1543981536">
      <w:bodyDiv w:val="1"/>
      <w:marLeft w:val="0"/>
      <w:marRight w:val="0"/>
      <w:marTop w:val="0"/>
      <w:marBottom w:val="0"/>
      <w:divBdr>
        <w:top w:val="none" w:sz="0" w:space="0" w:color="auto"/>
        <w:left w:val="none" w:sz="0" w:space="0" w:color="auto"/>
        <w:bottom w:val="none" w:sz="0" w:space="0" w:color="auto"/>
        <w:right w:val="none" w:sz="0" w:space="0" w:color="auto"/>
      </w:divBdr>
    </w:div>
    <w:div w:id="1561012330">
      <w:bodyDiv w:val="1"/>
      <w:marLeft w:val="0"/>
      <w:marRight w:val="0"/>
      <w:marTop w:val="0"/>
      <w:marBottom w:val="0"/>
      <w:divBdr>
        <w:top w:val="none" w:sz="0" w:space="0" w:color="auto"/>
        <w:left w:val="none" w:sz="0" w:space="0" w:color="auto"/>
        <w:bottom w:val="none" w:sz="0" w:space="0" w:color="auto"/>
        <w:right w:val="none" w:sz="0" w:space="0" w:color="auto"/>
      </w:divBdr>
    </w:div>
    <w:div w:id="1581866681">
      <w:bodyDiv w:val="1"/>
      <w:marLeft w:val="0"/>
      <w:marRight w:val="0"/>
      <w:marTop w:val="0"/>
      <w:marBottom w:val="0"/>
      <w:divBdr>
        <w:top w:val="none" w:sz="0" w:space="0" w:color="auto"/>
        <w:left w:val="none" w:sz="0" w:space="0" w:color="auto"/>
        <w:bottom w:val="none" w:sz="0" w:space="0" w:color="auto"/>
        <w:right w:val="none" w:sz="0" w:space="0" w:color="auto"/>
      </w:divBdr>
    </w:div>
    <w:div w:id="1683169745">
      <w:bodyDiv w:val="1"/>
      <w:marLeft w:val="0"/>
      <w:marRight w:val="0"/>
      <w:marTop w:val="0"/>
      <w:marBottom w:val="0"/>
      <w:divBdr>
        <w:top w:val="none" w:sz="0" w:space="0" w:color="auto"/>
        <w:left w:val="none" w:sz="0" w:space="0" w:color="auto"/>
        <w:bottom w:val="none" w:sz="0" w:space="0" w:color="auto"/>
        <w:right w:val="none" w:sz="0" w:space="0" w:color="auto"/>
      </w:divBdr>
      <w:divsChild>
        <w:div w:id="1957058869">
          <w:marLeft w:val="446"/>
          <w:marRight w:val="0"/>
          <w:marTop w:val="120"/>
          <w:marBottom w:val="120"/>
          <w:divBdr>
            <w:top w:val="none" w:sz="0" w:space="0" w:color="auto"/>
            <w:left w:val="none" w:sz="0" w:space="0" w:color="auto"/>
            <w:bottom w:val="none" w:sz="0" w:space="0" w:color="auto"/>
            <w:right w:val="none" w:sz="0" w:space="0" w:color="auto"/>
          </w:divBdr>
        </w:div>
      </w:divsChild>
    </w:div>
    <w:div w:id="1688099465">
      <w:bodyDiv w:val="1"/>
      <w:marLeft w:val="0"/>
      <w:marRight w:val="0"/>
      <w:marTop w:val="0"/>
      <w:marBottom w:val="0"/>
      <w:divBdr>
        <w:top w:val="none" w:sz="0" w:space="0" w:color="auto"/>
        <w:left w:val="none" w:sz="0" w:space="0" w:color="auto"/>
        <w:bottom w:val="none" w:sz="0" w:space="0" w:color="auto"/>
        <w:right w:val="none" w:sz="0" w:space="0" w:color="auto"/>
      </w:divBdr>
      <w:divsChild>
        <w:div w:id="11806392">
          <w:marLeft w:val="144"/>
          <w:marRight w:val="0"/>
          <w:marTop w:val="20"/>
          <w:marBottom w:val="0"/>
          <w:divBdr>
            <w:top w:val="none" w:sz="0" w:space="0" w:color="auto"/>
            <w:left w:val="none" w:sz="0" w:space="0" w:color="auto"/>
            <w:bottom w:val="none" w:sz="0" w:space="0" w:color="auto"/>
            <w:right w:val="none" w:sz="0" w:space="0" w:color="auto"/>
          </w:divBdr>
        </w:div>
      </w:divsChild>
    </w:div>
    <w:div w:id="1689864482">
      <w:bodyDiv w:val="1"/>
      <w:marLeft w:val="0"/>
      <w:marRight w:val="0"/>
      <w:marTop w:val="0"/>
      <w:marBottom w:val="0"/>
      <w:divBdr>
        <w:top w:val="none" w:sz="0" w:space="0" w:color="auto"/>
        <w:left w:val="none" w:sz="0" w:space="0" w:color="auto"/>
        <w:bottom w:val="none" w:sz="0" w:space="0" w:color="auto"/>
        <w:right w:val="none" w:sz="0" w:space="0" w:color="auto"/>
      </w:divBdr>
    </w:div>
    <w:div w:id="1809350617">
      <w:bodyDiv w:val="1"/>
      <w:marLeft w:val="0"/>
      <w:marRight w:val="0"/>
      <w:marTop w:val="0"/>
      <w:marBottom w:val="0"/>
      <w:divBdr>
        <w:top w:val="none" w:sz="0" w:space="0" w:color="auto"/>
        <w:left w:val="none" w:sz="0" w:space="0" w:color="auto"/>
        <w:bottom w:val="none" w:sz="0" w:space="0" w:color="auto"/>
        <w:right w:val="none" w:sz="0" w:space="0" w:color="auto"/>
      </w:divBdr>
    </w:div>
    <w:div w:id="1820225793">
      <w:bodyDiv w:val="1"/>
      <w:marLeft w:val="0"/>
      <w:marRight w:val="0"/>
      <w:marTop w:val="0"/>
      <w:marBottom w:val="0"/>
      <w:divBdr>
        <w:top w:val="none" w:sz="0" w:space="0" w:color="auto"/>
        <w:left w:val="none" w:sz="0" w:space="0" w:color="auto"/>
        <w:bottom w:val="none" w:sz="0" w:space="0" w:color="auto"/>
        <w:right w:val="none" w:sz="0" w:space="0" w:color="auto"/>
      </w:divBdr>
      <w:divsChild>
        <w:div w:id="719981755">
          <w:marLeft w:val="274"/>
          <w:marRight w:val="0"/>
          <w:marTop w:val="40"/>
          <w:marBottom w:val="40"/>
          <w:divBdr>
            <w:top w:val="none" w:sz="0" w:space="0" w:color="auto"/>
            <w:left w:val="none" w:sz="0" w:space="0" w:color="auto"/>
            <w:bottom w:val="none" w:sz="0" w:space="0" w:color="auto"/>
            <w:right w:val="none" w:sz="0" w:space="0" w:color="auto"/>
          </w:divBdr>
        </w:div>
      </w:divsChild>
    </w:div>
    <w:div w:id="1865899968">
      <w:bodyDiv w:val="1"/>
      <w:marLeft w:val="0"/>
      <w:marRight w:val="0"/>
      <w:marTop w:val="0"/>
      <w:marBottom w:val="0"/>
      <w:divBdr>
        <w:top w:val="none" w:sz="0" w:space="0" w:color="auto"/>
        <w:left w:val="none" w:sz="0" w:space="0" w:color="auto"/>
        <w:bottom w:val="none" w:sz="0" w:space="0" w:color="auto"/>
        <w:right w:val="none" w:sz="0" w:space="0" w:color="auto"/>
      </w:divBdr>
    </w:div>
    <w:div w:id="1936161977">
      <w:bodyDiv w:val="1"/>
      <w:marLeft w:val="0"/>
      <w:marRight w:val="0"/>
      <w:marTop w:val="0"/>
      <w:marBottom w:val="0"/>
      <w:divBdr>
        <w:top w:val="none" w:sz="0" w:space="0" w:color="auto"/>
        <w:left w:val="none" w:sz="0" w:space="0" w:color="auto"/>
        <w:bottom w:val="none" w:sz="0" w:space="0" w:color="auto"/>
        <w:right w:val="none" w:sz="0" w:space="0" w:color="auto"/>
      </w:divBdr>
    </w:div>
    <w:div w:id="207161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hart" Target="charts/chart4.xml"/><Relationship Id="rId39" Type="http://schemas.openxmlformats.org/officeDocument/2006/relationships/chart" Target="charts/chart10.xml"/><Relationship Id="rId21" Type="http://schemas.openxmlformats.org/officeDocument/2006/relationships/chart" Target="charts/chart2.xml"/><Relationship Id="rId34" Type="http://schemas.openxmlformats.org/officeDocument/2006/relationships/image" Target="media/image10.png"/><Relationship Id="rId42" Type="http://schemas.openxmlformats.org/officeDocument/2006/relationships/chart" Target="charts/chart11.xml"/><Relationship Id="rId47" Type="http://schemas.openxmlformats.org/officeDocument/2006/relationships/image" Target="media/image15.png"/><Relationship Id="rId50" Type="http://schemas.openxmlformats.org/officeDocument/2006/relationships/hyperlink" Target="https://www.imd.org/centers/world-competitiveness-center/rankings/world-digital-competitiveness/"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svg"/><Relationship Id="rId37" Type="http://schemas.openxmlformats.org/officeDocument/2006/relationships/image" Target="media/image12.png"/><Relationship Id="rId40" Type="http://schemas.openxmlformats.org/officeDocument/2006/relationships/hyperlink" Target="https://report.nih.gov/award/index.cfm" TargetMode="External"/><Relationship Id="rId45" Type="http://schemas.openxmlformats.org/officeDocument/2006/relationships/image" Target="media/image14.png"/><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ec.europa.eu/eurostat/databrowser/view/NAMA_10_GDP/default/table?lang=en"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9.xml"/><Relationship Id="rId43" Type="http://schemas.openxmlformats.org/officeDocument/2006/relationships/hyperlink" Target="https://ec.europa.eu/info/funding-tenders/opportunities/portal/screen/opportunities/horizon-dashboard" TargetMode="External"/><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3.svg"/><Relationship Id="rId46" Type="http://schemas.openxmlformats.org/officeDocument/2006/relationships/hyperlink" Target="https://www.fiercepharma.com/special-reports/top-20-pharma-companies-2021-revenue" TargetMode="External"/><Relationship Id="rId20" Type="http://schemas.openxmlformats.org/officeDocument/2006/relationships/chart" Target="charts/chart1.xml"/><Relationship Id="rId41" Type="http://schemas.openxmlformats.org/officeDocument/2006/relationships/hyperlink" Target="https://data.ers.usda.gov/reports.aspx?ID=1782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ClinicalTrials.gov" TargetMode="External"/><Relationship Id="rId28" Type="http://schemas.openxmlformats.org/officeDocument/2006/relationships/chart" Target="charts/chart6.xml"/><Relationship Id="rId36" Type="http://schemas.openxmlformats.org/officeDocument/2006/relationships/image" Target="media/image11.png"/><Relationship Id="rId49" Type="http://schemas.openxmlformats.org/officeDocument/2006/relationships/image" Target="media/image17.sv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17" Type="http://schemas.openxmlformats.org/officeDocument/2006/relationships/hyperlink" Target="https://www.mckinsey.com/industries/life-sciences/our-insights/a-call-to-action-opportunities-and-challenges-for-cgts-in-europe" TargetMode="External"/><Relationship Id="rId21" Type="http://schemas.openxmlformats.org/officeDocument/2006/relationships/hyperlink" Target="https://www.iqvia.com/insights/the-iqvia-institute/reports/emerging-biopharma-contribution-to-innovation" TargetMode="External"/><Relationship Id="rId42" Type="http://schemas.openxmlformats.org/officeDocument/2006/relationships/hyperlink" Target="https://www.pharmaceutical-technology.com/analysis/fdi-pharmaceuticals-state-of-play-investment/" TargetMode="External"/><Relationship Id="rId63" Type="http://schemas.openxmlformats.org/officeDocument/2006/relationships/hyperlink" Target="https://www.cancernetwork.com/view/fda-s-odac-cites-need-for-additional-research-for-sintilimab-combo-for-frontline-nsclc" TargetMode="External"/><Relationship Id="rId84" Type="http://schemas.openxmlformats.org/officeDocument/2006/relationships/hyperlink" Target="https://efcg.cefic.org/wp-content/uploads/2021/06/20201211_IQVIA-for-EFCG_Executive-summary.pdf" TargetMode="External"/><Relationship Id="rId138" Type="http://schemas.openxmlformats.org/officeDocument/2006/relationships/hyperlink" Target="https://data.europa.eu/doi/10.2760/559391" TargetMode="External"/><Relationship Id="rId159" Type="http://schemas.openxmlformats.org/officeDocument/2006/relationships/hyperlink" Target="https://bioprocessintl.com/sponsored-content/reducing-cell-and-gene-therapy-development-time-and-cost-with-new-purification-strategies/" TargetMode="External"/><Relationship Id="rId170" Type="http://schemas.openxmlformats.org/officeDocument/2006/relationships/hyperlink" Target="https://health.ec.europa.eu/system/files/2021-02/pharma-strategy_report_en_0.pdf" TargetMode="External"/><Relationship Id="rId191" Type="http://schemas.openxmlformats.org/officeDocument/2006/relationships/hyperlink" Target="https://www.gesundheitsindustrie-bw.de/en/article/news/industry-40-pfizer-opens-continuous-manufacturing-plant-in-freiburg" TargetMode="External"/><Relationship Id="rId107" Type="http://schemas.openxmlformats.org/officeDocument/2006/relationships/hyperlink" Target="https://trade.djaghe.com/?p=6547" TargetMode="External"/><Relationship Id="rId11" Type="http://schemas.openxmlformats.org/officeDocument/2006/relationships/hyperlink" Target="https://www.janssen.com/emea/sites/www_janssen_com_emea/files/life_science_attractiveness_july.pdf" TargetMode="External"/><Relationship Id="rId32" Type="http://schemas.openxmlformats.org/officeDocument/2006/relationships/hyperlink" Target="https://www.ema.europa.eu/en/glossary/innovative-medicine" TargetMode="External"/><Relationship Id="rId53" Type="http://schemas.openxmlformats.org/officeDocument/2006/relationships/hyperlink" Target="https://focus.cbbc.org/astrazeneca-makes-shanghai-a-global-rd-centre/" TargetMode="External"/><Relationship Id="rId74" Type="http://schemas.openxmlformats.org/officeDocument/2006/relationships/hyperlink" Target="https://www.clinicaltrialsarena.com/comment/gene-therapy-research/" TargetMode="External"/><Relationship Id="rId128" Type="http://schemas.openxmlformats.org/officeDocument/2006/relationships/hyperlink" Target="https://www.fiercebiotech.com/special-reports/top-biotech-hubs" TargetMode="External"/><Relationship Id="rId149" Type="http://schemas.openxmlformats.org/officeDocument/2006/relationships/hyperlink" Target="https://www.iqvia.com/insights/the-iqvia-institute/reports/global-trends-in-r-and-d-2022" TargetMode="External"/><Relationship Id="rId5" Type="http://schemas.openxmlformats.org/officeDocument/2006/relationships/hyperlink" Target="https://health.ec.europa.eu/system/files/2021-02/pharma-strategy_report_en_0.pdf" TargetMode="External"/><Relationship Id="rId95" Type="http://schemas.openxmlformats.org/officeDocument/2006/relationships/hyperlink" Target="https://www.etsg.org/ETSG2008/Papers/Ruane.pdf" TargetMode="External"/><Relationship Id="rId160" Type="http://schemas.openxmlformats.org/officeDocument/2006/relationships/hyperlink" Target="https://www.ema.europa.eu/en/human-regulatory/research-development/adaptive-pathways" TargetMode="External"/><Relationship Id="rId181" Type="http://schemas.openxmlformats.org/officeDocument/2006/relationships/hyperlink" Target="https://impactcee.com/2018/05/09/roche-sees-the-potential-in-it/" TargetMode="External"/><Relationship Id="rId22" Type="http://schemas.openxmlformats.org/officeDocument/2006/relationships/hyperlink" Target="https://www.mckinsey.com/industries/life-sciences/our-insights/the-dawn-of-china-biopharma-innovation" TargetMode="External"/><Relationship Id="rId43" Type="http://schemas.openxmlformats.org/officeDocument/2006/relationships/hyperlink" Target="https://www.etsg.org/ETSG2008/Papers/Ruane.pdf" TargetMode="External"/><Relationship Id="rId64" Type="http://schemas.openxmlformats.org/officeDocument/2006/relationships/hyperlink" Target="https://www.ema.europa.eu/en/documents/scientific-guideline/ich-e-5-r1-ethnic-factors-acceptability-foreign-clinical-data-step-5_en.pdf" TargetMode="External"/><Relationship Id="rId118" Type="http://schemas.openxmlformats.org/officeDocument/2006/relationships/hyperlink" Target="https://www.choosenj.com/news/njit-to-start-programs-in-cell-and-gene-therapy/" TargetMode="External"/><Relationship Id="rId139" Type="http://schemas.openxmlformats.org/officeDocument/2006/relationships/hyperlink" Target="https://doi.org/10.1007/978-3-319-92282-9_9" TargetMode="External"/><Relationship Id="rId85" Type="http://schemas.openxmlformats.org/officeDocument/2006/relationships/hyperlink" Target="https://efcg.cefic.org/wp-content/uploads/2021/06/20201211_IQVIA-for-EFCG_Executive-summary.pdf" TargetMode="External"/><Relationship Id="rId150" Type="http://schemas.openxmlformats.org/officeDocument/2006/relationships/hyperlink" Target="https://www.mckinsey.com/industries/life-sciences/our-insights/a-call-to-action-opportunities-and-challenges-for-cgts-in-Europe" TargetMode="External"/><Relationship Id="rId171" Type="http://schemas.openxmlformats.org/officeDocument/2006/relationships/hyperlink" Target="https://www.iqvia.com/insights/the-iqvia-institute/reports/global-trends-in-r-and-d-2022" TargetMode="External"/><Relationship Id="rId192" Type="http://schemas.openxmlformats.org/officeDocument/2006/relationships/hyperlink" Target="https://www.irishtimes.com/business/health-pharma/wuxi-biologics-ireland-in-679-6m-gain-after-restructuring-1.4699274" TargetMode="External"/><Relationship Id="rId12" Type="http://schemas.openxmlformats.org/officeDocument/2006/relationships/hyperlink" Target="https://iri.jrc.ec.europa.eu/scoreboard/2021-eu-industrial-rd-investment-scoreboard" TargetMode="External"/><Relationship Id="rId33" Type="http://schemas.openxmlformats.org/officeDocument/2006/relationships/hyperlink" Target="https://www.ema.europa.eu/en/glossary/investigational-medicinal-product" TargetMode="External"/><Relationship Id="rId108" Type="http://schemas.openxmlformats.org/officeDocument/2006/relationships/hyperlink" Target="https://www.europarl.europa.eu/RegData/etudes/STUD/2021/653626/EXPO_STU(2021)653626_EN.pdf" TargetMode="External"/><Relationship Id="rId129" Type="http://schemas.openxmlformats.org/officeDocument/2006/relationships/hyperlink" Target="https://lifescivc.com/2017/03/inescapable-gravity-biotechs-key-clusters-great-consolidation-talent-capital-returns/" TargetMode="External"/><Relationship Id="rId54" Type="http://schemas.openxmlformats.org/officeDocument/2006/relationships/hyperlink" Target="https://www.amgen.com.cn/en/media/amgen_asia_reserach_development_center.html" TargetMode="External"/><Relationship Id="rId75" Type="http://schemas.openxmlformats.org/officeDocument/2006/relationships/hyperlink" Target="https://www.mckinsey.com/industries/life-sciences/our-insights/a-call-to-action-opportunities-and-challenges-for-cgts-in-europe" TargetMode="External"/><Relationship Id="rId96" Type="http://schemas.openxmlformats.org/officeDocument/2006/relationships/hyperlink" Target="https://www.etsg.org/ETSG2008/Papers/Ruane.pdf" TargetMode="External"/><Relationship Id="rId140" Type="http://schemas.openxmlformats.org/officeDocument/2006/relationships/hyperlink" Target="https://www.roche.ch/dam/jcr:82edb623-2dcc-4fe9-b406-b140cf3ef99f/en/roche-in-switzerland-2021.pdf" TargetMode="External"/><Relationship Id="rId161" Type="http://schemas.openxmlformats.org/officeDocument/2006/relationships/hyperlink" Target="https://www.fda.gov/regulatory-information/search-fda-guidance-documents/long-term-follow-after-administration-human-gene-therapy-products" TargetMode="External"/><Relationship Id="rId182" Type="http://schemas.openxmlformats.org/officeDocument/2006/relationships/hyperlink" Target="https://www.fiercepharma.com/manufacturing/merck-kgaa-antes-up-eu250m-to-bridge-r-d-manufacturing" TargetMode="External"/><Relationship Id="rId6" Type="http://schemas.openxmlformats.org/officeDocument/2006/relationships/hyperlink" Target="https://media.crai.com/sites/default/files/publications/innovation-in-the-pharmaceutical-sector.pdf" TargetMode="External"/><Relationship Id="rId23" Type="http://schemas.openxmlformats.org/officeDocument/2006/relationships/hyperlink" Target="https://www.nature.com/nature-index/annual-tables/2022/institution/all/all/global" TargetMode="External"/><Relationship Id="rId119" Type="http://schemas.openxmlformats.org/officeDocument/2006/relationships/hyperlink" Target="https://www.nibrt.ie/" TargetMode="External"/><Relationship Id="rId44" Type="http://schemas.openxmlformats.org/officeDocument/2006/relationships/hyperlink" Target="https://www.msd.com/stories/our-new-london-discovery-research-center-site/" TargetMode="External"/><Relationship Id="rId65" Type="http://schemas.openxmlformats.org/officeDocument/2006/relationships/hyperlink" Target="https://www.fda.gov/files/about%20fda/published/FDA-Acceptance-of-Foreign-Clinical-Studies-Not-Conducted-Under-an-IND--Frequently-Asked-Questions.pdf" TargetMode="External"/><Relationship Id="rId86" Type="http://schemas.openxmlformats.org/officeDocument/2006/relationships/hyperlink" Target="https://www.pwc.de/de/gesundheitswesen-und-pharma/studie-pharma-cdmo-market.pdf" TargetMode="External"/><Relationship Id="rId130" Type="http://schemas.openxmlformats.org/officeDocument/2006/relationships/hyperlink" Target="https://cognite.co/where-is-the-most-innovative-square-mile-on-the-planet/" TargetMode="External"/><Relationship Id="rId151" Type="http://schemas.openxmlformats.org/officeDocument/2006/relationships/hyperlink" Target="https://www.areadevelopment.com/Biotech/Q4-2021/location-factors-for-cell-and-gene-therapy-companies.shtml" TargetMode="External"/><Relationship Id="rId172" Type="http://schemas.openxmlformats.org/officeDocument/2006/relationships/hyperlink" Target="https://www.apmhealtheurope.com/story.php?objet=80563" TargetMode="External"/><Relationship Id="rId193" Type="http://schemas.openxmlformats.org/officeDocument/2006/relationships/hyperlink" Target="https://www.takeda.com/newsroom/featured-topics/takeda-breaks-ground-on-commercial-cell-therapy-manufacturing-facility-in-lexington-massachusetts/" TargetMode="External"/><Relationship Id="rId13" Type="http://schemas.openxmlformats.org/officeDocument/2006/relationships/hyperlink" Target="https://iri.jrc.ec.europa.eu/scoreboard/2021-eu-industrial-rd-investment-scoreboard" TargetMode="External"/><Relationship Id="rId109" Type="http://schemas.openxmlformats.org/officeDocument/2006/relationships/hyperlink" Target="https://www.pharmaceutical-technology.com/analysis/continuous-manufacturing-builds-on-hype-but-adoption-remains-gradual/" TargetMode="External"/><Relationship Id="rId34" Type="http://schemas.openxmlformats.org/officeDocument/2006/relationships/hyperlink" Target="http://eudragmdp.ema.europa.eu/help_public/content/v3_0_user_manual/glossary.htm" TargetMode="External"/><Relationship Id="rId50" Type="http://schemas.openxmlformats.org/officeDocument/2006/relationships/hyperlink" Target="https://www.merck.com/news/merck-establishes-new-msd-rd-asia-headquarters/" TargetMode="External"/><Relationship Id="rId55" Type="http://schemas.openxmlformats.org/officeDocument/2006/relationships/hyperlink" Target="https://www.fiercebiotech.com/biotech/lilly-to-shutter-u-s-china-r-d-centers" TargetMode="External"/><Relationship Id="rId76" Type="http://schemas.openxmlformats.org/officeDocument/2006/relationships/hyperlink" Target="https://www.raconteur.net/healthcare/covid-rare-disease-impact/" TargetMode="External"/><Relationship Id="rId97" Type="http://schemas.openxmlformats.org/officeDocument/2006/relationships/hyperlink" Target="https://www.irishtimes.com/business/health-pharma/wuxi-biologics-ireland-in-679-6m-gain-after-restructuring-1.4699274" TargetMode="External"/><Relationship Id="rId104" Type="http://schemas.openxmlformats.org/officeDocument/2006/relationships/hyperlink" Target="https://www.efpia.eu/media/554474/covid-19-and-international-trade.pdf" TargetMode="External"/><Relationship Id="rId120" Type="http://schemas.openxmlformats.org/officeDocument/2006/relationships/hyperlink" Target="https://www.areadevelopment.com/Biotech/Q4-2021/location-factors-for-cell-and-gene-therapy-companies.shtml" TargetMode="External"/><Relationship Id="rId125" Type="http://schemas.openxmlformats.org/officeDocument/2006/relationships/hyperlink" Target="https://iri.jrc.ec.europa.eu/sites/default/files/contentype//publication//reports//1568800267//R%26D%20and%20innovation%20activities%20in%20companies%20across%20Global%20Value%20Chains.pdf" TargetMode="External"/><Relationship Id="rId141" Type="http://schemas.openxmlformats.org/officeDocument/2006/relationships/hyperlink" Target="https://www.pharmaceutical-technology.com/projects/roches-basel-expansion-basel/" TargetMode="External"/><Relationship Id="rId146" Type="http://schemas.openxmlformats.org/officeDocument/2006/relationships/hyperlink" Target="https://health.ec.europa.eu/system/files/2021-02/pharma-strategy_report_en_0.pdf" TargetMode="External"/><Relationship Id="rId167" Type="http://schemas.openxmlformats.org/officeDocument/2006/relationships/hyperlink" Target="https://www.imd.org/news/updates/China-US-pursuing-markedly-different-but-equally-competitive-digital-transformations-WCC/" TargetMode="External"/><Relationship Id="rId188" Type="http://schemas.openxmlformats.org/officeDocument/2006/relationships/hyperlink" Target="https://www.menarini.com/en-us/news/news-detail/menarini-invests-150-million-euros-in-a-new-pharmaceutical-plant-in-italy" TargetMode="External"/><Relationship Id="rId7" Type="http://schemas.openxmlformats.org/officeDocument/2006/relationships/hyperlink" Target="https://www.kearney.com/documents/291362523/291366906/FDICI-2005.pdf/" TargetMode="External"/><Relationship Id="rId71" Type="http://schemas.openxmlformats.org/officeDocument/2006/relationships/hyperlink" Target="https://bmjopen.bmj.com/content/3/11/e002957" TargetMode="External"/><Relationship Id="rId92" Type="http://schemas.openxmlformats.org/officeDocument/2006/relationships/hyperlink" Target="https://www.hobsonprior.com/blog-post/2020-8/why-are-there-so-many-pharma-companies-in-switzerland" TargetMode="External"/><Relationship Id="rId162" Type="http://schemas.openxmlformats.org/officeDocument/2006/relationships/hyperlink" Target="https://www2.deloitte.com/content/dam/insights/us/articles/APAC_63550_Winning-in-the-cell-and-gene-therapies/DI_China_CGT_white_paper.pdf" TargetMode="External"/><Relationship Id="rId183" Type="http://schemas.openxmlformats.org/officeDocument/2006/relationships/hyperlink" Target="https://www.msd.com/stories/our-new-london-discovery-research-center-site/" TargetMode="External"/><Relationship Id="rId2" Type="http://schemas.openxmlformats.org/officeDocument/2006/relationships/hyperlink" Target="https://www.iqvia.com/insights/the-iqvia-institute/reports/emerging-biopharma-contribution-to-innovation" TargetMode="External"/><Relationship Id="rId29" Type="http://schemas.openxmlformats.org/officeDocument/2006/relationships/hyperlink" Target="https://asgct.org/global/documents/asgct-pharma-intelligence-quarterly-report-july-20.aspx" TargetMode="External"/><Relationship Id="rId24" Type="http://schemas.openxmlformats.org/officeDocument/2006/relationships/hyperlink" Target="https://www.pharmaceutical-technology.com/analysis/pharma-ai-investment/" TargetMode="External"/><Relationship Id="rId40" Type="http://schemas.openxmlformats.org/officeDocument/2006/relationships/hyperlink" Target="https://www3.weforum.org/docs/WEF_TheGlobalCompetitivenessReport2019.pdf" TargetMode="External"/><Relationship Id="rId45" Type="http://schemas.openxmlformats.org/officeDocument/2006/relationships/hyperlink" Target="https://assets.publishing.service.gov.uk/government/uploads/system/uploads/attachment_data/file/1013597/life-sciences-vision-2021.pdf" TargetMode="External"/><Relationship Id="rId66" Type="http://schemas.openxmlformats.org/officeDocument/2006/relationships/hyperlink" Target="https://www.iqvia.com/-/media/iqvia/pdfs/library/white-papers/global-approaches-to-drug-development.pdf" TargetMode="External"/><Relationship Id="rId87" Type="http://schemas.openxmlformats.org/officeDocument/2006/relationships/hyperlink" Target="https://www.pfizercentreone.com/manufacturing-network" TargetMode="External"/><Relationship Id="rId110" Type="http://schemas.openxmlformats.org/officeDocument/2006/relationships/hyperlink" Target="https://www.fda.gov/drugs/news-events-human-drugs/modernizing-way-drugs-are-made-transition-continuous-manufacturing" TargetMode="External"/><Relationship Id="rId115" Type="http://schemas.openxmlformats.org/officeDocument/2006/relationships/hyperlink" Target="https://www.areadevelopment.com/Biotech/Q4-2021/location-factors-for-cell-and-gene-therapy-companies.shtml" TargetMode="External"/><Relationship Id="rId131" Type="http://schemas.openxmlformats.org/officeDocument/2006/relationships/hyperlink" Target="https://www.pmlive.com/pharma_intelligence/Building_European_biotech_firms_to_rival_those_of_the_US_1301494" TargetMode="External"/><Relationship Id="rId136" Type="http://schemas.openxmlformats.org/officeDocument/2006/relationships/hyperlink" Target="https://www.mckinsey.com/industries/life-sciences/our-insights/infographic-biotech-hot-spots-in-a-fragmented-european-landscape" TargetMode="External"/><Relationship Id="rId157" Type="http://schemas.openxmlformats.org/officeDocument/2006/relationships/hyperlink" Target="https://www.thepharmaletter.com/article/ucb-expanding-gene-therapy-facilities-with-200-million-euro-investment" TargetMode="External"/><Relationship Id="rId178" Type="http://schemas.openxmlformats.org/officeDocument/2006/relationships/hyperlink" Target="https://health.ec.europa.eu/medicinal-products/legal-framework-governing-medicinal-products-human-use-eu_en" TargetMode="External"/><Relationship Id="rId61" Type="http://schemas.openxmlformats.org/officeDocument/2006/relationships/hyperlink" Target="https://www.ey.com/en_gl/life-sciences/how-china-is-making-progress-in-cell-and-gene-therapy" TargetMode="External"/><Relationship Id="rId82" Type="http://schemas.openxmlformats.org/officeDocument/2006/relationships/hyperlink" Target="https://www.pwc.de/de/gesundheitswesen-und-pharma/studie-pharma-cdmo-market.pdf" TargetMode="External"/><Relationship Id="rId152" Type="http://schemas.openxmlformats.org/officeDocument/2006/relationships/hyperlink" Target="https://news.harvard.edu/gazette/story/2021/01/center-for-cell-and-gene-therapy-to-open-next-year/" TargetMode="External"/><Relationship Id="rId173" Type="http://schemas.openxmlformats.org/officeDocument/2006/relationships/hyperlink" Target="https://www.apmhealtheurope.com/story.php?objet=80563" TargetMode="External"/><Relationship Id="rId194" Type="http://schemas.openxmlformats.org/officeDocument/2006/relationships/hyperlink" Target="https://investors.biogen.com/news-releases/news-release-details/biogen-announces-plans-build-new-state-art-gene-therapy" TargetMode="External"/><Relationship Id="rId19" Type="http://schemas.openxmlformats.org/officeDocument/2006/relationships/hyperlink" Target="https://www.mckinsey.com/industries/life-sciences/our-insights/can-european-biotechs-achieve-greater-scale-in-a-fragmented-landscape" TargetMode="External"/><Relationship Id="rId14" Type="http://schemas.openxmlformats.org/officeDocument/2006/relationships/hyperlink" Target="https://ec.europa.eu/health/medicinal-products/pharmaceutical-strategy-europe_en" TargetMode="External"/><Relationship Id="rId30" Type="http://schemas.openxmlformats.org/officeDocument/2006/relationships/hyperlink" Target="https://alliancerm.org/indication-data/clinical-trials-in-europe/" TargetMode="External"/><Relationship Id="rId35" Type="http://schemas.openxmlformats.org/officeDocument/2006/relationships/hyperlink" Target="https://ec.europa.eu/eurostat/statistics-explained/index.php?title=Glossary:Gross_investment_in_tangible_goods_-_SBS" TargetMode="External"/><Relationship Id="rId56" Type="http://schemas.openxmlformats.org/officeDocument/2006/relationships/hyperlink" Target="https://www.novonordisk.com/science-and-technology/research-and-technology-centres.html" TargetMode="External"/><Relationship Id="rId77" Type="http://schemas.openxmlformats.org/officeDocument/2006/relationships/hyperlink" Target="https://www.ey.com/en_my/life-sciences/how-china-is-making-progress-in-cell-and-gene-therapy" TargetMode="External"/><Relationship Id="rId100" Type="http://schemas.openxmlformats.org/officeDocument/2006/relationships/hyperlink" Target="https://trade.djaghe.com/?p=3911" TargetMode="External"/><Relationship Id="rId105" Type="http://schemas.openxmlformats.org/officeDocument/2006/relationships/hyperlink" Target="https://ec.europa.eu/commission/presscorner/detail/en/IP_22_4670" TargetMode="External"/><Relationship Id="rId126" Type="http://schemas.openxmlformats.org/officeDocument/2006/relationships/hyperlink" Target="https://www.efpia.eu/media/412941/efpia-economic-societal-footprint-industry-technical-report-250619.pdf" TargetMode="External"/><Relationship Id="rId147" Type="http://schemas.openxmlformats.org/officeDocument/2006/relationships/hyperlink" Target="https://mva.org/wp-content/uploads/2022/05/20220518_Life_science_easter_denmark.pdf" TargetMode="External"/><Relationship Id="rId168" Type="http://schemas.openxmlformats.org/officeDocument/2006/relationships/hyperlink" Target="https://www.modernatx.com/en-US/media-center/all-media/blogs/moderna-launches-ai-academy-all-employees" TargetMode="External"/><Relationship Id="rId8" Type="http://schemas.openxmlformats.org/officeDocument/2006/relationships/hyperlink" Target="https://www.kearney.com/documents/291362523/291366906/Cautious_Investors_Feed_a_Tentative_Recovery-FDICI+2012.pdf/" TargetMode="External"/><Relationship Id="rId51" Type="http://schemas.openxmlformats.org/officeDocument/2006/relationships/hyperlink" Target="https://www.yicaiglobal.com/news/sanofi-unveils-first-global-research-institute-in-china-to-develop-innovative-drugs" TargetMode="External"/><Relationship Id="rId72" Type="http://schemas.openxmlformats.org/officeDocument/2006/relationships/hyperlink" Target="https://trialsathome.com/" TargetMode="External"/><Relationship Id="rId93" Type="http://schemas.openxmlformats.org/officeDocument/2006/relationships/hyperlink" Target="https://www.hobsonprior.com/blog-post/2020-8/why-are-there-so-many-pharma-companies-in-switzerland" TargetMode="External"/><Relationship Id="rId98" Type="http://schemas.openxmlformats.org/officeDocument/2006/relationships/hyperlink" Target="https://www.wuxibiologics.com/locations-facilities/" TargetMode="External"/><Relationship Id="rId121" Type="http://schemas.openxmlformats.org/officeDocument/2006/relationships/hyperlink" Target="https://www.ucb.com/stories-media/Press-Releases/article/UCB-expands-innovation-footprint-with-new-state-of-the-art-gene-therapy-facility" TargetMode="External"/><Relationship Id="rId142" Type="http://schemas.openxmlformats.org/officeDocument/2006/relationships/hyperlink" Target="https://readyforbrexit.co.uk/the-list-of-companies-leaving-the-uk-because-of-brexit-grows/" TargetMode="External"/><Relationship Id="rId163" Type="http://schemas.openxmlformats.org/officeDocument/2006/relationships/hyperlink" Target="https://www.efpia.eu/media/637143/the-pharmaceutical-industry-in-figures-2022.pdf" TargetMode="External"/><Relationship Id="rId184" Type="http://schemas.openxmlformats.org/officeDocument/2006/relationships/hyperlink" Target="https://www.gov.uk/government/news/moderna-to-open-vaccine-research-and-manufacturing-centre-in-uk" TargetMode="External"/><Relationship Id="rId189" Type="http://schemas.openxmlformats.org/officeDocument/2006/relationships/hyperlink" Target="https://www.ucb.com/stories-media/Press-Releases/article/UCB-expands-innovation-footprint-with-new-state-of-the-art-gene-therapy-facility" TargetMode="External"/><Relationship Id="rId3" Type="http://schemas.openxmlformats.org/officeDocument/2006/relationships/hyperlink" Target="https://www.mckinsey.com/industries/life-sciences/our-insights/a-call-to-action-opportunities-and-challenges-for-cgts-in-Europe" TargetMode="External"/><Relationship Id="rId25" Type="http://schemas.openxmlformats.org/officeDocument/2006/relationships/hyperlink" Target="https://euobserver.com/digital/154861" TargetMode="External"/><Relationship Id="rId46" Type="http://schemas.openxmlformats.org/officeDocument/2006/relationships/hyperlink" Target="https://www.roche.com/innovation/structure/rnd-locations/pharma-shanghai" TargetMode="External"/><Relationship Id="rId67" Type="http://schemas.openxmlformats.org/officeDocument/2006/relationships/hyperlink" Target="https://www.clinicalleader.com/doc/meeting-clinical-trial-data-requirements-in-asian-markets-0001" TargetMode="External"/><Relationship Id="rId116" Type="http://schemas.openxmlformats.org/officeDocument/2006/relationships/hyperlink" Target="https://www.mckinsey.com/industries/life-sciences/our-insights/covid-19-and-cell-and-gene-therapy-how-to-keep-innovation-on-track" TargetMode="External"/><Relationship Id="rId137" Type="http://schemas.openxmlformats.org/officeDocument/2006/relationships/hyperlink" Target="https://www.iqvia.com/insights/the-iqvia-institute/reports/emerging-biopharma-contribution-to-innovation" TargetMode="External"/><Relationship Id="rId158" Type="http://schemas.openxmlformats.org/officeDocument/2006/relationships/hyperlink" Target="https://health.ec.europa.eu/system/files/2021-02/pharma-strategy_report_en_0.pdf" TargetMode="External"/><Relationship Id="rId20" Type="http://schemas.openxmlformats.org/officeDocument/2006/relationships/hyperlink" Target="https://www.mckinsey.com/industries/life-sciences/our-insights/infographic-capital-landscape-for-european-biotechs-is-maturing-but-it-continues-to-trail-the-united-states" TargetMode="External"/><Relationship Id="rId41" Type="http://schemas.openxmlformats.org/officeDocument/2006/relationships/hyperlink" Target="https://www.pharmaceutical-technology.com/analysis/fdi-pharmaceuticals-state-of-play-investment/" TargetMode="External"/><Relationship Id="rId62" Type="http://schemas.openxmlformats.org/officeDocument/2006/relationships/hyperlink" Target="https://www.apmhealtheurope.com/story.php?objet=79823" TargetMode="External"/><Relationship Id="rId83" Type="http://schemas.openxmlformats.org/officeDocument/2006/relationships/hyperlink" Target="https://www.grandviewresearch.com/industry-analysis/pharmaceutical-contract-manufacturing-market" TargetMode="External"/><Relationship Id="rId88" Type="http://schemas.openxmlformats.org/officeDocument/2006/relationships/hyperlink" Target="https://www.reliableplant.com/Read/24643/Pfizer-reconfigure-plant-network" TargetMode="External"/><Relationship Id="rId111" Type="http://schemas.openxmlformats.org/officeDocument/2006/relationships/hyperlink" Target="https://www3.weforum.org/docs/WEF_Top_10_Emerging_Technologies_of_2021.pdf" TargetMode="External"/><Relationship Id="rId132" Type="http://schemas.openxmlformats.org/officeDocument/2006/relationships/hyperlink" Target="https://www.researchprofessionalnews.com/rr-news-europe-views-of-europe-2021-3-take-this-chance-to-reboot-europe-s-r-d-spending/" TargetMode="External"/><Relationship Id="rId153" Type="http://schemas.openxmlformats.org/officeDocument/2006/relationships/hyperlink" Target="https://investors.vrtx.com/news-releases/news-release-details/vertex-announces-further-expansion-boston-seaport-dedication" TargetMode="External"/><Relationship Id="rId174" Type="http://schemas.openxmlformats.org/officeDocument/2006/relationships/hyperlink" Target="https://www.accesstomedicineindex.org/amr-benchmark/research-areas/responsible-manufacturing" TargetMode="External"/><Relationship Id="rId179" Type="http://schemas.openxmlformats.org/officeDocument/2006/relationships/hyperlink" Target="https://www.kearney.com/foreign-direct-investment-confidence-index" TargetMode="External"/><Relationship Id="rId195" Type="http://schemas.openxmlformats.org/officeDocument/2006/relationships/hyperlink" Target="https://ir.ptcbio.com/news-releases/news-release-details/ptc-therapeutics-receives-positive-chmp-opinion-upstazatm" TargetMode="External"/><Relationship Id="rId190" Type="http://schemas.openxmlformats.org/officeDocument/2006/relationships/hyperlink" Target="https://www.bayer.com/media/bayers-bluerock-therapeutics-establishes-european-site-for-cell-therapy-innovation/" TargetMode="External"/><Relationship Id="rId15" Type="http://schemas.openxmlformats.org/officeDocument/2006/relationships/hyperlink" Target="https://www.evaluate.com/thought-leadership/pharma/evaluate-pharma-world-preview-2021-outlook-2026" TargetMode="External"/><Relationship Id="rId36" Type="http://schemas.openxmlformats.org/officeDocument/2006/relationships/hyperlink" Target="https://apps.bea.gov/iTable/index_FA.cfm" TargetMode="External"/><Relationship Id="rId57" Type="http://schemas.openxmlformats.org/officeDocument/2006/relationships/hyperlink" Target="https://cset.georgetown.edu/publication/china-is-fast-outpacing-u-s-stem-phd-growth/" TargetMode="External"/><Relationship Id="rId106" Type="http://schemas.openxmlformats.org/officeDocument/2006/relationships/hyperlink" Target="https://www.natlawreview.com/article/buy-american-update-essential-medicines-may-continue-to-come-abroad-now" TargetMode="External"/><Relationship Id="rId127" Type="http://schemas.openxmlformats.org/officeDocument/2006/relationships/hyperlink" Target="https://lifescivc.com/2017/03/inescapable-gravity-biotechs-key-clusters-great-consolidation-talent-capital-returns/" TargetMode="External"/><Relationship Id="rId10" Type="http://schemas.openxmlformats.org/officeDocument/2006/relationships/hyperlink" Target="https://www.kearney.com/foreign-direct-investment-confidence-index/2016-full-report" TargetMode="External"/><Relationship Id="rId31" Type="http://schemas.openxmlformats.org/officeDocument/2006/relationships/hyperlink" Target="https://www.mckinsey.com/industries/life-sciences/our-insights/a-call-to-action-opportunities-and-challenges-for-cgts-in-Europe" TargetMode="External"/><Relationship Id="rId52" Type="http://schemas.openxmlformats.org/officeDocument/2006/relationships/hyperlink" Target="http://www.chinadaily.com.cn/bizchina/2007-07/03/content_908686.htm" TargetMode="External"/><Relationship Id="rId73" Type="http://schemas.openxmlformats.org/officeDocument/2006/relationships/hyperlink" Target="https://healthcare-in-europe.com/en/news/the-usa-s-digital-healthcare-revolution.html" TargetMode="External"/><Relationship Id="rId78" Type="http://schemas.openxmlformats.org/officeDocument/2006/relationships/hyperlink" Target="https://ct.catapult.org.uk/clinical-trials-database" TargetMode="External"/><Relationship Id="rId94" Type="http://schemas.openxmlformats.org/officeDocument/2006/relationships/hyperlink" Target="https://www.esri.ie/publications/enhancing-the-attractiveness-of-the-island-of-ireland-to-high-value-foreign-direct" TargetMode="External"/><Relationship Id="rId99" Type="http://schemas.openxmlformats.org/officeDocument/2006/relationships/hyperlink" Target="https://www.etsg.org/ETSG2008/Papers/Ruane.pdf" TargetMode="External"/><Relationship Id="rId101" Type="http://schemas.openxmlformats.org/officeDocument/2006/relationships/hyperlink" Target="https://isdp.eu/content/uploads/2018/06/Made-in-China-Backgrounder.pdf" TargetMode="External"/><Relationship Id="rId122" Type="http://schemas.openxmlformats.org/officeDocument/2006/relationships/hyperlink" Target="https://investor.lilly.com/news-releases/news-release-details/lilly-announces-institute-genetic-medicine-and-700-million" TargetMode="External"/><Relationship Id="rId143" Type="http://schemas.openxmlformats.org/officeDocument/2006/relationships/hyperlink" Target="https://doi.org/10.1007/978-3-319-92282-9_9" TargetMode="External"/><Relationship Id="rId148" Type="http://schemas.openxmlformats.org/officeDocument/2006/relationships/hyperlink" Target="https://usa.um.dk/en/about-us/danish-missions/innovation-centre-denmark-boston" TargetMode="External"/><Relationship Id="rId164" Type="http://schemas.openxmlformats.org/officeDocument/2006/relationships/hyperlink" Target="https://health.ec.europa.eu/system/files/2021-02/pharma-strategy_report_en_0.pdf" TargetMode="External"/><Relationship Id="rId169" Type="http://schemas.openxmlformats.org/officeDocument/2006/relationships/hyperlink" Target="https://healthcare-in-europe.com/en/news/the-usa-s-digital-healthcare-revolution.html" TargetMode="External"/><Relationship Id="rId185" Type="http://schemas.openxmlformats.org/officeDocument/2006/relationships/hyperlink" Target="https://investor.lilly.com/news-releases/news-release-details/lilly-announces-institute-genetic-medicine-and-700-million" TargetMode="External"/><Relationship Id="rId4" Type="http://schemas.openxmlformats.org/officeDocument/2006/relationships/hyperlink" Target="https://www.imd.org/centers/world-competitiveness-center/rankings/world-digital-competitiveness/" TargetMode="External"/><Relationship Id="rId9" Type="http://schemas.openxmlformats.org/officeDocument/2006/relationships/hyperlink" Target="https://www.kearney.com/foreign-direct-investment-confidence-index/2022-full-report" TargetMode="External"/><Relationship Id="rId180" Type="http://schemas.openxmlformats.org/officeDocument/2006/relationships/hyperlink" Target="https://www.biopharmadive.com/news/roche-to-spend-32b-on-massive-rd-cluster-in-basel/326244/" TargetMode="External"/><Relationship Id="rId26" Type="http://schemas.openxmlformats.org/officeDocument/2006/relationships/hyperlink" Target="https://www.clinicaltrials.gov/ct2/manage-recs/fdaaa" TargetMode="External"/><Relationship Id="rId47" Type="http://schemas.openxmlformats.org/officeDocument/2006/relationships/hyperlink" Target="http://www.china.org.cn/english/scitech/147304.htm" TargetMode="External"/><Relationship Id="rId68" Type="http://schemas.openxmlformats.org/officeDocument/2006/relationships/hyperlink" Target="https://www.morganlewis.com/pubs/2018/08/china-national-drug-administration-sets-guidelines-for-overseas-drug-trial-data" TargetMode="External"/><Relationship Id="rId89" Type="http://schemas.openxmlformats.org/officeDocument/2006/relationships/hyperlink" Target="https://unctad.org/system/files/official-document/diaepcb2011d5_en.pdf" TargetMode="External"/><Relationship Id="rId112" Type="http://schemas.openxmlformats.org/officeDocument/2006/relationships/hyperlink" Target="https://www.gesundheitsindustrie-bw.de/en/article/news/industry-40-pfizer-opens-continuous-manufacturing-plant-in-freiburg" TargetMode="External"/><Relationship Id="rId133" Type="http://schemas.openxmlformats.org/officeDocument/2006/relationships/hyperlink" Target="https://blogs.lse.ac.uk/businessreview/2018/05/05/when-multinationals-offshore-production-where-do-they-locate-innovation/" TargetMode="External"/><Relationship Id="rId154" Type="http://schemas.openxmlformats.org/officeDocument/2006/relationships/hyperlink" Target="https://www.ncbiotech.org/transforming-life-sciences/sectors-attention/gene-and-cell-therapy" TargetMode="External"/><Relationship Id="rId175" Type="http://schemas.openxmlformats.org/officeDocument/2006/relationships/hyperlink" Target="https://www.bloomberg.com/news/articles/2022-04-29/biden-team-splits-on-new-rules-for-u-s-investments-in-china" TargetMode="External"/><Relationship Id="rId16" Type="http://schemas.openxmlformats.org/officeDocument/2006/relationships/hyperlink" Target="https://www.iqvia.com/insights/the-iqvia-institute/reports/global-trends-in-r-and-d-2022" TargetMode="External"/><Relationship Id="rId37" Type="http://schemas.openxmlformats.org/officeDocument/2006/relationships/hyperlink" Target="https://apps.bea.gov/national/FA2004/Details/Index.htm" TargetMode="External"/><Relationship Id="rId58" Type="http://schemas.openxmlformats.org/officeDocument/2006/relationships/hyperlink" Target="https://www.nature.com/nature-index/annual-tables/2022/institution/all/all/global" TargetMode="External"/><Relationship Id="rId79" Type="http://schemas.openxmlformats.org/officeDocument/2006/relationships/hyperlink" Target="https://www.technologyreview.com/2016/05/04/245988/the-worlds-most-expensive-medicine-is-a-bust/" TargetMode="External"/><Relationship Id="rId102" Type="http://schemas.openxmlformats.org/officeDocument/2006/relationships/hyperlink" Target="https://www.pugatch-consilium.com/reports/Localization%20Paper_US_FINAL.pdf" TargetMode="External"/><Relationship Id="rId123" Type="http://schemas.openxmlformats.org/officeDocument/2006/relationships/hyperlink" Target="https://investor.lilly.com/news-releases/news-release-details/lilly-plans-invest-21-billion-new-manufacturing-sites-indiana" TargetMode="External"/><Relationship Id="rId144" Type="http://schemas.openxmlformats.org/officeDocument/2006/relationships/hyperlink" Target="https://www.fiercebiotech.com/biotech/amgen-moves-r-d-jobs-from-hq-to-cambridge-and-san-francisco-as-rolling-reorganization" TargetMode="External"/><Relationship Id="rId90" Type="http://schemas.openxmlformats.org/officeDocument/2006/relationships/hyperlink" Target="https://www.fiercepharma.com/manufacturing/merck-kgaa-antes-up-eu250m-to-bridge-r-d-manufacturing" TargetMode="External"/><Relationship Id="rId165" Type="http://schemas.openxmlformats.org/officeDocument/2006/relationships/hyperlink" Target="https://ec.europa.eu/info/law/better-regulation/have-your-say/initiatives/12963-Revision-of-the-EU-general-pharmaceuticals-legislation_en" TargetMode="External"/><Relationship Id="rId186" Type="http://schemas.openxmlformats.org/officeDocument/2006/relationships/hyperlink" Target="https://investor.lilly.com/news-releases/news-release-details/lilly-announces-institute-genetic-medicine-and-700-million" TargetMode="External"/><Relationship Id="rId27" Type="http://schemas.openxmlformats.org/officeDocument/2006/relationships/hyperlink" Target="https://www.iqvia.com/insights/the-iqvia-institute/reports/global-trends-in-r-and-d-2022" TargetMode="External"/><Relationship Id="rId48" Type="http://schemas.openxmlformats.org/officeDocument/2006/relationships/hyperlink" Target="https://www.thepharmaletter.com/article/novartis-to-open-new-r-d-faciltiy-in-china-with-100-million-investment" TargetMode="External"/><Relationship Id="rId69" Type="http://schemas.openxmlformats.org/officeDocument/2006/relationships/hyperlink" Target="https://www.iqvia.com/-/media/iqvia/pdfs/library/white-papers/iqvia-attracting-investment-in-clinical-development.pdf" TargetMode="External"/><Relationship Id="rId113" Type="http://schemas.openxmlformats.org/officeDocument/2006/relationships/hyperlink" Target="https://www2.deloitte.com/us/en/insights/industry/life-sciences/operating-models-for-gene-cell-therapy-manufacturing-process.html" TargetMode="External"/><Relationship Id="rId134" Type="http://schemas.openxmlformats.org/officeDocument/2006/relationships/hyperlink" Target="https://health.ec.europa.eu/system/files/2021-02/pharma-strategy_report_en_0.pdf" TargetMode="External"/><Relationship Id="rId80" Type="http://schemas.openxmlformats.org/officeDocument/2006/relationships/hyperlink" Target="https://www.labiotech.eu/trends-news/uniqure-glybera-marketing-withdrawn/" TargetMode="External"/><Relationship Id="rId155" Type="http://schemas.openxmlformats.org/officeDocument/2006/relationships/hyperlink" Target="https://www.hertfordshirelep.com/media/e3dhe4jc/hertfordshire-s-cell-and-gene-therapy-cluster-july-2021.pdf" TargetMode="External"/><Relationship Id="rId176" Type="http://schemas.openxmlformats.org/officeDocument/2006/relationships/hyperlink" Target="https://resultsig.com/the-growing-impact-of-environmental-social-and-governance-esg-on-pharmaceutical-supply-chains/" TargetMode="External"/><Relationship Id="rId17" Type="http://schemas.openxmlformats.org/officeDocument/2006/relationships/hyperlink" Target="https://www.europarl.europa.eu/thinktank/en/document/EPRS_STU(2021)697197" TargetMode="External"/><Relationship Id="rId38" Type="http://schemas.openxmlformats.org/officeDocument/2006/relationships/hyperlink" Target="https://www.fda.gov/news-events/congressional-testimony/safeguarding-pharmaceutical-supply-chains-global-economy-10302019" TargetMode="External"/><Relationship Id="rId59" Type="http://schemas.openxmlformats.org/officeDocument/2006/relationships/hyperlink" Target="https://www.fiercebiotech.com/biotech/top-10-global-rd-institutes-2021" TargetMode="External"/><Relationship Id="rId103" Type="http://schemas.openxmlformats.org/officeDocument/2006/relationships/hyperlink" Target="https://itif.org/publications/2019/08/12/chinas-biopharmaceutical-strategy-challenge-or-complement-us-industry" TargetMode="External"/><Relationship Id="rId124" Type="http://schemas.openxmlformats.org/officeDocument/2006/relationships/hyperlink" Target="https://www.sanofi.com/en/media-room/press-releases/2021/2021-06-29-08-00-40-2254458" TargetMode="External"/><Relationship Id="rId70" Type="http://schemas.openxmlformats.org/officeDocument/2006/relationships/hyperlink" Target="https://www.clinicaltrialsarena.com/clinical-trials-analysis/europe-accounts-for-19-3-share-of-global-clinical-trial-activity-in-2020/" TargetMode="External"/><Relationship Id="rId91" Type="http://schemas.openxmlformats.org/officeDocument/2006/relationships/hyperlink" Target="https://www.interpharma.ch/themen/starke-wirtschaftliche-rahmenbedingungen/pharmastandort-schweiz/?lang=en" TargetMode="External"/><Relationship Id="rId145" Type="http://schemas.openxmlformats.org/officeDocument/2006/relationships/hyperlink" Target="https://doi.org/10.1007/978-3-319-92282-9_9" TargetMode="External"/><Relationship Id="rId166" Type="http://schemas.openxmlformats.org/officeDocument/2006/relationships/hyperlink" Target="https://theprint.in/tech/ai-helped-moderna-speed-up-covid-vaccine-development-now-it-can-help-climate-too/955061/" TargetMode="External"/><Relationship Id="rId187" Type="http://schemas.openxmlformats.org/officeDocument/2006/relationships/hyperlink" Target="https://www.yicaiglobal.com/news/sanofi-unveils-first-global-research-institute-in-china-to-develop-innovative-drugs" TargetMode="External"/><Relationship Id="rId1" Type="http://schemas.openxmlformats.org/officeDocument/2006/relationships/hyperlink" Target="https://report.nih.gov/award/index.cfm" TargetMode="External"/><Relationship Id="rId28" Type="http://schemas.openxmlformats.org/officeDocument/2006/relationships/hyperlink" Target="https://www.who.int/observatories/global-observatory-on-health-research-and-development/monitoring/number-of-trial-registrations-by-year-location-disease-and-phase-of-development" TargetMode="External"/><Relationship Id="rId49" Type="http://schemas.openxmlformats.org/officeDocument/2006/relationships/hyperlink" Target="https://www.jnj.com/media-center/press-releases/johnson-johnson-innovation-launches-asia-pacific-innovation-center-and-announces-new-alliances" TargetMode="External"/><Relationship Id="rId114" Type="http://schemas.openxmlformats.org/officeDocument/2006/relationships/hyperlink" Target="https://insights.bio/immuno-oncology-insights/journal/article/209/managing-starting-material-stability-to-maximize-manufacturing-flexibility-and-downstream-efficiency" TargetMode="External"/><Relationship Id="rId60" Type="http://schemas.openxmlformats.org/officeDocument/2006/relationships/hyperlink" Target="https://www.allenovery.com/en-gb/global/news-and-insights/publications/china-patent-law-amendment-brings-sea-change-to-pharmaceutical-patent-regime" TargetMode="External"/><Relationship Id="rId81" Type="http://schemas.openxmlformats.org/officeDocument/2006/relationships/hyperlink" Target="https://www.clinicaltrialsarena.com/clinical-trials-analysis/europe-accounts-for-19-3-share-of-global-clinical-trial-activity-in-2020/" TargetMode="External"/><Relationship Id="rId135" Type="http://schemas.openxmlformats.org/officeDocument/2006/relationships/hyperlink" Target="https://www.gov.uk/government/publications/life-sciences-vision" TargetMode="External"/><Relationship Id="rId156" Type="http://schemas.openxmlformats.org/officeDocument/2006/relationships/hyperlink" Target="https://www.nature.com/articles/d43747-020-00721-0" TargetMode="External"/><Relationship Id="rId177" Type="http://schemas.openxmlformats.org/officeDocument/2006/relationships/hyperlink" Target="https://global.lockton.com/gb/en/news-insights/addressing-growing-supply-chain-risks-from-an-esg-perspective" TargetMode="External"/><Relationship Id="rId18" Type="http://schemas.openxmlformats.org/officeDocument/2006/relationships/hyperlink" Target="https://www.oecd.org/sti/frascati-manual-2015-9789264239012-en.htm" TargetMode="External"/><Relationship Id="rId39" Type="http://schemas.openxmlformats.org/officeDocument/2006/relationships/hyperlink" Target="https://www.europarl.europa.eu/thinktank/en/document/EPRS_STU(2021)69719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SharedTemplates\Pharma\LS%20Report%20Template%20201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4%20Investment%20database/EFPIA%20CRA%20RD%20DATABASE%20v.01%202022050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armstrong\Downloads\ABL_202297123546.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8%20Final%20report/Data%20for%20recommendation%201%20figure.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4%20Investment%20database/EFPIA%20CRA%20RD%20DATABASE%20v.02%20Jul%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4%20Investment%20database/EFPIA%20CRA%20RD%20DATABASE%20v.01%20202205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4%20Investment%20database/EFPIA%20CRA%20RD%20DATABASE%20v.02%20Jul%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4%20Investment%20database/EFPIA%20CRA%20RD%20DATABASE%20v.01%20202205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4%20Investment%20database/EFPIA%20CRA%20RD%20DATABASE%20v.03%202022081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rainternational.sharepoint.com/sites/D36423-EFPIAInvestmentLocation/Shared%20Documents/General/08%20Final%20report/Kymriah%20data%20for%20figu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76644008798237E-2"/>
          <c:y val="7.4826203991879753E-2"/>
          <c:w val="0.85733278765776999"/>
          <c:h val="0.73324968994260331"/>
        </c:manualLayout>
      </c:layout>
      <c:lineChart>
        <c:grouping val="standard"/>
        <c:varyColors val="0"/>
        <c:ser>
          <c:idx val="0"/>
          <c:order val="0"/>
          <c:tx>
            <c:strRef>
              <c:f>'R&amp;D expenditures graph'!$A$5</c:f>
              <c:strCache>
                <c:ptCount val="1"/>
                <c:pt idx="0">
                  <c:v>US </c:v>
                </c:pt>
              </c:strCache>
            </c:strRef>
          </c:tx>
          <c:spPr>
            <a:ln w="28575" cap="rnd">
              <a:solidFill>
                <a:schemeClr val="bg2"/>
              </a:solidFill>
              <a:round/>
            </a:ln>
            <a:effectLst/>
          </c:spPr>
          <c:marker>
            <c:symbol val="none"/>
          </c:marker>
          <c:dLbls>
            <c:dLbl>
              <c:idx val="0"/>
              <c:layout>
                <c:manualLayout>
                  <c:x val="-0.12158946874539087"/>
                  <c:y val="-3.2039783093689718E-2"/>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r>
                      <a:rPr lang="en-US" b="1">
                        <a:solidFill>
                          <a:schemeClr val="bg1"/>
                        </a:solidFill>
                      </a:rPr>
                      <a:t>CAGR 5.78%</a:t>
                    </a:r>
                  </a:p>
                </c:rich>
              </c:tx>
              <c:spPr>
                <a:solidFill>
                  <a:srgbClr val="ED7D31"/>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4393621552022978"/>
                      <c:h val="7.554555680539933E-2"/>
                    </c:manualLayout>
                  </c15:layout>
                  <c15:showDataLabelsRange val="0"/>
                </c:ext>
                <c:ext xmlns:c16="http://schemas.microsoft.com/office/drawing/2014/chart" uri="{C3380CC4-5D6E-409C-BE32-E72D297353CC}">
                  <c16:uniqueId val="{00000000-33AF-40F6-8EEC-EE469B4DB592}"/>
                </c:ext>
              </c:extLst>
            </c:dLbl>
            <c:dLbl>
              <c:idx val="1"/>
              <c:delete val="1"/>
              <c:extLst>
                <c:ext xmlns:c15="http://schemas.microsoft.com/office/drawing/2012/chart" uri="{CE6537A1-D6FC-4f65-9D91-7224C49458BB}"/>
                <c:ext xmlns:c16="http://schemas.microsoft.com/office/drawing/2014/chart" uri="{C3380CC4-5D6E-409C-BE32-E72D297353CC}">
                  <c16:uniqueId val="{00000001-33AF-40F6-8EEC-EE469B4DB592}"/>
                </c:ext>
              </c:extLst>
            </c:dLbl>
            <c:dLbl>
              <c:idx val="2"/>
              <c:delete val="1"/>
              <c:extLst>
                <c:ext xmlns:c15="http://schemas.microsoft.com/office/drawing/2012/chart" uri="{CE6537A1-D6FC-4f65-9D91-7224C49458BB}"/>
                <c:ext xmlns:c16="http://schemas.microsoft.com/office/drawing/2014/chart" uri="{C3380CC4-5D6E-409C-BE32-E72D297353CC}">
                  <c16:uniqueId val="{00000002-33AF-40F6-8EEC-EE469B4DB592}"/>
                </c:ext>
              </c:extLst>
            </c:dLbl>
            <c:dLbl>
              <c:idx val="3"/>
              <c:delete val="1"/>
              <c:extLst>
                <c:ext xmlns:c15="http://schemas.microsoft.com/office/drawing/2012/chart" uri="{CE6537A1-D6FC-4f65-9D91-7224C49458BB}"/>
                <c:ext xmlns:c16="http://schemas.microsoft.com/office/drawing/2014/chart" uri="{C3380CC4-5D6E-409C-BE32-E72D297353CC}">
                  <c16:uniqueId val="{00000003-33AF-40F6-8EEC-EE469B4DB592}"/>
                </c:ext>
              </c:extLst>
            </c:dLbl>
            <c:dLbl>
              <c:idx val="4"/>
              <c:delete val="1"/>
              <c:extLst>
                <c:ext xmlns:c15="http://schemas.microsoft.com/office/drawing/2012/chart" uri="{CE6537A1-D6FC-4f65-9D91-7224C49458BB}"/>
                <c:ext xmlns:c16="http://schemas.microsoft.com/office/drawing/2014/chart" uri="{C3380CC4-5D6E-409C-BE32-E72D297353CC}">
                  <c16:uniqueId val="{00000004-33AF-40F6-8EEC-EE469B4DB592}"/>
                </c:ext>
              </c:extLst>
            </c:dLbl>
            <c:dLbl>
              <c:idx val="5"/>
              <c:layout>
                <c:manualLayout>
                  <c:x val="-6.0377358490566038E-2"/>
                  <c:y val="-6.5934065934065936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42.2</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3AF-40F6-8EEC-EE469B4DB592}"/>
                </c:ext>
              </c:extLst>
            </c:dLbl>
            <c:dLbl>
              <c:idx val="6"/>
              <c:delete val="1"/>
              <c:extLst>
                <c:ext xmlns:c15="http://schemas.microsoft.com/office/drawing/2012/chart" uri="{CE6537A1-D6FC-4f65-9D91-7224C49458BB}"/>
                <c:ext xmlns:c16="http://schemas.microsoft.com/office/drawing/2014/chart" uri="{C3380CC4-5D6E-409C-BE32-E72D297353CC}">
                  <c16:uniqueId val="{00000006-33AF-40F6-8EEC-EE469B4DB592}"/>
                </c:ext>
              </c:extLst>
            </c:dLbl>
            <c:dLbl>
              <c:idx val="7"/>
              <c:delete val="1"/>
              <c:extLst>
                <c:ext xmlns:c15="http://schemas.microsoft.com/office/drawing/2012/chart" uri="{CE6537A1-D6FC-4f65-9D91-7224C49458BB}"/>
                <c:ext xmlns:c16="http://schemas.microsoft.com/office/drawing/2014/chart" uri="{C3380CC4-5D6E-409C-BE32-E72D297353CC}">
                  <c16:uniqueId val="{00000007-33AF-40F6-8EEC-EE469B4DB592}"/>
                </c:ext>
              </c:extLst>
            </c:dLbl>
            <c:dLbl>
              <c:idx val="8"/>
              <c:delete val="1"/>
              <c:extLst>
                <c:ext xmlns:c15="http://schemas.microsoft.com/office/drawing/2012/chart" uri="{CE6537A1-D6FC-4f65-9D91-7224C49458BB}"/>
                <c:ext xmlns:c16="http://schemas.microsoft.com/office/drawing/2014/chart" uri="{C3380CC4-5D6E-409C-BE32-E72D297353CC}">
                  <c16:uniqueId val="{00000008-33AF-40F6-8EEC-EE469B4DB592}"/>
                </c:ext>
              </c:extLst>
            </c:dLbl>
            <c:dLbl>
              <c:idx val="9"/>
              <c:delete val="1"/>
              <c:extLst>
                <c:ext xmlns:c15="http://schemas.microsoft.com/office/drawing/2012/chart" uri="{CE6537A1-D6FC-4f65-9D91-7224C49458BB}"/>
                <c:ext xmlns:c16="http://schemas.microsoft.com/office/drawing/2014/chart" uri="{C3380CC4-5D6E-409C-BE32-E72D297353CC}">
                  <c16:uniqueId val="{00000009-33AF-40F6-8EEC-EE469B4DB592}"/>
                </c:ext>
              </c:extLst>
            </c:dLbl>
            <c:dLbl>
              <c:idx val="10"/>
              <c:layout>
                <c:manualLayout>
                  <c:x val="-6.7924528301886791E-2"/>
                  <c:y val="-2.9303885091286667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35.6</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0459129401277671"/>
                      <c:h val="6.2985492198090617E-2"/>
                    </c:manualLayout>
                  </c15:layout>
                  <c15:showDataLabelsRange val="0"/>
                </c:ext>
                <c:ext xmlns:c16="http://schemas.microsoft.com/office/drawing/2014/chart" uri="{C3380CC4-5D6E-409C-BE32-E72D297353CC}">
                  <c16:uniqueId val="{0000000A-33AF-40F6-8EEC-EE469B4DB592}"/>
                </c:ext>
              </c:extLst>
            </c:dLbl>
            <c:dLbl>
              <c:idx val="11"/>
              <c:delete val="1"/>
              <c:extLst>
                <c:ext xmlns:c15="http://schemas.microsoft.com/office/drawing/2012/chart" uri="{CE6537A1-D6FC-4f65-9D91-7224C49458BB}"/>
                <c:ext xmlns:c16="http://schemas.microsoft.com/office/drawing/2014/chart" uri="{C3380CC4-5D6E-409C-BE32-E72D297353CC}">
                  <c16:uniqueId val="{0000000B-33AF-40F6-8EEC-EE469B4DB592}"/>
                </c:ext>
              </c:extLst>
            </c:dLbl>
            <c:dLbl>
              <c:idx val="12"/>
              <c:delete val="1"/>
              <c:extLst>
                <c:ext xmlns:c15="http://schemas.microsoft.com/office/drawing/2012/chart" uri="{CE6537A1-D6FC-4f65-9D91-7224C49458BB}"/>
                <c:ext xmlns:c16="http://schemas.microsoft.com/office/drawing/2014/chart" uri="{C3380CC4-5D6E-409C-BE32-E72D297353CC}">
                  <c16:uniqueId val="{0000000C-33AF-40F6-8EEC-EE469B4DB592}"/>
                </c:ext>
              </c:extLst>
            </c:dLbl>
            <c:dLbl>
              <c:idx val="13"/>
              <c:delete val="1"/>
              <c:extLst>
                <c:ext xmlns:c15="http://schemas.microsoft.com/office/drawing/2012/chart" uri="{CE6537A1-D6FC-4f65-9D91-7224C49458BB}"/>
                <c:ext xmlns:c16="http://schemas.microsoft.com/office/drawing/2014/chart" uri="{C3380CC4-5D6E-409C-BE32-E72D297353CC}">
                  <c16:uniqueId val="{0000000D-33AF-40F6-8EEC-EE469B4DB592}"/>
                </c:ext>
              </c:extLst>
            </c:dLbl>
            <c:dLbl>
              <c:idx val="14"/>
              <c:delete val="1"/>
              <c:extLst>
                <c:ext xmlns:c15="http://schemas.microsoft.com/office/drawing/2012/chart" uri="{CE6537A1-D6FC-4f65-9D91-7224C49458BB}"/>
                <c:ext xmlns:c16="http://schemas.microsoft.com/office/drawing/2014/chart" uri="{C3380CC4-5D6E-409C-BE32-E72D297353CC}">
                  <c16:uniqueId val="{0000000E-33AF-40F6-8EEC-EE469B4DB592}"/>
                </c:ext>
              </c:extLst>
            </c:dLbl>
            <c:dLbl>
              <c:idx val="15"/>
              <c:layout>
                <c:manualLayout>
                  <c:x val="-2.5157232704402562E-2"/>
                  <c:y val="-6.5934065934065866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27.1</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3AF-40F6-8EEC-EE469B4DB592}"/>
                </c:ext>
              </c:extLst>
            </c:dLbl>
            <c:dLbl>
              <c:idx val="16"/>
              <c:delete val="1"/>
              <c:extLst>
                <c:ext xmlns:c15="http://schemas.microsoft.com/office/drawing/2012/chart" uri="{CE6537A1-D6FC-4f65-9D91-7224C49458BB}"/>
                <c:ext xmlns:c16="http://schemas.microsoft.com/office/drawing/2014/chart" uri="{C3380CC4-5D6E-409C-BE32-E72D297353CC}">
                  <c16:uniqueId val="{00000010-33AF-40F6-8EEC-EE469B4DB592}"/>
                </c:ext>
              </c:extLst>
            </c:dLbl>
            <c:dLbl>
              <c:idx val="17"/>
              <c:delete val="1"/>
              <c:extLst>
                <c:ext xmlns:c15="http://schemas.microsoft.com/office/drawing/2012/chart" uri="{CE6537A1-D6FC-4f65-9D91-7224C49458BB}"/>
                <c:ext xmlns:c16="http://schemas.microsoft.com/office/drawing/2014/chart" uri="{C3380CC4-5D6E-409C-BE32-E72D297353CC}">
                  <c16:uniqueId val="{00000011-33AF-40F6-8EEC-EE469B4DB592}"/>
                </c:ext>
              </c:extLst>
            </c:dLbl>
            <c:dLbl>
              <c:idx val="18"/>
              <c:delete val="1"/>
              <c:extLst>
                <c:ext xmlns:c15="http://schemas.microsoft.com/office/drawing/2012/chart" uri="{CE6537A1-D6FC-4f65-9D91-7224C49458BB}"/>
                <c:ext xmlns:c16="http://schemas.microsoft.com/office/drawing/2014/chart" uri="{C3380CC4-5D6E-409C-BE32-E72D297353CC}">
                  <c16:uniqueId val="{00000012-33AF-40F6-8EEC-EE469B4DB592}"/>
                </c:ext>
              </c:extLst>
            </c:dLbl>
            <c:dLbl>
              <c:idx val="19"/>
              <c:layout>
                <c:manualLayout>
                  <c:x val="-4.0251572327044016E-2"/>
                  <c:y val="-6.9597069597069669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20.6</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3AF-40F6-8EEC-EE469B4DB59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'R&amp;D expenditures graph'!$B$4:$U$4</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graph'!$B$5:$U$5</c:f>
              <c:numCache>
                <c:formatCode>0.00</c:formatCode>
                <c:ptCount val="20"/>
                <c:pt idx="0">
                  <c:v>63.492305109900009</c:v>
                </c:pt>
                <c:pt idx="1">
                  <c:v>56.429440382999999</c:v>
                </c:pt>
                <c:pt idx="2">
                  <c:v>54.555415134299999</c:v>
                </c:pt>
                <c:pt idx="3">
                  <c:v>48.887043344999995</c:v>
                </c:pt>
                <c:pt idx="4">
                  <c:v>45.961273705799996</c:v>
                </c:pt>
                <c:pt idx="5">
                  <c:v>42.184200499500001</c:v>
                </c:pt>
                <c:pt idx="6">
                  <c:v>35.719238648700006</c:v>
                </c:pt>
                <c:pt idx="7">
                  <c:v>35.419980324000001</c:v>
                </c:pt>
                <c:pt idx="8">
                  <c:v>32.889656053799996</c:v>
                </c:pt>
                <c:pt idx="9">
                  <c:v>31.8930635784</c:v>
                </c:pt>
                <c:pt idx="10">
                  <c:v>35.676099153900005</c:v>
                </c:pt>
                <c:pt idx="11">
                  <c:v>31.000812564</c:v>
                </c:pt>
                <c:pt idx="12">
                  <c:v>31.189416330899999</c:v>
                </c:pt>
                <c:pt idx="13">
                  <c:v>32.098940679599998</c:v>
                </c:pt>
                <c:pt idx="14">
                  <c:v>29.783700110100003</c:v>
                </c:pt>
                <c:pt idx="15">
                  <c:v>27.154207611</c:v>
                </c:pt>
                <c:pt idx="16">
                  <c:v>25.914823954500001</c:v>
                </c:pt>
                <c:pt idx="17">
                  <c:v>23.731018553100004</c:v>
                </c:pt>
                <c:pt idx="18">
                  <c:v>22.494879126899999</c:v>
                </c:pt>
                <c:pt idx="19">
                  <c:v>20.607000138</c:v>
                </c:pt>
              </c:numCache>
            </c:numRef>
          </c:val>
          <c:smooth val="0"/>
          <c:extLst>
            <c:ext xmlns:c16="http://schemas.microsoft.com/office/drawing/2014/chart" uri="{C3380CC4-5D6E-409C-BE32-E72D297353CC}">
              <c16:uniqueId val="{00000014-33AF-40F6-8EEC-EE469B4DB592}"/>
            </c:ext>
          </c:extLst>
        </c:ser>
        <c:ser>
          <c:idx val="1"/>
          <c:order val="1"/>
          <c:tx>
            <c:strRef>
              <c:f>'R&amp;D expenditures graph'!$A$6</c:f>
              <c:strCache>
                <c:ptCount val="1"/>
                <c:pt idx="0">
                  <c:v>China</c:v>
                </c:pt>
              </c:strCache>
            </c:strRef>
          </c:tx>
          <c:spPr>
            <a:ln w="28575" cap="rnd">
              <a:solidFill>
                <a:srgbClr val="FF0000"/>
              </a:solidFill>
              <a:round/>
            </a:ln>
            <a:effectLst/>
          </c:spPr>
          <c:marker>
            <c:symbol val="none"/>
          </c:marker>
          <c:dLbls>
            <c:dLbl>
              <c:idx val="0"/>
              <c:layout>
                <c:manualLayout>
                  <c:x val="-2.532560788392017E-4"/>
                  <c:y val="6.9512705142626405E-2"/>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r>
                      <a:rPr lang="en-US" b="1">
                        <a:solidFill>
                          <a:schemeClr val="bg1"/>
                        </a:solidFill>
                      </a:rPr>
                      <a:t>CAGR 20.38%</a:t>
                    </a:r>
                  </a:p>
                </c:rich>
              </c:tx>
              <c:spPr>
                <a:solidFill>
                  <a:srgbClr val="FF000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5193463081265782"/>
                      <c:h val="6.0403218828415671E-2"/>
                    </c:manualLayout>
                  </c15:layout>
                  <c15:showDataLabelsRange val="0"/>
                </c:ext>
                <c:ext xmlns:c16="http://schemas.microsoft.com/office/drawing/2014/chart" uri="{C3380CC4-5D6E-409C-BE32-E72D297353CC}">
                  <c16:uniqueId val="{00000015-33AF-40F6-8EEC-EE469B4DB592}"/>
                </c:ext>
              </c:extLst>
            </c:dLbl>
            <c:dLbl>
              <c:idx val="1"/>
              <c:delete val="1"/>
              <c:extLst>
                <c:ext xmlns:c15="http://schemas.microsoft.com/office/drawing/2012/chart" uri="{CE6537A1-D6FC-4f65-9D91-7224C49458BB}"/>
                <c:ext xmlns:c16="http://schemas.microsoft.com/office/drawing/2014/chart" uri="{C3380CC4-5D6E-409C-BE32-E72D297353CC}">
                  <c16:uniqueId val="{00000016-33AF-40F6-8EEC-EE469B4DB592}"/>
                </c:ext>
              </c:extLst>
            </c:dLbl>
            <c:dLbl>
              <c:idx val="2"/>
              <c:delete val="1"/>
              <c:extLst>
                <c:ext xmlns:c15="http://schemas.microsoft.com/office/drawing/2012/chart" uri="{CE6537A1-D6FC-4f65-9D91-7224C49458BB}"/>
                <c:ext xmlns:c16="http://schemas.microsoft.com/office/drawing/2014/chart" uri="{C3380CC4-5D6E-409C-BE32-E72D297353CC}">
                  <c16:uniqueId val="{00000017-33AF-40F6-8EEC-EE469B4DB592}"/>
                </c:ext>
              </c:extLst>
            </c:dLbl>
            <c:dLbl>
              <c:idx val="3"/>
              <c:delete val="1"/>
              <c:extLst>
                <c:ext xmlns:c15="http://schemas.microsoft.com/office/drawing/2012/chart" uri="{CE6537A1-D6FC-4f65-9D91-7224C49458BB}"/>
                <c:ext xmlns:c16="http://schemas.microsoft.com/office/drawing/2014/chart" uri="{C3380CC4-5D6E-409C-BE32-E72D297353CC}">
                  <c16:uniqueId val="{00000018-33AF-40F6-8EEC-EE469B4DB592}"/>
                </c:ext>
              </c:extLst>
            </c:dLbl>
            <c:dLbl>
              <c:idx val="4"/>
              <c:delete val="1"/>
              <c:extLst>
                <c:ext xmlns:c15="http://schemas.microsoft.com/office/drawing/2012/chart" uri="{CE6537A1-D6FC-4f65-9D91-7224C49458BB}"/>
                <c:ext xmlns:c16="http://schemas.microsoft.com/office/drawing/2014/chart" uri="{C3380CC4-5D6E-409C-BE32-E72D297353CC}">
                  <c16:uniqueId val="{00000019-33AF-40F6-8EEC-EE469B4DB592}"/>
                </c:ext>
              </c:extLst>
            </c:dLbl>
            <c:dLbl>
              <c:idx val="5"/>
              <c:layout>
                <c:manualLayout>
                  <c:x val="-4.5283018867924622E-2"/>
                  <c:y val="-4.3956043956043959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5.6</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33AF-40F6-8EEC-EE469B4DB592}"/>
                </c:ext>
              </c:extLst>
            </c:dLbl>
            <c:dLbl>
              <c:idx val="6"/>
              <c:delete val="1"/>
              <c:extLst>
                <c:ext xmlns:c15="http://schemas.microsoft.com/office/drawing/2012/chart" uri="{CE6537A1-D6FC-4f65-9D91-7224C49458BB}"/>
                <c:ext xmlns:c16="http://schemas.microsoft.com/office/drawing/2014/chart" uri="{C3380CC4-5D6E-409C-BE32-E72D297353CC}">
                  <c16:uniqueId val="{0000001B-33AF-40F6-8EEC-EE469B4DB592}"/>
                </c:ext>
              </c:extLst>
            </c:dLbl>
            <c:dLbl>
              <c:idx val="7"/>
              <c:delete val="1"/>
              <c:extLst>
                <c:ext xmlns:c15="http://schemas.microsoft.com/office/drawing/2012/chart" uri="{CE6537A1-D6FC-4f65-9D91-7224C49458BB}"/>
                <c:ext xmlns:c16="http://schemas.microsoft.com/office/drawing/2014/chart" uri="{C3380CC4-5D6E-409C-BE32-E72D297353CC}">
                  <c16:uniqueId val="{0000001C-33AF-40F6-8EEC-EE469B4DB592}"/>
                </c:ext>
              </c:extLst>
            </c:dLbl>
            <c:dLbl>
              <c:idx val="8"/>
              <c:delete val="1"/>
              <c:extLst>
                <c:ext xmlns:c15="http://schemas.microsoft.com/office/drawing/2012/chart" uri="{CE6537A1-D6FC-4f65-9D91-7224C49458BB}"/>
                <c:ext xmlns:c16="http://schemas.microsoft.com/office/drawing/2014/chart" uri="{C3380CC4-5D6E-409C-BE32-E72D297353CC}">
                  <c16:uniqueId val="{0000001D-33AF-40F6-8EEC-EE469B4DB592}"/>
                </c:ext>
              </c:extLst>
            </c:dLbl>
            <c:dLbl>
              <c:idx val="9"/>
              <c:delete val="1"/>
              <c:extLst>
                <c:ext xmlns:c15="http://schemas.microsoft.com/office/drawing/2012/chart" uri="{CE6537A1-D6FC-4f65-9D91-7224C49458BB}"/>
                <c:ext xmlns:c16="http://schemas.microsoft.com/office/drawing/2014/chart" uri="{C3380CC4-5D6E-409C-BE32-E72D297353CC}">
                  <c16:uniqueId val="{0000001E-33AF-40F6-8EEC-EE469B4DB592}"/>
                </c:ext>
              </c:extLst>
            </c:dLbl>
            <c:dLbl>
              <c:idx val="10"/>
              <c:layout>
                <c:manualLayout>
                  <c:x val="-1.509433962264151E-2"/>
                  <c:y val="-3.663003663003676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1.5</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33AF-40F6-8EEC-EE469B4DB592}"/>
                </c:ext>
              </c:extLst>
            </c:dLbl>
            <c:dLbl>
              <c:idx val="11"/>
              <c:delete val="1"/>
              <c:extLst>
                <c:ext xmlns:c15="http://schemas.microsoft.com/office/drawing/2012/chart" uri="{CE6537A1-D6FC-4f65-9D91-7224C49458BB}"/>
                <c:ext xmlns:c16="http://schemas.microsoft.com/office/drawing/2014/chart" uri="{C3380CC4-5D6E-409C-BE32-E72D297353CC}">
                  <c16:uniqueId val="{00000020-33AF-40F6-8EEC-EE469B4DB592}"/>
                </c:ext>
              </c:extLst>
            </c:dLbl>
            <c:dLbl>
              <c:idx val="12"/>
              <c:delete val="1"/>
              <c:extLst>
                <c:ext xmlns:c15="http://schemas.microsoft.com/office/drawing/2012/chart" uri="{CE6537A1-D6FC-4f65-9D91-7224C49458BB}"/>
                <c:ext xmlns:c16="http://schemas.microsoft.com/office/drawing/2014/chart" uri="{C3380CC4-5D6E-409C-BE32-E72D297353CC}">
                  <c16:uniqueId val="{00000021-33AF-40F6-8EEC-EE469B4DB592}"/>
                </c:ext>
              </c:extLst>
            </c:dLbl>
            <c:dLbl>
              <c:idx val="13"/>
              <c:delete val="1"/>
              <c:extLst>
                <c:ext xmlns:c15="http://schemas.microsoft.com/office/drawing/2012/chart" uri="{CE6537A1-D6FC-4f65-9D91-7224C49458BB}"/>
                <c:ext xmlns:c16="http://schemas.microsoft.com/office/drawing/2014/chart" uri="{C3380CC4-5D6E-409C-BE32-E72D297353CC}">
                  <c16:uniqueId val="{00000022-33AF-40F6-8EEC-EE469B4DB592}"/>
                </c:ext>
              </c:extLst>
            </c:dLbl>
            <c:dLbl>
              <c:idx val="14"/>
              <c:delete val="1"/>
              <c:extLst>
                <c:ext xmlns:c15="http://schemas.microsoft.com/office/drawing/2012/chart" uri="{CE6537A1-D6FC-4f65-9D91-7224C49458BB}"/>
                <c:ext xmlns:c16="http://schemas.microsoft.com/office/drawing/2014/chart" uri="{C3380CC4-5D6E-409C-BE32-E72D297353CC}">
                  <c16:uniqueId val="{00000023-33AF-40F6-8EEC-EE469B4DB592}"/>
                </c:ext>
              </c:extLst>
            </c:dLbl>
            <c:dLbl>
              <c:idx val="15"/>
              <c:layout>
                <c:manualLayout>
                  <c:x val="-1.7610062893081761E-2"/>
                  <c:y val="-3.2967032967032968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0.5</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33AF-40F6-8EEC-EE469B4DB592}"/>
                </c:ext>
              </c:extLst>
            </c:dLbl>
            <c:dLbl>
              <c:idx val="16"/>
              <c:delete val="1"/>
              <c:extLst>
                <c:ext xmlns:c15="http://schemas.microsoft.com/office/drawing/2012/chart" uri="{CE6537A1-D6FC-4f65-9D91-7224C49458BB}"/>
                <c:ext xmlns:c16="http://schemas.microsoft.com/office/drawing/2014/chart" uri="{C3380CC4-5D6E-409C-BE32-E72D297353CC}">
                  <c16:uniqueId val="{00000025-33AF-40F6-8EEC-EE469B4DB592}"/>
                </c:ext>
              </c:extLst>
            </c:dLbl>
            <c:dLbl>
              <c:idx val="17"/>
              <c:delete val="1"/>
              <c:extLst>
                <c:ext xmlns:c15="http://schemas.microsoft.com/office/drawing/2012/chart" uri="{CE6537A1-D6FC-4f65-9D91-7224C49458BB}"/>
                <c:ext xmlns:c16="http://schemas.microsoft.com/office/drawing/2014/chart" uri="{C3380CC4-5D6E-409C-BE32-E72D297353CC}">
                  <c16:uniqueId val="{00000026-33AF-40F6-8EEC-EE469B4DB592}"/>
                </c:ext>
              </c:extLst>
            </c:dLbl>
            <c:dLbl>
              <c:idx val="18"/>
              <c:delete val="1"/>
              <c:extLst>
                <c:ext xmlns:c15="http://schemas.microsoft.com/office/drawing/2012/chart" uri="{CE6537A1-D6FC-4f65-9D91-7224C49458BB}"/>
                <c:ext xmlns:c16="http://schemas.microsoft.com/office/drawing/2014/chart" uri="{C3380CC4-5D6E-409C-BE32-E72D297353CC}">
                  <c16:uniqueId val="{00000027-33AF-40F6-8EEC-EE469B4DB592}"/>
                </c:ext>
              </c:extLst>
            </c:dLbl>
            <c:dLbl>
              <c:idx val="19"/>
              <c:layout>
                <c:manualLayout>
                  <c:x val="-1.509433962264151E-2"/>
                  <c:y val="-2.5641025641025775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0.2</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33AF-40F6-8EEC-EE469B4DB59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'R&amp;D expenditures graph'!$B$4:$U$4</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graph'!$B$6:$U$6</c:f>
              <c:numCache>
                <c:formatCode>0.00</c:formatCode>
                <c:ptCount val="20"/>
                <c:pt idx="0">
                  <c:v>9.9722291409999997</c:v>
                </c:pt>
                <c:pt idx="1">
                  <c:v>7.7475139549999987</c:v>
                </c:pt>
                <c:pt idx="2">
                  <c:v>7.3830572469999991</c:v>
                </c:pt>
                <c:pt idx="3">
                  <c:v>6.789388398999999</c:v>
                </c:pt>
                <c:pt idx="4">
                  <c:v>6.2084689519999996</c:v>
                </c:pt>
                <c:pt idx="5">
                  <c:v>5.610926096</c:v>
                </c:pt>
                <c:pt idx="6">
                  <c:v>4.960917631</c:v>
                </c:pt>
                <c:pt idx="7">
                  <c:v>4.4186988630000004</c:v>
                </c:pt>
                <c:pt idx="8">
                  <c:v>3.6008129049999997</c:v>
                </c:pt>
                <c:pt idx="9">
                  <c:v>2.6849392019999998</c:v>
                </c:pt>
                <c:pt idx="10">
                  <c:v>1.5585790020000001</c:v>
                </c:pt>
                <c:pt idx="11">
                  <c:v>1.2661968910000001</c:v>
                </c:pt>
                <c:pt idx="12">
                  <c:v>1.0052072089999999</c:v>
                </c:pt>
                <c:pt idx="13">
                  <c:v>0.83738055599999983</c:v>
                </c:pt>
                <c:pt idx="14">
                  <c:v>0.66836297600000005</c:v>
                </c:pt>
                <c:pt idx="15" formatCode="General">
                  <c:v>0.50777720999999998</c:v>
                </c:pt>
                <c:pt idx="16" formatCode="General">
                  <c:v>0.358183052</c:v>
                </c:pt>
                <c:pt idx="17" formatCode="General">
                  <c:v>0.31699311949999998</c:v>
                </c:pt>
                <c:pt idx="18" formatCode="General">
                  <c:v>0.27580318700000001</c:v>
                </c:pt>
                <c:pt idx="19" formatCode="General">
                  <c:v>0.24472342399999997</c:v>
                </c:pt>
              </c:numCache>
            </c:numRef>
          </c:val>
          <c:smooth val="0"/>
          <c:extLst>
            <c:ext xmlns:c16="http://schemas.microsoft.com/office/drawing/2014/chart" uri="{C3380CC4-5D6E-409C-BE32-E72D297353CC}">
              <c16:uniqueId val="{00000029-33AF-40F6-8EEC-EE469B4DB592}"/>
            </c:ext>
          </c:extLst>
        </c:ser>
        <c:ser>
          <c:idx val="2"/>
          <c:order val="2"/>
          <c:tx>
            <c:strRef>
              <c:f>'R&amp;D expenditures graph'!$A$7</c:f>
              <c:strCache>
                <c:ptCount val="1"/>
                <c:pt idx="0">
                  <c:v>Japan</c:v>
                </c:pt>
              </c:strCache>
            </c:strRef>
          </c:tx>
          <c:spPr>
            <a:ln w="28575" cap="rnd">
              <a:solidFill>
                <a:schemeClr val="accent1"/>
              </a:solidFill>
              <a:round/>
            </a:ln>
            <a:effectLst/>
          </c:spPr>
          <c:marker>
            <c:symbol val="none"/>
          </c:marker>
          <c:dLbls>
            <c:dLbl>
              <c:idx val="0"/>
              <c:layout>
                <c:manualLayout>
                  <c:x val="-0.11405382734953221"/>
                  <c:y val="-0.18590204936115587"/>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r>
                      <a:rPr lang="en-US" b="1">
                        <a:solidFill>
                          <a:schemeClr val="bg1"/>
                        </a:solidFill>
                      </a:rPr>
                      <a:t>CAGR 2.47%</a:t>
                    </a:r>
                  </a:p>
                </c:rich>
              </c:tx>
              <c:spPr>
                <a:solidFill>
                  <a:srgbClr val="4472C4"/>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4337800227801711"/>
                      <c:h val="7.1379827521559816E-2"/>
                    </c:manualLayout>
                  </c15:layout>
                  <c15:showDataLabelsRange val="0"/>
                </c:ext>
                <c:ext xmlns:c16="http://schemas.microsoft.com/office/drawing/2014/chart" uri="{C3380CC4-5D6E-409C-BE32-E72D297353CC}">
                  <c16:uniqueId val="{0000002A-33AF-40F6-8EEC-EE469B4DB592}"/>
                </c:ext>
              </c:extLst>
            </c:dLbl>
            <c:dLbl>
              <c:idx val="1"/>
              <c:delete val="1"/>
              <c:extLst>
                <c:ext xmlns:c15="http://schemas.microsoft.com/office/drawing/2012/chart" uri="{CE6537A1-D6FC-4f65-9D91-7224C49458BB}"/>
                <c:ext xmlns:c16="http://schemas.microsoft.com/office/drawing/2014/chart" uri="{C3380CC4-5D6E-409C-BE32-E72D297353CC}">
                  <c16:uniqueId val="{0000002B-33AF-40F6-8EEC-EE469B4DB592}"/>
                </c:ext>
              </c:extLst>
            </c:dLbl>
            <c:dLbl>
              <c:idx val="2"/>
              <c:delete val="1"/>
              <c:extLst>
                <c:ext xmlns:c15="http://schemas.microsoft.com/office/drawing/2012/chart" uri="{CE6537A1-D6FC-4f65-9D91-7224C49458BB}"/>
                <c:ext xmlns:c16="http://schemas.microsoft.com/office/drawing/2014/chart" uri="{C3380CC4-5D6E-409C-BE32-E72D297353CC}">
                  <c16:uniqueId val="{0000002C-33AF-40F6-8EEC-EE469B4DB592}"/>
                </c:ext>
              </c:extLst>
            </c:dLbl>
            <c:dLbl>
              <c:idx val="3"/>
              <c:delete val="1"/>
              <c:extLst>
                <c:ext xmlns:c15="http://schemas.microsoft.com/office/drawing/2012/chart" uri="{CE6537A1-D6FC-4f65-9D91-7224C49458BB}"/>
                <c:ext xmlns:c16="http://schemas.microsoft.com/office/drawing/2014/chart" uri="{C3380CC4-5D6E-409C-BE32-E72D297353CC}">
                  <c16:uniqueId val="{0000002D-33AF-40F6-8EEC-EE469B4DB592}"/>
                </c:ext>
              </c:extLst>
            </c:dLbl>
            <c:dLbl>
              <c:idx val="4"/>
              <c:delete val="1"/>
              <c:extLst>
                <c:ext xmlns:c15="http://schemas.microsoft.com/office/drawing/2012/chart" uri="{CE6537A1-D6FC-4f65-9D91-7224C49458BB}"/>
                <c:ext xmlns:c16="http://schemas.microsoft.com/office/drawing/2014/chart" uri="{C3380CC4-5D6E-409C-BE32-E72D297353CC}">
                  <c16:uniqueId val="{0000002E-33AF-40F6-8EEC-EE469B4DB592}"/>
                </c:ext>
              </c:extLst>
            </c:dLbl>
            <c:dLbl>
              <c:idx val="5"/>
              <c:layout>
                <c:manualLayout>
                  <c:x val="-0.11320754716981141"/>
                  <c:y val="-6.2271062271062202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11.9</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33AF-40F6-8EEC-EE469B4DB592}"/>
                </c:ext>
              </c:extLst>
            </c:dLbl>
            <c:dLbl>
              <c:idx val="6"/>
              <c:delete val="1"/>
              <c:extLst>
                <c:ext xmlns:c15="http://schemas.microsoft.com/office/drawing/2012/chart" uri="{CE6537A1-D6FC-4f65-9D91-7224C49458BB}"/>
                <c:ext xmlns:c16="http://schemas.microsoft.com/office/drawing/2014/chart" uri="{C3380CC4-5D6E-409C-BE32-E72D297353CC}">
                  <c16:uniqueId val="{00000030-33AF-40F6-8EEC-EE469B4DB592}"/>
                </c:ext>
              </c:extLst>
            </c:dLbl>
            <c:dLbl>
              <c:idx val="7"/>
              <c:delete val="1"/>
              <c:extLst>
                <c:ext xmlns:c15="http://schemas.microsoft.com/office/drawing/2012/chart" uri="{CE6537A1-D6FC-4f65-9D91-7224C49458BB}"/>
                <c:ext xmlns:c16="http://schemas.microsoft.com/office/drawing/2014/chart" uri="{C3380CC4-5D6E-409C-BE32-E72D297353CC}">
                  <c16:uniqueId val="{00000031-33AF-40F6-8EEC-EE469B4DB592}"/>
                </c:ext>
              </c:extLst>
            </c:dLbl>
            <c:dLbl>
              <c:idx val="8"/>
              <c:delete val="1"/>
              <c:extLst>
                <c:ext xmlns:c15="http://schemas.microsoft.com/office/drawing/2012/chart" uri="{CE6537A1-D6FC-4f65-9D91-7224C49458BB}"/>
                <c:ext xmlns:c16="http://schemas.microsoft.com/office/drawing/2014/chart" uri="{C3380CC4-5D6E-409C-BE32-E72D297353CC}">
                  <c16:uniqueId val="{00000032-33AF-40F6-8EEC-EE469B4DB592}"/>
                </c:ext>
              </c:extLst>
            </c:dLbl>
            <c:dLbl>
              <c:idx val="9"/>
              <c:delete val="1"/>
              <c:extLst>
                <c:ext xmlns:c15="http://schemas.microsoft.com/office/drawing/2012/chart" uri="{CE6537A1-D6FC-4f65-9D91-7224C49458BB}"/>
                <c:ext xmlns:c16="http://schemas.microsoft.com/office/drawing/2014/chart" uri="{C3380CC4-5D6E-409C-BE32-E72D297353CC}">
                  <c16:uniqueId val="{00000033-33AF-40F6-8EEC-EE469B4DB592}"/>
                </c:ext>
              </c:extLst>
            </c:dLbl>
            <c:dLbl>
              <c:idx val="10"/>
              <c:layout>
                <c:manualLayout>
                  <c:x val="-3.0188679245283019E-2"/>
                  <c:y val="-3.2967032967032968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10.4</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33AF-40F6-8EEC-EE469B4DB592}"/>
                </c:ext>
              </c:extLst>
            </c:dLbl>
            <c:dLbl>
              <c:idx val="11"/>
              <c:delete val="1"/>
              <c:extLst>
                <c:ext xmlns:c15="http://schemas.microsoft.com/office/drawing/2012/chart" uri="{CE6537A1-D6FC-4f65-9D91-7224C49458BB}"/>
                <c:ext xmlns:c16="http://schemas.microsoft.com/office/drawing/2014/chart" uri="{C3380CC4-5D6E-409C-BE32-E72D297353CC}">
                  <c16:uniqueId val="{00000035-33AF-40F6-8EEC-EE469B4DB592}"/>
                </c:ext>
              </c:extLst>
            </c:dLbl>
            <c:dLbl>
              <c:idx val="12"/>
              <c:delete val="1"/>
              <c:extLst>
                <c:ext xmlns:c15="http://schemas.microsoft.com/office/drawing/2012/chart" uri="{CE6537A1-D6FC-4f65-9D91-7224C49458BB}"/>
                <c:ext xmlns:c16="http://schemas.microsoft.com/office/drawing/2014/chart" uri="{C3380CC4-5D6E-409C-BE32-E72D297353CC}">
                  <c16:uniqueId val="{00000036-33AF-40F6-8EEC-EE469B4DB592}"/>
                </c:ext>
              </c:extLst>
            </c:dLbl>
            <c:dLbl>
              <c:idx val="13"/>
              <c:delete val="1"/>
              <c:extLst>
                <c:ext xmlns:c15="http://schemas.microsoft.com/office/drawing/2012/chart" uri="{CE6537A1-D6FC-4f65-9D91-7224C49458BB}"/>
                <c:ext xmlns:c16="http://schemas.microsoft.com/office/drawing/2014/chart" uri="{C3380CC4-5D6E-409C-BE32-E72D297353CC}">
                  <c16:uniqueId val="{00000037-33AF-40F6-8EEC-EE469B4DB592}"/>
                </c:ext>
              </c:extLst>
            </c:dLbl>
            <c:dLbl>
              <c:idx val="14"/>
              <c:delete val="1"/>
              <c:extLst>
                <c:ext xmlns:c15="http://schemas.microsoft.com/office/drawing/2012/chart" uri="{CE6537A1-D6FC-4f65-9D91-7224C49458BB}"/>
                <c:ext xmlns:c16="http://schemas.microsoft.com/office/drawing/2014/chart" uri="{C3380CC4-5D6E-409C-BE32-E72D297353CC}">
                  <c16:uniqueId val="{00000038-33AF-40F6-8EEC-EE469B4DB592}"/>
                </c:ext>
              </c:extLst>
            </c:dLbl>
            <c:dLbl>
              <c:idx val="15"/>
              <c:layout>
                <c:manualLayout>
                  <c:x val="-2.2641509433962263E-2"/>
                  <c:y val="-5.494505494505494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8.6</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9-33AF-40F6-8EEC-EE469B4DB592}"/>
                </c:ext>
              </c:extLst>
            </c:dLbl>
            <c:dLbl>
              <c:idx val="16"/>
              <c:delete val="1"/>
              <c:extLst>
                <c:ext xmlns:c15="http://schemas.microsoft.com/office/drawing/2012/chart" uri="{CE6537A1-D6FC-4f65-9D91-7224C49458BB}"/>
                <c:ext xmlns:c16="http://schemas.microsoft.com/office/drawing/2014/chart" uri="{C3380CC4-5D6E-409C-BE32-E72D297353CC}">
                  <c16:uniqueId val="{0000003A-33AF-40F6-8EEC-EE469B4DB592}"/>
                </c:ext>
              </c:extLst>
            </c:dLbl>
            <c:dLbl>
              <c:idx val="17"/>
              <c:delete val="1"/>
              <c:extLst>
                <c:ext xmlns:c15="http://schemas.microsoft.com/office/drawing/2012/chart" uri="{CE6537A1-D6FC-4f65-9D91-7224C49458BB}"/>
                <c:ext xmlns:c16="http://schemas.microsoft.com/office/drawing/2014/chart" uri="{C3380CC4-5D6E-409C-BE32-E72D297353CC}">
                  <c16:uniqueId val="{0000003B-33AF-40F6-8EEC-EE469B4DB592}"/>
                </c:ext>
              </c:extLst>
            </c:dLbl>
            <c:dLbl>
              <c:idx val="18"/>
              <c:delete val="1"/>
              <c:extLst>
                <c:ext xmlns:c15="http://schemas.microsoft.com/office/drawing/2012/chart" uri="{CE6537A1-D6FC-4f65-9D91-7224C49458BB}"/>
                <c:ext xmlns:c16="http://schemas.microsoft.com/office/drawing/2014/chart" uri="{C3380CC4-5D6E-409C-BE32-E72D297353CC}">
                  <c16:uniqueId val="{0000003C-33AF-40F6-8EEC-EE469B4DB592}"/>
                </c:ext>
              </c:extLst>
            </c:dLbl>
            <c:dLbl>
              <c:idx val="19"/>
              <c:layout>
                <c:manualLayout>
                  <c:x val="-3.0188679245283019E-2"/>
                  <c:y val="-6.2271062271062272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6.6</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33AF-40F6-8EEC-EE469B4DB59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'R&amp;D expenditures graph'!$B$4:$U$4</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graph'!$B$7:$U$7</c:f>
              <c:numCache>
                <c:formatCode>0.00</c:formatCode>
                <c:ptCount val="20"/>
                <c:pt idx="0">
                  <c:v>10.854300800000001</c:v>
                </c:pt>
                <c:pt idx="1">
                  <c:v>10.9988496</c:v>
                </c:pt>
                <c:pt idx="2">
                  <c:v>11.5368011</c:v>
                </c:pt>
                <c:pt idx="3">
                  <c:v>12.034508900000001</c:v>
                </c:pt>
                <c:pt idx="4">
                  <c:v>11.100690800000001</c:v>
                </c:pt>
                <c:pt idx="5">
                  <c:v>11.972090100000001</c:v>
                </c:pt>
                <c:pt idx="6">
                  <c:v>12.2808989</c:v>
                </c:pt>
                <c:pt idx="7">
                  <c:v>11.8029023</c:v>
                </c:pt>
                <c:pt idx="8">
                  <c:v>10.726999299999999</c:v>
                </c:pt>
                <c:pt idx="9">
                  <c:v>10.101168700000001</c:v>
                </c:pt>
                <c:pt idx="10">
                  <c:v>10.479787999999999</c:v>
                </c:pt>
                <c:pt idx="11">
                  <c:v>9.8038580999999994</c:v>
                </c:pt>
                <c:pt idx="12">
                  <c:v>10.640762799999999</c:v>
                </c:pt>
                <c:pt idx="13">
                  <c:v>10.296638099999999</c:v>
                </c:pt>
                <c:pt idx="14">
                  <c:v>9.6379555000000003</c:v>
                </c:pt>
                <c:pt idx="15" formatCode="General">
                  <c:v>8.6047601</c:v>
                </c:pt>
                <c:pt idx="16" formatCode="General">
                  <c:v>7.4467271000000004</c:v>
                </c:pt>
                <c:pt idx="17" formatCode="General">
                  <c:v>7.2578281000000002</c:v>
                </c:pt>
                <c:pt idx="18" formatCode="General">
                  <c:v>7.9312940999999997</c:v>
                </c:pt>
                <c:pt idx="19" formatCode="General">
                  <c:v>6.6599216999999999</c:v>
                </c:pt>
              </c:numCache>
            </c:numRef>
          </c:val>
          <c:smooth val="0"/>
          <c:extLst>
            <c:ext xmlns:c16="http://schemas.microsoft.com/office/drawing/2014/chart" uri="{C3380CC4-5D6E-409C-BE32-E72D297353CC}">
              <c16:uniqueId val="{0000003E-33AF-40F6-8EEC-EE469B4DB592}"/>
            </c:ext>
          </c:extLst>
        </c:ser>
        <c:ser>
          <c:idx val="5"/>
          <c:order val="3"/>
          <c:tx>
            <c:strRef>
              <c:f>'R&amp;D expenditures graph'!$A$8</c:f>
              <c:strCache>
                <c:ptCount val="1"/>
                <c:pt idx="0">
                  <c:v>EU + UK, CH</c:v>
                </c:pt>
              </c:strCache>
            </c:strRef>
          </c:tx>
          <c:spPr>
            <a:ln w="28575" cap="rnd">
              <a:solidFill>
                <a:srgbClr val="00B050"/>
              </a:solidFill>
              <a:round/>
            </a:ln>
            <a:effectLst/>
          </c:spPr>
          <c:marker>
            <c:symbol val="none"/>
          </c:marker>
          <c:dLbls>
            <c:dLbl>
              <c:idx val="0"/>
              <c:layout>
                <c:manualLayout>
                  <c:x val="-7.2452235923339867E-2"/>
                  <c:y val="-8.5008220126330372E-2"/>
                </c:manualLayout>
              </c:layout>
              <c:tx>
                <c:rich>
                  <a:bodyPr/>
                  <a:lstStyle/>
                  <a:p>
                    <a:r>
                      <a:rPr lang="en-US" b="1">
                        <a:solidFill>
                          <a:schemeClr val="bg1"/>
                        </a:solidFill>
                      </a:rPr>
                      <a:t>CAGR 3.75%</a:t>
                    </a:r>
                  </a:p>
                </c:rich>
              </c:tx>
              <c:showLegendKey val="0"/>
              <c:showVal val="1"/>
              <c:showCatName val="1"/>
              <c:showSerName val="0"/>
              <c:showPercent val="0"/>
              <c:showBubbleSize val="0"/>
              <c:extLst>
                <c:ext xmlns:c15="http://schemas.microsoft.com/office/drawing/2012/chart" uri="{CE6537A1-D6FC-4f65-9D91-7224C49458BB}">
                  <c15:layout>
                    <c:manualLayout>
                      <c:w val="0.16321675828257318"/>
                      <c:h val="6.9161547114303001E-2"/>
                    </c:manualLayout>
                  </c15:layout>
                  <c15:showDataLabelsRange val="0"/>
                </c:ext>
                <c:ext xmlns:c16="http://schemas.microsoft.com/office/drawing/2014/chart" uri="{C3380CC4-5D6E-409C-BE32-E72D297353CC}">
                  <c16:uniqueId val="{0000003F-33AF-40F6-8EEC-EE469B4DB592}"/>
                </c:ext>
              </c:extLst>
            </c:dLbl>
            <c:dLbl>
              <c:idx val="1"/>
              <c:delete val="1"/>
              <c:extLst>
                <c:ext xmlns:c15="http://schemas.microsoft.com/office/drawing/2012/chart" uri="{CE6537A1-D6FC-4f65-9D91-7224C49458BB}"/>
                <c:ext xmlns:c16="http://schemas.microsoft.com/office/drawing/2014/chart" uri="{C3380CC4-5D6E-409C-BE32-E72D297353CC}">
                  <c16:uniqueId val="{00000040-33AF-40F6-8EEC-EE469B4DB592}"/>
                </c:ext>
              </c:extLst>
            </c:dLbl>
            <c:dLbl>
              <c:idx val="2"/>
              <c:delete val="1"/>
              <c:extLst>
                <c:ext xmlns:c15="http://schemas.microsoft.com/office/drawing/2012/chart" uri="{CE6537A1-D6FC-4f65-9D91-7224C49458BB}"/>
                <c:ext xmlns:c16="http://schemas.microsoft.com/office/drawing/2014/chart" uri="{C3380CC4-5D6E-409C-BE32-E72D297353CC}">
                  <c16:uniqueId val="{00000041-33AF-40F6-8EEC-EE469B4DB592}"/>
                </c:ext>
              </c:extLst>
            </c:dLbl>
            <c:dLbl>
              <c:idx val="3"/>
              <c:delete val="1"/>
              <c:extLst>
                <c:ext xmlns:c15="http://schemas.microsoft.com/office/drawing/2012/chart" uri="{CE6537A1-D6FC-4f65-9D91-7224C49458BB}"/>
                <c:ext xmlns:c16="http://schemas.microsoft.com/office/drawing/2014/chart" uri="{C3380CC4-5D6E-409C-BE32-E72D297353CC}">
                  <c16:uniqueId val="{00000042-33AF-40F6-8EEC-EE469B4DB592}"/>
                </c:ext>
              </c:extLst>
            </c:dLbl>
            <c:dLbl>
              <c:idx val="4"/>
              <c:delete val="1"/>
              <c:extLst>
                <c:ext xmlns:c15="http://schemas.microsoft.com/office/drawing/2012/chart" uri="{CE6537A1-D6FC-4f65-9D91-7224C49458BB}"/>
                <c:ext xmlns:c16="http://schemas.microsoft.com/office/drawing/2014/chart" uri="{C3380CC4-5D6E-409C-BE32-E72D297353CC}">
                  <c16:uniqueId val="{00000043-33AF-40F6-8EEC-EE469B4DB592}"/>
                </c:ext>
              </c:extLst>
            </c:dLbl>
            <c:dLbl>
              <c:idx val="5"/>
              <c:layout>
                <c:manualLayout>
                  <c:x val="-2.7672955974842858E-2"/>
                  <c:y val="-4.3956043956043959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32.9</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33AF-40F6-8EEC-EE469B4DB592}"/>
                </c:ext>
              </c:extLst>
            </c:dLbl>
            <c:dLbl>
              <c:idx val="6"/>
              <c:delete val="1"/>
              <c:extLst>
                <c:ext xmlns:c15="http://schemas.microsoft.com/office/drawing/2012/chart" uri="{CE6537A1-D6FC-4f65-9D91-7224C49458BB}"/>
                <c:ext xmlns:c16="http://schemas.microsoft.com/office/drawing/2014/chart" uri="{C3380CC4-5D6E-409C-BE32-E72D297353CC}">
                  <c16:uniqueId val="{00000045-33AF-40F6-8EEC-EE469B4DB592}"/>
                </c:ext>
              </c:extLst>
            </c:dLbl>
            <c:dLbl>
              <c:idx val="7"/>
              <c:delete val="1"/>
              <c:extLst>
                <c:ext xmlns:c15="http://schemas.microsoft.com/office/drawing/2012/chart" uri="{CE6537A1-D6FC-4f65-9D91-7224C49458BB}"/>
                <c:ext xmlns:c16="http://schemas.microsoft.com/office/drawing/2014/chart" uri="{C3380CC4-5D6E-409C-BE32-E72D297353CC}">
                  <c16:uniqueId val="{00000046-33AF-40F6-8EEC-EE469B4DB592}"/>
                </c:ext>
              </c:extLst>
            </c:dLbl>
            <c:dLbl>
              <c:idx val="8"/>
              <c:delete val="1"/>
              <c:extLst>
                <c:ext xmlns:c15="http://schemas.microsoft.com/office/drawing/2012/chart" uri="{CE6537A1-D6FC-4f65-9D91-7224C49458BB}"/>
                <c:ext xmlns:c16="http://schemas.microsoft.com/office/drawing/2014/chart" uri="{C3380CC4-5D6E-409C-BE32-E72D297353CC}">
                  <c16:uniqueId val="{00000047-33AF-40F6-8EEC-EE469B4DB592}"/>
                </c:ext>
              </c:extLst>
            </c:dLbl>
            <c:dLbl>
              <c:idx val="9"/>
              <c:delete val="1"/>
              <c:extLst>
                <c:ext xmlns:c15="http://schemas.microsoft.com/office/drawing/2012/chart" uri="{CE6537A1-D6FC-4f65-9D91-7224C49458BB}"/>
                <c:ext xmlns:c16="http://schemas.microsoft.com/office/drawing/2014/chart" uri="{C3380CC4-5D6E-409C-BE32-E72D297353CC}">
                  <c16:uniqueId val="{00000048-33AF-40F6-8EEC-EE469B4DB592}"/>
                </c:ext>
              </c:extLst>
            </c:dLbl>
            <c:dLbl>
              <c:idx val="10"/>
              <c:layout>
                <c:manualLayout>
                  <c:x val="1.509433962264151E-2"/>
                  <c:y val="2.56410256410256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27.7</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9-33AF-40F6-8EEC-EE469B4DB592}"/>
                </c:ext>
              </c:extLst>
            </c:dLbl>
            <c:dLbl>
              <c:idx val="11"/>
              <c:delete val="1"/>
              <c:extLst>
                <c:ext xmlns:c15="http://schemas.microsoft.com/office/drawing/2012/chart" uri="{CE6537A1-D6FC-4f65-9D91-7224C49458BB}"/>
                <c:ext xmlns:c16="http://schemas.microsoft.com/office/drawing/2014/chart" uri="{C3380CC4-5D6E-409C-BE32-E72D297353CC}">
                  <c16:uniqueId val="{0000004A-33AF-40F6-8EEC-EE469B4DB592}"/>
                </c:ext>
              </c:extLst>
            </c:dLbl>
            <c:dLbl>
              <c:idx val="12"/>
              <c:delete val="1"/>
              <c:extLst>
                <c:ext xmlns:c15="http://schemas.microsoft.com/office/drawing/2012/chart" uri="{CE6537A1-D6FC-4f65-9D91-7224C49458BB}"/>
                <c:ext xmlns:c16="http://schemas.microsoft.com/office/drawing/2014/chart" uri="{C3380CC4-5D6E-409C-BE32-E72D297353CC}">
                  <c16:uniqueId val="{0000004B-33AF-40F6-8EEC-EE469B4DB592}"/>
                </c:ext>
              </c:extLst>
            </c:dLbl>
            <c:dLbl>
              <c:idx val="13"/>
              <c:delete val="1"/>
              <c:extLst>
                <c:ext xmlns:c15="http://schemas.microsoft.com/office/drawing/2012/chart" uri="{CE6537A1-D6FC-4f65-9D91-7224C49458BB}"/>
                <c:ext xmlns:c16="http://schemas.microsoft.com/office/drawing/2014/chart" uri="{C3380CC4-5D6E-409C-BE32-E72D297353CC}">
                  <c16:uniqueId val="{0000004C-33AF-40F6-8EEC-EE469B4DB592}"/>
                </c:ext>
              </c:extLst>
            </c:dLbl>
            <c:dLbl>
              <c:idx val="14"/>
              <c:delete val="1"/>
              <c:extLst>
                <c:ext xmlns:c15="http://schemas.microsoft.com/office/drawing/2012/chart" uri="{CE6537A1-D6FC-4f65-9D91-7224C49458BB}"/>
                <c:ext xmlns:c16="http://schemas.microsoft.com/office/drawing/2014/chart" uri="{C3380CC4-5D6E-409C-BE32-E72D297353CC}">
                  <c16:uniqueId val="{0000004D-33AF-40F6-8EEC-EE469B4DB592}"/>
                </c:ext>
              </c:extLst>
            </c:dLbl>
            <c:dLbl>
              <c:idx val="15"/>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21.8</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E-33AF-40F6-8EEC-EE469B4DB592}"/>
                </c:ext>
              </c:extLst>
            </c:dLbl>
            <c:dLbl>
              <c:idx val="16"/>
              <c:delete val="1"/>
              <c:extLst>
                <c:ext xmlns:c15="http://schemas.microsoft.com/office/drawing/2012/chart" uri="{CE6537A1-D6FC-4f65-9D91-7224C49458BB}"/>
                <c:ext xmlns:c16="http://schemas.microsoft.com/office/drawing/2014/chart" uri="{C3380CC4-5D6E-409C-BE32-E72D297353CC}">
                  <c16:uniqueId val="{0000004F-33AF-40F6-8EEC-EE469B4DB592}"/>
                </c:ext>
              </c:extLst>
            </c:dLbl>
            <c:dLbl>
              <c:idx val="17"/>
              <c:delete val="1"/>
              <c:extLst>
                <c:ext xmlns:c15="http://schemas.microsoft.com/office/drawing/2012/chart" uri="{CE6537A1-D6FC-4f65-9D91-7224C49458BB}"/>
                <c:ext xmlns:c16="http://schemas.microsoft.com/office/drawing/2014/chart" uri="{C3380CC4-5D6E-409C-BE32-E72D297353CC}">
                  <c16:uniqueId val="{00000050-33AF-40F6-8EEC-EE469B4DB592}"/>
                </c:ext>
              </c:extLst>
            </c:dLbl>
            <c:dLbl>
              <c:idx val="18"/>
              <c:delete val="1"/>
              <c:extLst>
                <c:ext xmlns:c15="http://schemas.microsoft.com/office/drawing/2012/chart" uri="{CE6537A1-D6FC-4f65-9D91-7224C49458BB}"/>
                <c:ext xmlns:c16="http://schemas.microsoft.com/office/drawing/2014/chart" uri="{C3380CC4-5D6E-409C-BE32-E72D297353CC}">
                  <c16:uniqueId val="{00000051-33AF-40F6-8EEC-EE469B4DB592}"/>
                </c:ext>
              </c:extLst>
            </c:dLbl>
            <c:dLbl>
              <c:idx val="19"/>
              <c:layout>
                <c:manualLayout>
                  <c:x val="-4.5283018867924525E-2"/>
                  <c:y val="2.197802197802198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18.8</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2-33AF-40F6-8EEC-EE469B4DB592}"/>
                </c:ext>
              </c:extLst>
            </c:dLbl>
            <c:spPr>
              <a:solidFill>
                <a:srgbClr val="00B05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'R&amp;D expenditures graph'!$B$4:$U$4</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graph'!$B$8:$U$8</c:f>
              <c:numCache>
                <c:formatCode>General</c:formatCode>
                <c:ptCount val="20"/>
                <c:pt idx="0">
                  <c:v>38.75</c:v>
                </c:pt>
                <c:pt idx="1">
                  <c:v>36.89</c:v>
                </c:pt>
                <c:pt idx="2">
                  <c:v>35.094999999999999</c:v>
                </c:pt>
                <c:pt idx="3">
                  <c:v>34.322000000000003</c:v>
                </c:pt>
                <c:pt idx="4">
                  <c:v>33.344999999999999</c:v>
                </c:pt>
                <c:pt idx="5">
                  <c:v>32.960799999999999</c:v>
                </c:pt>
                <c:pt idx="6">
                  <c:v>30.492000000000001</c:v>
                </c:pt>
                <c:pt idx="7">
                  <c:v>30.132999999999999</c:v>
                </c:pt>
                <c:pt idx="8">
                  <c:v>30.236000000000001</c:v>
                </c:pt>
                <c:pt idx="9">
                  <c:v>29.077999999999999</c:v>
                </c:pt>
                <c:pt idx="10">
                  <c:v>27.773</c:v>
                </c:pt>
                <c:pt idx="11">
                  <c:v>27.001000000000001</c:v>
                </c:pt>
                <c:pt idx="12">
                  <c:v>26.030999999999999</c:v>
                </c:pt>
                <c:pt idx="13">
                  <c:v>26.672000000000001</c:v>
                </c:pt>
                <c:pt idx="14">
                  <c:v>25.013000000000002</c:v>
                </c:pt>
                <c:pt idx="15">
                  <c:v>21.873000000000001</c:v>
                </c:pt>
                <c:pt idx="16">
                  <c:v>21.103000000000002</c:v>
                </c:pt>
                <c:pt idx="17">
                  <c:v>20.323</c:v>
                </c:pt>
                <c:pt idx="18">
                  <c:v>20.224</c:v>
                </c:pt>
                <c:pt idx="19">
                  <c:v>18.882000000000001</c:v>
                </c:pt>
              </c:numCache>
            </c:numRef>
          </c:val>
          <c:smooth val="0"/>
          <c:extLst>
            <c:ext xmlns:c16="http://schemas.microsoft.com/office/drawing/2014/chart" uri="{C3380CC4-5D6E-409C-BE32-E72D297353CC}">
              <c16:uniqueId val="{00000053-33AF-40F6-8EEC-EE469B4DB592}"/>
            </c:ext>
          </c:extLst>
        </c:ser>
        <c:dLbls>
          <c:showLegendKey val="0"/>
          <c:showVal val="0"/>
          <c:showCatName val="0"/>
          <c:showSerName val="0"/>
          <c:showPercent val="0"/>
          <c:showBubbleSize val="0"/>
        </c:dLbls>
        <c:smooth val="0"/>
        <c:axId val="353685840"/>
        <c:axId val="353690416"/>
      </c:lineChart>
      <c:catAx>
        <c:axId val="353685840"/>
        <c:scaling>
          <c:orientation val="maxMin"/>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3690416"/>
        <c:crosses val="autoZero"/>
        <c:auto val="1"/>
        <c:lblAlgn val="ctr"/>
        <c:lblOffset val="100"/>
        <c:noMultiLvlLbl val="0"/>
      </c:catAx>
      <c:valAx>
        <c:axId val="353690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R&amp;D expenditure (</a:t>
                </a:r>
                <a:r>
                  <a:rPr lang="en-GB"/>
                  <a:t>€ billions)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3685840"/>
        <c:crosses val="max"/>
        <c:crossBetween val="between"/>
        <c:majorUnit val="5"/>
      </c:valAx>
      <c:spPr>
        <a:noFill/>
        <a:ln>
          <a:noFill/>
        </a:ln>
        <a:effectLst/>
      </c:spPr>
    </c:plotArea>
    <c:legend>
      <c:legendPos val="b"/>
      <c:layout>
        <c:manualLayout>
          <c:xMode val="edge"/>
          <c:yMode val="edge"/>
          <c:x val="4.9999945944965485E-2"/>
          <c:y val="0.91020247293234502"/>
          <c:w val="0.89999998798777014"/>
          <c:h val="7.43485424734554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2094785321647"/>
          <c:y val="4.5881126173096975E-2"/>
          <c:w val="0.85517753677016783"/>
          <c:h val="0.63596339910787614"/>
        </c:manualLayout>
      </c:layout>
      <c:barChart>
        <c:barDir val="col"/>
        <c:grouping val="clustered"/>
        <c:varyColors val="0"/>
        <c:ser>
          <c:idx val="0"/>
          <c:order val="0"/>
          <c:tx>
            <c:strRef>
              <c:f>US!$F$1</c:f>
              <c:strCache>
                <c:ptCount val="1"/>
                <c:pt idx="0">
                  <c:v>NIH spending per capita, 2021 ($)</c:v>
                </c:pt>
              </c:strCache>
            </c:strRef>
          </c:tx>
          <c:spPr>
            <a:solidFill>
              <a:schemeClr val="accent1"/>
            </a:solidFill>
            <a:ln>
              <a:noFill/>
            </a:ln>
            <a:effectLst/>
          </c:spPr>
          <c:invertIfNegative val="0"/>
          <c:cat>
            <c:strRef>
              <c:f>US!$A$2:$A$52</c:f>
              <c:strCache>
                <c:ptCount val="35"/>
                <c:pt idx="0">
                  <c:v>Massachusetts</c:v>
                </c:pt>
                <c:pt idx="1">
                  <c:v>Maryland</c:v>
                </c:pt>
                <c:pt idx="2">
                  <c:v>District Of Columbia</c:v>
                </c:pt>
                <c:pt idx="3">
                  <c:v>North Carolina</c:v>
                </c:pt>
                <c:pt idx="4">
                  <c:v>Rhode Island</c:v>
                </c:pt>
                <c:pt idx="5">
                  <c:v>Connecticut</c:v>
                </c:pt>
                <c:pt idx="6">
                  <c:v>New York</c:v>
                </c:pt>
                <c:pt idx="7">
                  <c:v>Washington</c:v>
                </c:pt>
                <c:pt idx="8">
                  <c:v>Pennsylvania</c:v>
                </c:pt>
                <c:pt idx="9">
                  <c:v>California</c:v>
                </c:pt>
                <c:pt idx="10">
                  <c:v>Missouri</c:v>
                </c:pt>
                <c:pt idx="11">
                  <c:v>Minnesota</c:v>
                </c:pt>
                <c:pt idx="12">
                  <c:v>Vermont</c:v>
                </c:pt>
                <c:pt idx="13">
                  <c:v>Tennessee</c:v>
                </c:pt>
                <c:pt idx="14">
                  <c:v>Wisconsin</c:v>
                </c:pt>
                <c:pt idx="15">
                  <c:v>Oregon</c:v>
                </c:pt>
                <c:pt idx="16">
                  <c:v>Colorado</c:v>
                </c:pt>
                <c:pt idx="17">
                  <c:v>Delaware</c:v>
                </c:pt>
                <c:pt idx="18">
                  <c:v>Illinois</c:v>
                </c:pt>
                <c:pt idx="19">
                  <c:v>Michigan</c:v>
                </c:pt>
                <c:pt idx="20">
                  <c:v>New Hampshire</c:v>
                </c:pt>
                <c:pt idx="21">
                  <c:v>Maine</c:v>
                </c:pt>
                <c:pt idx="22">
                  <c:v>Utah</c:v>
                </c:pt>
                <c:pt idx="23">
                  <c:v>Ohio</c:v>
                </c:pt>
                <c:pt idx="24">
                  <c:v>Alabama</c:v>
                </c:pt>
                <c:pt idx="25">
                  <c:v>Nebraska</c:v>
                </c:pt>
                <c:pt idx="26">
                  <c:v>Georgia</c:v>
                </c:pt>
                <c:pt idx="27">
                  <c:v>Iowa</c:v>
                </c:pt>
                <c:pt idx="28">
                  <c:v>Virginia</c:v>
                </c:pt>
                <c:pt idx="29">
                  <c:v>Kentucky</c:v>
                </c:pt>
                <c:pt idx="30">
                  <c:v>Texas</c:v>
                </c:pt>
                <c:pt idx="31">
                  <c:v>New Mexico</c:v>
                </c:pt>
                <c:pt idx="32">
                  <c:v>Indiana</c:v>
                </c:pt>
                <c:pt idx="33">
                  <c:v>Louisiana</c:v>
                </c:pt>
                <c:pt idx="34">
                  <c:v>Montana</c:v>
                </c:pt>
              </c:strCache>
              <c:extLst/>
            </c:strRef>
          </c:cat>
          <c:val>
            <c:numRef>
              <c:f>US!$F$2:$F$52</c:f>
              <c:numCache>
                <c:formatCode>0</c:formatCode>
                <c:ptCount val="35"/>
                <c:pt idx="0">
                  <c:v>476.5083767817278</c:v>
                </c:pt>
                <c:pt idx="1">
                  <c:v>384.83193425474144</c:v>
                </c:pt>
                <c:pt idx="2">
                  <c:v>363.42561898365796</c:v>
                </c:pt>
                <c:pt idx="3">
                  <c:v>228.55733169484083</c:v>
                </c:pt>
                <c:pt idx="4">
                  <c:v>226.33742846450835</c:v>
                </c:pt>
                <c:pt idx="5">
                  <c:v>191.88723836856974</c:v>
                </c:pt>
                <c:pt idx="6">
                  <c:v>184.635832139413</c:v>
                </c:pt>
                <c:pt idx="7">
                  <c:v>183.54021596931366</c:v>
                </c:pt>
                <c:pt idx="8">
                  <c:v>159.60691206517467</c:v>
                </c:pt>
                <c:pt idx="9">
                  <c:v>130.81164843035685</c:v>
                </c:pt>
                <c:pt idx="10">
                  <c:v>127.37302030564248</c:v>
                </c:pt>
                <c:pt idx="11">
                  <c:v>112.9270512440888</c:v>
                </c:pt>
                <c:pt idx="12">
                  <c:v>102.7796675805877</c:v>
                </c:pt>
                <c:pt idx="13">
                  <c:v>97.125906315759593</c:v>
                </c:pt>
                <c:pt idx="14">
                  <c:v>94.863663917415266</c:v>
                </c:pt>
                <c:pt idx="15">
                  <c:v>94.094164956295756</c:v>
                </c:pt>
                <c:pt idx="16">
                  <c:v>90.35246467307941</c:v>
                </c:pt>
                <c:pt idx="17">
                  <c:v>89.234000143514351</c:v>
                </c:pt>
                <c:pt idx="18">
                  <c:v>88.150274447264167</c:v>
                </c:pt>
                <c:pt idx="19">
                  <c:v>87.89541261894189</c:v>
                </c:pt>
                <c:pt idx="20">
                  <c:v>83.125428368197944</c:v>
                </c:pt>
                <c:pt idx="21">
                  <c:v>79.908017288432774</c:v>
                </c:pt>
                <c:pt idx="22">
                  <c:v>78.063219766475186</c:v>
                </c:pt>
                <c:pt idx="23">
                  <c:v>77.784851668720009</c:v>
                </c:pt>
                <c:pt idx="24">
                  <c:v>76.947630071130703</c:v>
                </c:pt>
                <c:pt idx="25">
                  <c:v>69.69357363578402</c:v>
                </c:pt>
                <c:pt idx="26">
                  <c:v>69.221952252525696</c:v>
                </c:pt>
                <c:pt idx="27">
                  <c:v>67.129805432311571</c:v>
                </c:pt>
                <c:pt idx="28">
                  <c:v>62.485594647890125</c:v>
                </c:pt>
                <c:pt idx="29">
                  <c:v>56.655948227189732</c:v>
                </c:pt>
                <c:pt idx="30">
                  <c:v>55.670378608518625</c:v>
                </c:pt>
                <c:pt idx="31">
                  <c:v>55.605907148666958</c:v>
                </c:pt>
                <c:pt idx="32">
                  <c:v>53.988512904451007</c:v>
                </c:pt>
                <c:pt idx="33">
                  <c:v>44.547788117205556</c:v>
                </c:pt>
                <c:pt idx="34">
                  <c:v>43.34302268193224</c:v>
                </c:pt>
              </c:numCache>
              <c:extLst/>
            </c:numRef>
          </c:val>
          <c:extLst>
            <c:ext xmlns:c16="http://schemas.microsoft.com/office/drawing/2014/chart" uri="{C3380CC4-5D6E-409C-BE32-E72D297353CC}">
              <c16:uniqueId val="{00000000-DA2C-4CB9-BDBC-21243BE778E7}"/>
            </c:ext>
          </c:extLst>
        </c:ser>
        <c:dLbls>
          <c:showLegendKey val="0"/>
          <c:showVal val="0"/>
          <c:showCatName val="0"/>
          <c:showSerName val="0"/>
          <c:showPercent val="0"/>
          <c:showBubbleSize val="0"/>
        </c:dLbls>
        <c:gapWidth val="219"/>
        <c:overlap val="-27"/>
        <c:axId val="2046094831"/>
        <c:axId val="2046098575"/>
      </c:barChart>
      <c:catAx>
        <c:axId val="204609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046098575"/>
        <c:crosses val="autoZero"/>
        <c:auto val="1"/>
        <c:lblAlgn val="ctr"/>
        <c:lblOffset val="100"/>
        <c:noMultiLvlLbl val="0"/>
      </c:catAx>
      <c:valAx>
        <c:axId val="2046098575"/>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NIH spending per capita,</a:t>
                </a:r>
                <a:r>
                  <a:rPr lang="en-US" baseline="0"/>
                  <a:t> 2021 ($)</a:t>
                </a:r>
                <a:endParaRPr lang="en-US"/>
              </a:p>
            </c:rich>
          </c:tx>
          <c:layout>
            <c:manualLayout>
              <c:xMode val="edge"/>
              <c:yMode val="edge"/>
              <c:x val="1.509433962264151E-2"/>
              <c:y val="0.118257396964580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046094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Europe!$H$1</c:f>
              <c:strCache>
                <c:ptCount val="1"/>
                <c:pt idx="0">
                  <c:v>H2020 spend per capita</c:v>
                </c:pt>
              </c:strCache>
            </c:strRef>
          </c:tx>
          <c:spPr>
            <a:solidFill>
              <a:schemeClr val="accent1"/>
            </a:solidFill>
            <a:ln>
              <a:noFill/>
            </a:ln>
            <a:effectLst/>
          </c:spPr>
          <c:invertIfNegative val="0"/>
          <c:cat>
            <c:strRef>
              <c:f>Europe!$A$2:$A$30</c:f>
              <c:strCache>
                <c:ptCount val="29"/>
                <c:pt idx="0">
                  <c:v>Cyprus</c:v>
                </c:pt>
                <c:pt idx="1">
                  <c:v>Luxembourg</c:v>
                </c:pt>
                <c:pt idx="2">
                  <c:v>Netherlands</c:v>
                </c:pt>
                <c:pt idx="3">
                  <c:v>Denmark</c:v>
                </c:pt>
                <c:pt idx="4">
                  <c:v>Belgium</c:v>
                </c:pt>
                <c:pt idx="5">
                  <c:v>Finland</c:v>
                </c:pt>
                <c:pt idx="6">
                  <c:v>Switzerland</c:v>
                </c:pt>
                <c:pt idx="7">
                  <c:v>Ireland</c:v>
                </c:pt>
                <c:pt idx="8">
                  <c:v>Sweden </c:v>
                </c:pt>
                <c:pt idx="9">
                  <c:v>Austria</c:v>
                </c:pt>
                <c:pt idx="10">
                  <c:v>Estonia</c:v>
                </c:pt>
                <c:pt idx="11">
                  <c:v>Slovenia</c:v>
                </c:pt>
                <c:pt idx="12">
                  <c:v>Greece</c:v>
                </c:pt>
                <c:pt idx="13">
                  <c:v>Spain</c:v>
                </c:pt>
                <c:pt idx="14">
                  <c:v>Germany </c:v>
                </c:pt>
                <c:pt idx="15">
                  <c:v>United Kingdom</c:v>
                </c:pt>
                <c:pt idx="16">
                  <c:v>Portugal</c:v>
                </c:pt>
                <c:pt idx="17">
                  <c:v>France</c:v>
                </c:pt>
                <c:pt idx="18">
                  <c:v>Italy</c:v>
                </c:pt>
                <c:pt idx="19">
                  <c:v>Malta</c:v>
                </c:pt>
                <c:pt idx="20">
                  <c:v>Latvia</c:v>
                </c:pt>
                <c:pt idx="21">
                  <c:v>Czech Republic</c:v>
                </c:pt>
                <c:pt idx="22">
                  <c:v>Hungary</c:v>
                </c:pt>
                <c:pt idx="23">
                  <c:v>Lithuania</c:v>
                </c:pt>
                <c:pt idx="24">
                  <c:v>Croatia</c:v>
                </c:pt>
                <c:pt idx="25">
                  <c:v>Slovakia</c:v>
                </c:pt>
                <c:pt idx="26">
                  <c:v>Bulgaria</c:v>
                </c:pt>
                <c:pt idx="27">
                  <c:v>Poland </c:v>
                </c:pt>
                <c:pt idx="28">
                  <c:v>Romania </c:v>
                </c:pt>
              </c:strCache>
            </c:strRef>
          </c:cat>
          <c:val>
            <c:numRef>
              <c:f>Europe!$H$2:$H$30</c:f>
              <c:numCache>
                <c:formatCode>0</c:formatCode>
                <c:ptCount val="29"/>
                <c:pt idx="0">
                  <c:v>356.02678571428572</c:v>
                </c:pt>
                <c:pt idx="1">
                  <c:v>315.78265942682287</c:v>
                </c:pt>
                <c:pt idx="2">
                  <c:v>305.99199311489633</c:v>
                </c:pt>
                <c:pt idx="3">
                  <c:v>301.68585828683916</c:v>
                </c:pt>
                <c:pt idx="4">
                  <c:v>293.96402796773759</c:v>
                </c:pt>
                <c:pt idx="5">
                  <c:v>278.60731800112637</c:v>
                </c:pt>
                <c:pt idx="6">
                  <c:v>276.37096489861278</c:v>
                </c:pt>
                <c:pt idx="7">
                  <c:v>241.69430504298163</c:v>
                </c:pt>
                <c:pt idx="8">
                  <c:v>223.72227579556412</c:v>
                </c:pt>
                <c:pt idx="9">
                  <c:v>218.46291732018821</c:v>
                </c:pt>
                <c:pt idx="10">
                  <c:v>205.2526637735815</c:v>
                </c:pt>
                <c:pt idx="11">
                  <c:v>179.70798164228438</c:v>
                </c:pt>
                <c:pt idx="12">
                  <c:v>160.07418455542484</c:v>
                </c:pt>
                <c:pt idx="13">
                  <c:v>134.61556274485184</c:v>
                </c:pt>
                <c:pt idx="14">
                  <c:v>121.63061540038488</c:v>
                </c:pt>
                <c:pt idx="15">
                  <c:v>114.47544308040659</c:v>
                </c:pt>
                <c:pt idx="16">
                  <c:v>111.66943671605628</c:v>
                </c:pt>
                <c:pt idx="17">
                  <c:v>110.4691969322363</c:v>
                </c:pt>
                <c:pt idx="18">
                  <c:v>95.051400255800189</c:v>
                </c:pt>
                <c:pt idx="19">
                  <c:v>71.691532648711487</c:v>
                </c:pt>
                <c:pt idx="20">
                  <c:v>61.271176190020931</c:v>
                </c:pt>
                <c:pt idx="21">
                  <c:v>48.325383602828516</c:v>
                </c:pt>
                <c:pt idx="22">
                  <c:v>38.126471363217632</c:v>
                </c:pt>
                <c:pt idx="23">
                  <c:v>33.980999255994966</c:v>
                </c:pt>
                <c:pt idx="24">
                  <c:v>33.941514064050359</c:v>
                </c:pt>
                <c:pt idx="25">
                  <c:v>24.909424022685158</c:v>
                </c:pt>
                <c:pt idx="26">
                  <c:v>23.277507797242208</c:v>
                </c:pt>
                <c:pt idx="27">
                  <c:v>19.714587216844947</c:v>
                </c:pt>
                <c:pt idx="28">
                  <c:v>15.636237731482121</c:v>
                </c:pt>
              </c:numCache>
            </c:numRef>
          </c:val>
          <c:extLst>
            <c:ext xmlns:c16="http://schemas.microsoft.com/office/drawing/2014/chart" uri="{C3380CC4-5D6E-409C-BE32-E72D297353CC}">
              <c16:uniqueId val="{00000000-9942-41E6-9AED-46D655570438}"/>
            </c:ext>
          </c:extLst>
        </c:ser>
        <c:dLbls>
          <c:showLegendKey val="0"/>
          <c:showVal val="0"/>
          <c:showCatName val="0"/>
          <c:showSerName val="0"/>
          <c:showPercent val="0"/>
          <c:showBubbleSize val="0"/>
        </c:dLbls>
        <c:gapWidth val="219"/>
        <c:overlap val="-27"/>
        <c:axId val="313881952"/>
        <c:axId val="313880288"/>
      </c:barChart>
      <c:catAx>
        <c:axId val="31388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13880288"/>
        <c:crosses val="autoZero"/>
        <c:auto val="1"/>
        <c:lblAlgn val="ctr"/>
        <c:lblOffset val="100"/>
        <c:noMultiLvlLbl val="0"/>
      </c:catAx>
      <c:valAx>
        <c:axId val="31388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Horizon</a:t>
                </a:r>
                <a:r>
                  <a:rPr lang="en-US" baseline="0"/>
                  <a:t> 2020 spend per capita (EUR)</a:t>
                </a:r>
                <a:endParaRPr lang="en-US"/>
              </a:p>
            </c:rich>
          </c:tx>
          <c:layout>
            <c:manualLayout>
              <c:xMode val="edge"/>
              <c:yMode val="edge"/>
              <c:x val="2.0125786163522012E-2"/>
              <c:y val="2.110261144816671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1388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8600174978127"/>
          <c:y val="5.5671537926235214E-2"/>
          <c:w val="0.84294643725089924"/>
          <c:h val="0.72183445754040665"/>
        </c:manualLayout>
      </c:layout>
      <c:barChart>
        <c:barDir val="col"/>
        <c:grouping val="stacked"/>
        <c:varyColors val="0"/>
        <c:ser>
          <c:idx val="0"/>
          <c:order val="0"/>
          <c:tx>
            <c:strRef>
              <c:f>'R&amp;D expenditures graph'!$A$11</c:f>
              <c:strCache>
                <c:ptCount val="1"/>
                <c:pt idx="0">
                  <c:v>US %</c:v>
                </c:pt>
              </c:strCache>
            </c:strRef>
          </c:tx>
          <c:spPr>
            <a:solidFill>
              <a:schemeClr val="bg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'R&amp;D expenditures graph'!$B$5:$U$5</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graph'!$B$11:$U$11</c:f>
              <c:numCache>
                <c:formatCode>0%</c:formatCode>
                <c:ptCount val="20"/>
                <c:pt idx="0">
                  <c:v>0.51590888207920582</c:v>
                </c:pt>
                <c:pt idx="1">
                  <c:v>0.50353844259413316</c:v>
                </c:pt>
                <c:pt idx="2">
                  <c:v>0.50248943274234781</c:v>
                </c:pt>
                <c:pt idx="3">
                  <c:v>0.47913000484392859</c:v>
                </c:pt>
                <c:pt idx="4">
                  <c:v>0.47571357971369149</c:v>
                </c:pt>
                <c:pt idx="5">
                  <c:v>0.45492400250535237</c:v>
                </c:pt>
                <c:pt idx="6">
                  <c:v>0.42801594946746446</c:v>
                </c:pt>
                <c:pt idx="7">
                  <c:v>0.43314168877318976</c:v>
                </c:pt>
                <c:pt idx="8">
                  <c:v>0.4246376152440815</c:v>
                </c:pt>
                <c:pt idx="9">
                  <c:v>0.43240627234295664</c:v>
                </c:pt>
                <c:pt idx="10">
                  <c:v>0.47260957309416329</c:v>
                </c:pt>
                <c:pt idx="11">
                  <c:v>0.44881966654969796</c:v>
                </c:pt>
                <c:pt idx="12">
                  <c:v>0.45289753083543727</c:v>
                </c:pt>
                <c:pt idx="13">
                  <c:v>0.45917973466659612</c:v>
                </c:pt>
                <c:pt idx="14">
                  <c:v>0.45748570123074217</c:v>
                </c:pt>
                <c:pt idx="15">
                  <c:v>0.46705068362265784</c:v>
                </c:pt>
                <c:pt idx="16">
                  <c:v>0.47270214404406069</c:v>
                </c:pt>
                <c:pt idx="17">
                  <c:v>0.45964655912516394</c:v>
                </c:pt>
                <c:pt idx="18">
                  <c:v>0.44171718857333736</c:v>
                </c:pt>
                <c:pt idx="19">
                  <c:v>0.44417721482383132</c:v>
                </c:pt>
              </c:numCache>
            </c:numRef>
          </c:val>
          <c:extLst>
            <c:ext xmlns:c16="http://schemas.microsoft.com/office/drawing/2014/chart" uri="{C3380CC4-5D6E-409C-BE32-E72D297353CC}">
              <c16:uniqueId val="{00000000-52B9-4BCB-9151-04EA5F1ADE78}"/>
            </c:ext>
          </c:extLst>
        </c:ser>
        <c:ser>
          <c:idx val="1"/>
          <c:order val="1"/>
          <c:tx>
            <c:strRef>
              <c:f>'R&amp;D expenditures graph'!$A$12</c:f>
              <c:strCache>
                <c:ptCount val="1"/>
                <c:pt idx="0">
                  <c:v>China %</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'R&amp;D expenditures graph'!$B$5:$U$5</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graph'!$B$12:$U$12</c:f>
              <c:numCache>
                <c:formatCode>0%</c:formatCode>
                <c:ptCount val="20"/>
                <c:pt idx="0">
                  <c:v>8.1029686653616137E-2</c:v>
                </c:pt>
                <c:pt idx="1">
                  <c:v>6.9133613312463121E-2</c:v>
                </c:pt>
                <c:pt idx="2">
                  <c:v>6.8002566542964896E-2</c:v>
                </c:pt>
                <c:pt idx="3">
                  <c:v>6.6541142067919473E-2</c:v>
                </c:pt>
                <c:pt idx="4">
                  <c:v>6.4259598387164038E-2</c:v>
                </c:pt>
                <c:pt idx="5">
                  <c:v>6.0509501830769689E-2</c:v>
                </c:pt>
                <c:pt idx="6">
                  <c:v>5.9445608316167971E-2</c:v>
                </c:pt>
                <c:pt idx="7">
                  <c:v>5.4035114367445056E-2</c:v>
                </c:pt>
                <c:pt idx="8">
                  <c:v>4.649001504966032E-2</c:v>
                </c:pt>
                <c:pt idx="9">
                  <c:v>3.6402415495467952E-2</c:v>
                </c:pt>
                <c:pt idx="10">
                  <c:v>2.0646858099345324E-2</c:v>
                </c:pt>
                <c:pt idx="11">
                  <c:v>1.83315861554165E-2</c:v>
                </c:pt>
                <c:pt idx="12">
                  <c:v>1.4596485490594125E-2</c:v>
                </c:pt>
                <c:pt idx="13">
                  <c:v>1.1978843331842882E-2</c:v>
                </c:pt>
                <c:pt idx="14">
                  <c:v>1.026623635148464E-2</c:v>
                </c:pt>
                <c:pt idx="15">
                  <c:v>8.7337364601438334E-3</c:v>
                </c:pt>
                <c:pt idx="16">
                  <c:v>6.5334766285859575E-3</c:v>
                </c:pt>
                <c:pt idx="17">
                  <c:v>6.1398458864503043E-3</c:v>
                </c:pt>
                <c:pt idx="18">
                  <c:v>5.4157663028081057E-3</c:v>
                </c:pt>
                <c:pt idx="19">
                  <c:v>5.2749341557010053E-3</c:v>
                </c:pt>
              </c:numCache>
            </c:numRef>
          </c:val>
          <c:extLst>
            <c:ext xmlns:c16="http://schemas.microsoft.com/office/drawing/2014/chart" uri="{C3380CC4-5D6E-409C-BE32-E72D297353CC}">
              <c16:uniqueId val="{00000001-52B9-4BCB-9151-04EA5F1ADE78}"/>
            </c:ext>
          </c:extLst>
        </c:ser>
        <c:ser>
          <c:idx val="2"/>
          <c:order val="2"/>
          <c:tx>
            <c:strRef>
              <c:f>'R&amp;D expenditures graph'!$A$13</c:f>
              <c:strCache>
                <c:ptCount val="1"/>
                <c:pt idx="0">
                  <c:v>Japan %</c:v>
                </c:pt>
              </c:strCache>
            </c:strRef>
          </c:tx>
          <c:spPr>
            <a:solidFill>
              <a:srgbClr val="0070C0"/>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'R&amp;D expenditures graph'!$B$5:$U$5</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graph'!$B$13:$U$13</c:f>
              <c:numCache>
                <c:formatCode>0%</c:formatCode>
                <c:ptCount val="20"/>
                <c:pt idx="0">
                  <c:v>8.8196989883838353E-2</c:v>
                </c:pt>
                <c:pt idx="1">
                  <c:v>9.8146349854279127E-2</c:v>
                </c:pt>
                <c:pt idx="2">
                  <c:v>0.10626114064258191</c:v>
                </c:pt>
                <c:pt idx="3">
                  <c:v>0.11794729059107721</c:v>
                </c:pt>
                <c:pt idx="4">
                  <c:v>0.11489562694813761</c:v>
                </c:pt>
                <c:pt idx="5">
                  <c:v>0.12910973971668041</c:v>
                </c:pt>
                <c:pt idx="6">
                  <c:v>0.14715936850431011</c:v>
                </c:pt>
                <c:pt idx="7">
                  <c:v>0.14433460967178841</c:v>
                </c:pt>
                <c:pt idx="8">
                  <c:v>0.13849604854565353</c:v>
                </c:pt>
                <c:pt idx="9">
                  <c:v>0.13695168208401609</c:v>
                </c:pt>
                <c:pt idx="10">
                  <c:v>0.13882818610385841</c:v>
                </c:pt>
                <c:pt idx="11">
                  <c:v>0.14193706420625535</c:v>
                </c:pt>
                <c:pt idx="12">
                  <c:v>0.15451315751462516</c:v>
                </c:pt>
                <c:pt idx="13">
                  <c:v>0.14729481567348976</c:v>
                </c:pt>
                <c:pt idx="14">
                  <c:v>0.1480416071223121</c:v>
                </c:pt>
                <c:pt idx="15">
                  <c:v>0.14800133904426491</c:v>
                </c:pt>
                <c:pt idx="16">
                  <c:v>0.1358328295982795</c:v>
                </c:pt>
                <c:pt idx="17">
                  <c:v>0.14057701338955539</c:v>
                </c:pt>
                <c:pt idx="18">
                  <c:v>0.15574162065226874</c:v>
                </c:pt>
                <c:pt idx="19">
                  <c:v>0.14355245556561153</c:v>
                </c:pt>
              </c:numCache>
            </c:numRef>
          </c:val>
          <c:extLst>
            <c:ext xmlns:c16="http://schemas.microsoft.com/office/drawing/2014/chart" uri="{C3380CC4-5D6E-409C-BE32-E72D297353CC}">
              <c16:uniqueId val="{00000002-52B9-4BCB-9151-04EA5F1ADE78}"/>
            </c:ext>
          </c:extLst>
        </c:ser>
        <c:ser>
          <c:idx val="3"/>
          <c:order val="3"/>
          <c:tx>
            <c:strRef>
              <c:f>'R&amp;D expenditures graph'!$A$14</c:f>
              <c:strCache>
                <c:ptCount val="1"/>
                <c:pt idx="0">
                  <c:v>EU + UK, CH %</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'R&amp;D expenditures graph'!$B$5:$U$5</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'R&amp;D expenditures graph'!$B$14:$U$14</c:f>
              <c:numCache>
                <c:formatCode>0%</c:formatCode>
                <c:ptCount val="20"/>
                <c:pt idx="0">
                  <c:v>0.31486444138333958</c:v>
                </c:pt>
                <c:pt idx="1">
                  <c:v>0.32918159423912452</c:v>
                </c:pt>
                <c:pt idx="2">
                  <c:v>0.32324686007210546</c:v>
                </c:pt>
                <c:pt idx="3">
                  <c:v>0.33638156249707474</c:v>
                </c:pt>
                <c:pt idx="4">
                  <c:v>0.34513119495100686</c:v>
                </c:pt>
                <c:pt idx="5">
                  <c:v>0.3554567559471975</c:v>
                </c:pt>
                <c:pt idx="6">
                  <c:v>0.36537907371205736</c:v>
                </c:pt>
                <c:pt idx="7">
                  <c:v>0.36848858718757671</c:v>
                </c:pt>
                <c:pt idx="8">
                  <c:v>0.39037632116060456</c:v>
                </c:pt>
                <c:pt idx="9">
                  <c:v>0.39423963007755924</c:v>
                </c:pt>
                <c:pt idx="10">
                  <c:v>0.36791538270263291</c:v>
                </c:pt>
                <c:pt idx="11">
                  <c:v>0.39091168308863028</c:v>
                </c:pt>
                <c:pt idx="12">
                  <c:v>0.37799282615934332</c:v>
                </c:pt>
                <c:pt idx="13">
                  <c:v>0.38154660632807125</c:v>
                </c:pt>
                <c:pt idx="14">
                  <c:v>0.38420645529546105</c:v>
                </c:pt>
                <c:pt idx="15">
                  <c:v>0.37621424087293343</c:v>
                </c:pt>
                <c:pt idx="16">
                  <c:v>0.3849315497290739</c:v>
                </c:pt>
                <c:pt idx="17">
                  <c:v>0.39363658159883036</c:v>
                </c:pt>
                <c:pt idx="18">
                  <c:v>0.39712542447158572</c:v>
                </c:pt>
                <c:pt idx="19">
                  <c:v>0.40699539545485602</c:v>
                </c:pt>
              </c:numCache>
            </c:numRef>
          </c:val>
          <c:extLst>
            <c:ext xmlns:c16="http://schemas.microsoft.com/office/drawing/2014/chart" uri="{C3380CC4-5D6E-409C-BE32-E72D297353CC}">
              <c16:uniqueId val="{00000003-52B9-4BCB-9151-04EA5F1ADE78}"/>
            </c:ext>
          </c:extLst>
        </c:ser>
        <c:dLbls>
          <c:showLegendKey val="0"/>
          <c:showVal val="0"/>
          <c:showCatName val="0"/>
          <c:showSerName val="0"/>
          <c:showPercent val="0"/>
          <c:showBubbleSize val="0"/>
        </c:dLbls>
        <c:gapWidth val="60"/>
        <c:overlap val="100"/>
        <c:axId val="74622991"/>
        <c:axId val="74626735"/>
      </c:barChart>
      <c:catAx>
        <c:axId val="7462299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4626735"/>
        <c:crosses val="autoZero"/>
        <c:auto val="1"/>
        <c:lblAlgn val="ctr"/>
        <c:lblOffset val="100"/>
        <c:noMultiLvlLbl val="0"/>
      </c:catAx>
      <c:valAx>
        <c:axId val="74626735"/>
        <c:scaling>
          <c:orientation val="minMax"/>
          <c:max val="1"/>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Percentage of R&amp;D investments </a:t>
                </a:r>
              </a:p>
            </c:rich>
          </c:tx>
          <c:layout>
            <c:manualLayout>
              <c:xMode val="edge"/>
              <c:yMode val="edge"/>
              <c:x val="1.9628657528919994E-3"/>
              <c:y val="0.146651397176605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4622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126931261734"/>
          <c:y val="9.9579522256687605E-2"/>
          <c:w val="0.78354610473728781"/>
          <c:h val="0.6974228726459698"/>
        </c:manualLayout>
      </c:layout>
      <c:lineChart>
        <c:grouping val="standard"/>
        <c:varyColors val="0"/>
        <c:ser>
          <c:idx val="1"/>
          <c:order val="1"/>
          <c:tx>
            <c:strRef>
              <c:f>'Mnf &amp; R&amp;D Employees Graph'!$A$40</c:f>
              <c:strCache>
                <c:ptCount val="1"/>
                <c:pt idx="0">
                  <c:v>EU + UK, CH</c:v>
                </c:pt>
              </c:strCache>
            </c:strRef>
          </c:tx>
          <c:spPr>
            <a:ln w="19050" cap="rnd">
              <a:solidFill>
                <a:srgbClr val="00B050"/>
              </a:solidFill>
              <a:round/>
            </a:ln>
            <a:effectLst/>
          </c:spPr>
          <c:marker>
            <c:symbol val="none"/>
          </c:marker>
          <c:dLbls>
            <c:dLbl>
              <c:idx val="0"/>
              <c:layout>
                <c:manualLayout>
                  <c:x val="-2.1126756658394023E-2"/>
                  <c:y val="4.8611805351036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83-4B04-9D8F-73CAC30E5004}"/>
                </c:ext>
              </c:extLst>
            </c:dLbl>
            <c:dLbl>
              <c:idx val="1"/>
              <c:delete val="1"/>
              <c:extLst>
                <c:ext xmlns:c15="http://schemas.microsoft.com/office/drawing/2012/chart" uri="{CE6537A1-D6FC-4f65-9D91-7224C49458BB}"/>
                <c:ext xmlns:c16="http://schemas.microsoft.com/office/drawing/2014/chart" uri="{C3380CC4-5D6E-409C-BE32-E72D297353CC}">
                  <c16:uniqueId val="{00000001-8383-4B04-9D8F-73CAC30E5004}"/>
                </c:ext>
              </c:extLst>
            </c:dLbl>
            <c:dLbl>
              <c:idx val="2"/>
              <c:delete val="1"/>
              <c:extLst>
                <c:ext xmlns:c15="http://schemas.microsoft.com/office/drawing/2012/chart" uri="{CE6537A1-D6FC-4f65-9D91-7224C49458BB}"/>
                <c:ext xmlns:c16="http://schemas.microsoft.com/office/drawing/2014/chart" uri="{C3380CC4-5D6E-409C-BE32-E72D297353CC}">
                  <c16:uniqueId val="{00000002-8383-4B04-9D8F-73CAC30E5004}"/>
                </c:ext>
              </c:extLst>
            </c:dLbl>
            <c:dLbl>
              <c:idx val="3"/>
              <c:delete val="1"/>
              <c:extLst>
                <c:ext xmlns:c15="http://schemas.microsoft.com/office/drawing/2012/chart" uri="{CE6537A1-D6FC-4f65-9D91-7224C49458BB}"/>
                <c:ext xmlns:c16="http://schemas.microsoft.com/office/drawing/2014/chart" uri="{C3380CC4-5D6E-409C-BE32-E72D297353CC}">
                  <c16:uniqueId val="{00000003-8383-4B04-9D8F-73CAC30E5004}"/>
                </c:ext>
              </c:extLst>
            </c:dLbl>
            <c:dLbl>
              <c:idx val="4"/>
              <c:delete val="1"/>
              <c:extLst>
                <c:ext xmlns:c15="http://schemas.microsoft.com/office/drawing/2012/chart" uri="{CE6537A1-D6FC-4f65-9D91-7224C49458BB}"/>
                <c:ext xmlns:c16="http://schemas.microsoft.com/office/drawing/2014/chart" uri="{C3380CC4-5D6E-409C-BE32-E72D297353CC}">
                  <c16:uniqueId val="{00000004-8383-4B04-9D8F-73CAC30E5004}"/>
                </c:ext>
              </c:extLst>
            </c:dLbl>
            <c:dLbl>
              <c:idx val="5"/>
              <c:layout>
                <c:manualLayout>
                  <c:x val="-7.0422522194646744E-3"/>
                  <c:y val="6.2909395160164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83-4B04-9D8F-73CAC30E5004}"/>
                </c:ext>
              </c:extLst>
            </c:dLbl>
            <c:dLbl>
              <c:idx val="6"/>
              <c:delete val="1"/>
              <c:extLst>
                <c:ext xmlns:c15="http://schemas.microsoft.com/office/drawing/2012/chart" uri="{CE6537A1-D6FC-4f65-9D91-7224C49458BB}"/>
                <c:ext xmlns:c16="http://schemas.microsoft.com/office/drawing/2014/chart" uri="{C3380CC4-5D6E-409C-BE32-E72D297353CC}">
                  <c16:uniqueId val="{00000006-8383-4B04-9D8F-73CAC30E5004}"/>
                </c:ext>
              </c:extLst>
            </c:dLbl>
            <c:dLbl>
              <c:idx val="7"/>
              <c:delete val="1"/>
              <c:extLst>
                <c:ext xmlns:c15="http://schemas.microsoft.com/office/drawing/2012/chart" uri="{CE6537A1-D6FC-4f65-9D91-7224C49458BB}"/>
                <c:ext xmlns:c16="http://schemas.microsoft.com/office/drawing/2014/chart" uri="{C3380CC4-5D6E-409C-BE32-E72D297353CC}">
                  <c16:uniqueId val="{00000007-8383-4B04-9D8F-73CAC30E5004}"/>
                </c:ext>
              </c:extLst>
            </c:dLbl>
            <c:dLbl>
              <c:idx val="8"/>
              <c:delete val="1"/>
              <c:extLst>
                <c:ext xmlns:c15="http://schemas.microsoft.com/office/drawing/2012/chart" uri="{CE6537A1-D6FC-4f65-9D91-7224C49458BB}"/>
                <c:ext xmlns:c16="http://schemas.microsoft.com/office/drawing/2014/chart" uri="{C3380CC4-5D6E-409C-BE32-E72D297353CC}">
                  <c16:uniqueId val="{00000008-8383-4B04-9D8F-73CAC30E5004}"/>
                </c:ext>
              </c:extLst>
            </c:dLbl>
            <c:dLbl>
              <c:idx val="9"/>
              <c:delete val="1"/>
              <c:extLst>
                <c:ext xmlns:c15="http://schemas.microsoft.com/office/drawing/2012/chart" uri="{CE6537A1-D6FC-4f65-9D91-7224C49458BB}"/>
                <c:ext xmlns:c16="http://schemas.microsoft.com/office/drawing/2014/chart" uri="{C3380CC4-5D6E-409C-BE32-E72D297353CC}">
                  <c16:uniqueId val="{00000009-8383-4B04-9D8F-73CAC30E5004}"/>
                </c:ext>
              </c:extLst>
            </c:dLbl>
            <c:dLbl>
              <c:idx val="10"/>
              <c:layout>
                <c:manualLayout>
                  <c:x val="-4.9295765536252804E-2"/>
                  <c:y val="6.2909395160164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83-4B04-9D8F-73CAC30E5004}"/>
                </c:ext>
              </c:extLst>
            </c:dLbl>
            <c:dLbl>
              <c:idx val="11"/>
              <c:delete val="1"/>
              <c:extLst>
                <c:ext xmlns:c15="http://schemas.microsoft.com/office/drawing/2012/chart" uri="{CE6537A1-D6FC-4f65-9D91-7224C49458BB}"/>
                <c:ext xmlns:c16="http://schemas.microsoft.com/office/drawing/2014/chart" uri="{C3380CC4-5D6E-409C-BE32-E72D297353CC}">
                  <c16:uniqueId val="{0000000B-8383-4B04-9D8F-73CAC30E5004}"/>
                </c:ext>
              </c:extLst>
            </c:dLbl>
            <c:dLbl>
              <c:idx val="12"/>
              <c:delete val="1"/>
              <c:extLst>
                <c:ext xmlns:c15="http://schemas.microsoft.com/office/drawing/2012/chart" uri="{CE6537A1-D6FC-4f65-9D91-7224C49458BB}"/>
                <c:ext xmlns:c16="http://schemas.microsoft.com/office/drawing/2014/chart" uri="{C3380CC4-5D6E-409C-BE32-E72D297353CC}">
                  <c16:uniqueId val="{0000000C-8383-4B04-9D8F-73CAC30E5004}"/>
                </c:ext>
              </c:extLst>
            </c:dLbl>
            <c:dLbl>
              <c:idx val="13"/>
              <c:delete val="1"/>
              <c:extLst>
                <c:ext xmlns:c15="http://schemas.microsoft.com/office/drawing/2012/chart" uri="{CE6537A1-D6FC-4f65-9D91-7224C49458BB}"/>
                <c:ext xmlns:c16="http://schemas.microsoft.com/office/drawing/2014/chart" uri="{C3380CC4-5D6E-409C-BE32-E72D297353CC}">
                  <c16:uniqueId val="{0000000D-8383-4B04-9D8F-73CAC30E5004}"/>
                </c:ext>
              </c:extLst>
            </c:dLbl>
            <c:dLbl>
              <c:idx val="14"/>
              <c:delete val="1"/>
              <c:extLst>
                <c:ext xmlns:c15="http://schemas.microsoft.com/office/drawing/2012/chart" uri="{CE6537A1-D6FC-4f65-9D91-7224C49458BB}"/>
                <c:ext xmlns:c16="http://schemas.microsoft.com/office/drawing/2014/chart" uri="{C3380CC4-5D6E-409C-BE32-E72D297353CC}">
                  <c16:uniqueId val="{0000000E-8383-4B04-9D8F-73CAC30E5004}"/>
                </c:ext>
              </c:extLst>
            </c:dLbl>
            <c:dLbl>
              <c:idx val="15"/>
              <c:layout>
                <c:manualLayout>
                  <c:x val="2.1126756658394023E-2"/>
                  <c:y val="3.7173733503733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83-4B04-9D8F-73CAC30E5004}"/>
                </c:ext>
              </c:extLst>
            </c:dLbl>
            <c:dLbl>
              <c:idx val="16"/>
              <c:delete val="1"/>
              <c:extLst>
                <c:ext xmlns:c15="http://schemas.microsoft.com/office/drawing/2012/chart" uri="{CE6537A1-D6FC-4f65-9D91-7224C49458BB}"/>
                <c:ext xmlns:c16="http://schemas.microsoft.com/office/drawing/2014/chart" uri="{C3380CC4-5D6E-409C-BE32-E72D297353CC}">
                  <c16:uniqueId val="{00000010-8383-4B04-9D8F-73CAC30E5004}"/>
                </c:ext>
              </c:extLst>
            </c:dLbl>
            <c:dLbl>
              <c:idx val="17"/>
              <c:delete val="1"/>
              <c:extLst>
                <c:ext xmlns:c15="http://schemas.microsoft.com/office/drawing/2012/chart" uri="{CE6537A1-D6FC-4f65-9D91-7224C49458BB}"/>
                <c:ext xmlns:c16="http://schemas.microsoft.com/office/drawing/2014/chart" uri="{C3380CC4-5D6E-409C-BE32-E72D297353CC}">
                  <c16:uniqueId val="{00000011-8383-4B04-9D8F-73CAC30E5004}"/>
                </c:ext>
              </c:extLst>
            </c:dLbl>
            <c:dLbl>
              <c:idx val="18"/>
              <c:delete val="1"/>
              <c:extLst>
                <c:ext xmlns:c15="http://schemas.microsoft.com/office/drawing/2012/chart" uri="{CE6537A1-D6FC-4f65-9D91-7224C49458BB}"/>
                <c:ext xmlns:c16="http://schemas.microsoft.com/office/drawing/2014/chart" uri="{C3380CC4-5D6E-409C-BE32-E72D297353CC}">
                  <c16:uniqueId val="{00000012-8383-4B04-9D8F-73CAC30E5004}"/>
                </c:ext>
              </c:extLst>
            </c:dLbl>
            <c:dLbl>
              <c:idx val="19"/>
              <c:delete val="1"/>
              <c:extLst>
                <c:ext xmlns:c15="http://schemas.microsoft.com/office/drawing/2012/chart" uri="{CE6537A1-D6FC-4f65-9D91-7224C49458BB}"/>
                <c:ext xmlns:c16="http://schemas.microsoft.com/office/drawing/2014/chart" uri="{C3380CC4-5D6E-409C-BE32-E72D297353CC}">
                  <c16:uniqueId val="{00000013-8383-4B04-9D8F-73CAC30E5004}"/>
                </c:ext>
              </c:extLst>
            </c:dLbl>
            <c:dLbl>
              <c:idx val="20"/>
              <c:layout>
                <c:manualLayout>
                  <c:x val="-2.1517744317990186E-17"/>
                  <c:y val="2.001662573277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383-4B04-9D8F-73CAC30E50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'Mnf &amp; R&amp;D Employees Graph'!$C$38:$V$38</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'Mnf &amp; R&amp;D Employees Graph'!$C$40:$W$40</c:f>
              <c:numCache>
                <c:formatCode>General</c:formatCode>
                <c:ptCount val="21"/>
                <c:pt idx="0">
                  <c:v>121129</c:v>
                </c:pt>
                <c:pt idx="1">
                  <c:v>119231</c:v>
                </c:pt>
                <c:pt idx="2">
                  <c:v>116837</c:v>
                </c:pt>
                <c:pt idx="3">
                  <c:v>113808</c:v>
                </c:pt>
                <c:pt idx="4">
                  <c:v>109966</c:v>
                </c:pt>
                <c:pt idx="5">
                  <c:v>111676</c:v>
                </c:pt>
                <c:pt idx="6">
                  <c:v>112544</c:v>
                </c:pt>
                <c:pt idx="7">
                  <c:v>112007</c:v>
                </c:pt>
                <c:pt idx="8">
                  <c:v>113393</c:v>
                </c:pt>
                <c:pt idx="9">
                  <c:v>113996</c:v>
                </c:pt>
                <c:pt idx="10">
                  <c:v>115753</c:v>
                </c:pt>
                <c:pt idx="11">
                  <c:v>116263</c:v>
                </c:pt>
                <c:pt idx="12">
                  <c:v>113844</c:v>
                </c:pt>
                <c:pt idx="13">
                  <c:v>120020</c:v>
                </c:pt>
                <c:pt idx="14">
                  <c:v>107509</c:v>
                </c:pt>
                <c:pt idx="15">
                  <c:v>99992</c:v>
                </c:pt>
                <c:pt idx="16">
                  <c:v>103580</c:v>
                </c:pt>
                <c:pt idx="17">
                  <c:v>99499</c:v>
                </c:pt>
                <c:pt idx="18">
                  <c:v>101726</c:v>
                </c:pt>
                <c:pt idx="19">
                  <c:v>93522</c:v>
                </c:pt>
                <c:pt idx="20">
                  <c:v>87798</c:v>
                </c:pt>
              </c:numCache>
            </c:numRef>
          </c:val>
          <c:smooth val="0"/>
          <c:extLst>
            <c:ext xmlns:c16="http://schemas.microsoft.com/office/drawing/2014/chart" uri="{C3380CC4-5D6E-409C-BE32-E72D297353CC}">
              <c16:uniqueId val="{00000015-8383-4B04-9D8F-73CAC30E5004}"/>
            </c:ext>
          </c:extLst>
        </c:ser>
        <c:ser>
          <c:idx val="2"/>
          <c:order val="2"/>
          <c:tx>
            <c:strRef>
              <c:f>'Mnf &amp; R&amp;D Employees Graph'!$A$43</c:f>
              <c:strCache>
                <c:ptCount val="1"/>
                <c:pt idx="0">
                  <c:v>China</c:v>
                </c:pt>
              </c:strCache>
            </c:strRef>
          </c:tx>
          <c:spPr>
            <a:ln w="19050" cap="rnd">
              <a:solidFill>
                <a:srgbClr val="FF0000"/>
              </a:solidFill>
              <a:round/>
            </a:ln>
            <a:effectLst/>
          </c:spPr>
          <c:marker>
            <c:symbol val="none"/>
          </c:marker>
          <c:dLbls>
            <c:dLbl>
              <c:idx val="0"/>
              <c:layout>
                <c:manualLayout>
                  <c:x val="0"/>
                  <c:y val="-2.5735661656430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383-4B04-9D8F-73CAC30E5004}"/>
                </c:ext>
              </c:extLst>
            </c:dLbl>
            <c:dLbl>
              <c:idx val="1"/>
              <c:delete val="1"/>
              <c:extLst>
                <c:ext xmlns:c15="http://schemas.microsoft.com/office/drawing/2012/chart" uri="{CE6537A1-D6FC-4f65-9D91-7224C49458BB}"/>
                <c:ext xmlns:c16="http://schemas.microsoft.com/office/drawing/2014/chart" uri="{C3380CC4-5D6E-409C-BE32-E72D297353CC}">
                  <c16:uniqueId val="{00000017-8383-4B04-9D8F-73CAC30E5004}"/>
                </c:ext>
              </c:extLst>
            </c:dLbl>
            <c:dLbl>
              <c:idx val="2"/>
              <c:delete val="1"/>
              <c:extLst>
                <c:ext xmlns:c15="http://schemas.microsoft.com/office/drawing/2012/chart" uri="{CE6537A1-D6FC-4f65-9D91-7224C49458BB}"/>
                <c:ext xmlns:c16="http://schemas.microsoft.com/office/drawing/2014/chart" uri="{C3380CC4-5D6E-409C-BE32-E72D297353CC}">
                  <c16:uniqueId val="{00000018-8383-4B04-9D8F-73CAC30E5004}"/>
                </c:ext>
              </c:extLst>
            </c:dLbl>
            <c:dLbl>
              <c:idx val="3"/>
              <c:delete val="1"/>
              <c:extLst>
                <c:ext xmlns:c15="http://schemas.microsoft.com/office/drawing/2012/chart" uri="{CE6537A1-D6FC-4f65-9D91-7224C49458BB}"/>
                <c:ext xmlns:c16="http://schemas.microsoft.com/office/drawing/2014/chart" uri="{C3380CC4-5D6E-409C-BE32-E72D297353CC}">
                  <c16:uniqueId val="{00000019-8383-4B04-9D8F-73CAC30E5004}"/>
                </c:ext>
              </c:extLst>
            </c:dLbl>
            <c:dLbl>
              <c:idx val="4"/>
              <c:delete val="1"/>
              <c:extLst>
                <c:ext xmlns:c15="http://schemas.microsoft.com/office/drawing/2012/chart" uri="{CE6537A1-D6FC-4f65-9D91-7224C49458BB}"/>
                <c:ext xmlns:c16="http://schemas.microsoft.com/office/drawing/2014/chart" uri="{C3380CC4-5D6E-409C-BE32-E72D297353CC}">
                  <c16:uniqueId val="{0000001A-8383-4B04-9D8F-73CAC30E5004}"/>
                </c:ext>
              </c:extLst>
            </c:dLbl>
            <c:dLbl>
              <c:idx val="5"/>
              <c:layout>
                <c:manualLayout>
                  <c:x val="-2.3474174064882247E-3"/>
                  <c:y val="-4.575228738921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383-4B04-9D8F-73CAC30E5004}"/>
                </c:ext>
              </c:extLst>
            </c:dLbl>
            <c:dLbl>
              <c:idx val="6"/>
              <c:delete val="1"/>
              <c:extLst>
                <c:ext xmlns:c15="http://schemas.microsoft.com/office/drawing/2012/chart" uri="{CE6537A1-D6FC-4f65-9D91-7224C49458BB}"/>
                <c:ext xmlns:c16="http://schemas.microsoft.com/office/drawing/2014/chart" uri="{C3380CC4-5D6E-409C-BE32-E72D297353CC}">
                  <c16:uniqueId val="{0000001C-8383-4B04-9D8F-73CAC30E5004}"/>
                </c:ext>
              </c:extLst>
            </c:dLbl>
            <c:dLbl>
              <c:idx val="7"/>
              <c:delete val="1"/>
              <c:extLst>
                <c:ext xmlns:c15="http://schemas.microsoft.com/office/drawing/2012/chart" uri="{CE6537A1-D6FC-4f65-9D91-7224C49458BB}"/>
                <c:ext xmlns:c16="http://schemas.microsoft.com/office/drawing/2014/chart" uri="{C3380CC4-5D6E-409C-BE32-E72D297353CC}">
                  <c16:uniqueId val="{0000001D-8383-4B04-9D8F-73CAC30E5004}"/>
                </c:ext>
              </c:extLst>
            </c:dLbl>
            <c:dLbl>
              <c:idx val="8"/>
              <c:delete val="1"/>
              <c:extLst>
                <c:ext xmlns:c15="http://schemas.microsoft.com/office/drawing/2012/chart" uri="{CE6537A1-D6FC-4f65-9D91-7224C49458BB}"/>
                <c:ext xmlns:c16="http://schemas.microsoft.com/office/drawing/2014/chart" uri="{C3380CC4-5D6E-409C-BE32-E72D297353CC}">
                  <c16:uniqueId val="{0000001E-8383-4B04-9D8F-73CAC30E5004}"/>
                </c:ext>
              </c:extLst>
            </c:dLbl>
            <c:dLbl>
              <c:idx val="9"/>
              <c:delete val="1"/>
              <c:extLst>
                <c:ext xmlns:c15="http://schemas.microsoft.com/office/drawing/2012/chart" uri="{CE6537A1-D6FC-4f65-9D91-7224C49458BB}"/>
                <c:ext xmlns:c16="http://schemas.microsoft.com/office/drawing/2014/chart" uri="{C3380CC4-5D6E-409C-BE32-E72D297353CC}">
                  <c16:uniqueId val="{0000001F-8383-4B04-9D8F-73CAC30E5004}"/>
                </c:ext>
              </c:extLst>
            </c:dLbl>
            <c:dLbl>
              <c:idx val="11"/>
              <c:delete val="1"/>
              <c:extLst>
                <c:ext xmlns:c15="http://schemas.microsoft.com/office/drawing/2012/chart" uri="{CE6537A1-D6FC-4f65-9D91-7224C49458BB}"/>
                <c:ext xmlns:c16="http://schemas.microsoft.com/office/drawing/2014/chart" uri="{C3380CC4-5D6E-409C-BE32-E72D297353CC}">
                  <c16:uniqueId val="{00000020-8383-4B04-9D8F-73CAC30E5004}"/>
                </c:ext>
              </c:extLst>
            </c:dLbl>
            <c:dLbl>
              <c:idx val="12"/>
              <c:delete val="1"/>
              <c:extLst>
                <c:ext xmlns:c15="http://schemas.microsoft.com/office/drawing/2012/chart" uri="{CE6537A1-D6FC-4f65-9D91-7224C49458BB}"/>
                <c:ext xmlns:c16="http://schemas.microsoft.com/office/drawing/2014/chart" uri="{C3380CC4-5D6E-409C-BE32-E72D297353CC}">
                  <c16:uniqueId val="{00000021-8383-4B04-9D8F-73CAC30E5004}"/>
                </c:ext>
              </c:extLst>
            </c:dLbl>
            <c:dLbl>
              <c:idx val="13"/>
              <c:delete val="1"/>
              <c:extLst>
                <c:ext xmlns:c15="http://schemas.microsoft.com/office/drawing/2012/chart" uri="{CE6537A1-D6FC-4f65-9D91-7224C49458BB}"/>
                <c:ext xmlns:c16="http://schemas.microsoft.com/office/drawing/2014/chart" uri="{C3380CC4-5D6E-409C-BE32-E72D297353CC}">
                  <c16:uniqueId val="{00000022-8383-4B04-9D8F-73CAC30E5004}"/>
                </c:ext>
              </c:extLst>
            </c:dLbl>
            <c:dLbl>
              <c:idx val="14"/>
              <c:delete val="1"/>
              <c:extLst>
                <c:ext xmlns:c15="http://schemas.microsoft.com/office/drawing/2012/chart" uri="{CE6537A1-D6FC-4f65-9D91-7224C49458BB}"/>
                <c:ext xmlns:c16="http://schemas.microsoft.com/office/drawing/2014/chart" uri="{C3380CC4-5D6E-409C-BE32-E72D297353CC}">
                  <c16:uniqueId val="{00000023-8383-4B04-9D8F-73CAC30E5004}"/>
                </c:ext>
              </c:extLst>
            </c:dLbl>
            <c:dLbl>
              <c:idx val="15"/>
              <c:layout>
                <c:manualLayout>
                  <c:x val="-9.3896696259529421E-3"/>
                  <c:y val="3.1454697580082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383-4B04-9D8F-73CAC30E5004}"/>
                </c:ext>
              </c:extLst>
            </c:dLbl>
            <c:dLbl>
              <c:idx val="16"/>
              <c:delete val="1"/>
              <c:extLst>
                <c:ext xmlns:c15="http://schemas.microsoft.com/office/drawing/2012/chart" uri="{CE6537A1-D6FC-4f65-9D91-7224C49458BB}"/>
                <c:ext xmlns:c16="http://schemas.microsoft.com/office/drawing/2014/chart" uri="{C3380CC4-5D6E-409C-BE32-E72D297353CC}">
                  <c16:uniqueId val="{00000025-8383-4B04-9D8F-73CAC30E5004}"/>
                </c:ext>
              </c:extLst>
            </c:dLbl>
            <c:dLbl>
              <c:idx val="17"/>
              <c:delete val="1"/>
              <c:extLst>
                <c:ext xmlns:c15="http://schemas.microsoft.com/office/drawing/2012/chart" uri="{CE6537A1-D6FC-4f65-9D91-7224C49458BB}"/>
                <c:ext xmlns:c16="http://schemas.microsoft.com/office/drawing/2014/chart" uri="{C3380CC4-5D6E-409C-BE32-E72D297353CC}">
                  <c16:uniqueId val="{00000026-8383-4B04-9D8F-73CAC30E5004}"/>
                </c:ext>
              </c:extLst>
            </c:dLbl>
            <c:dLbl>
              <c:idx val="18"/>
              <c:delete val="1"/>
              <c:extLst>
                <c:ext xmlns:c15="http://schemas.microsoft.com/office/drawing/2012/chart" uri="{CE6537A1-D6FC-4f65-9D91-7224C49458BB}"/>
                <c:ext xmlns:c16="http://schemas.microsoft.com/office/drawing/2014/chart" uri="{C3380CC4-5D6E-409C-BE32-E72D297353CC}">
                  <c16:uniqueId val="{00000027-8383-4B04-9D8F-73CAC30E5004}"/>
                </c:ext>
              </c:extLst>
            </c:dLbl>
            <c:dLbl>
              <c:idx val="19"/>
              <c:layout>
                <c:manualLayout>
                  <c:x val="-9.3896696259529421E-3"/>
                  <c:y val="-4.2892769427384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383-4B04-9D8F-73CAC30E50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'Mnf &amp; R&amp;D Employees Graph'!$C$38:$V$38</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'Mnf &amp; R&amp;D Employees Graph'!$C$43:$V$43</c:f>
              <c:numCache>
                <c:formatCode>General</c:formatCode>
                <c:ptCount val="20"/>
                <c:pt idx="0">
                  <c:v>134291</c:v>
                </c:pt>
                <c:pt idx="1">
                  <c:v>122720</c:v>
                </c:pt>
                <c:pt idx="2">
                  <c:v>125919</c:v>
                </c:pt>
                <c:pt idx="3">
                  <c:v>121517</c:v>
                </c:pt>
                <c:pt idx="4">
                  <c:v>130570</c:v>
                </c:pt>
                <c:pt idx="5">
                  <c:v>128589</c:v>
                </c:pt>
                <c:pt idx="6">
                  <c:v>133902</c:v>
                </c:pt>
                <c:pt idx="7">
                  <c:v>123200</c:v>
                </c:pt>
                <c:pt idx="8">
                  <c:v>106685</c:v>
                </c:pt>
                <c:pt idx="9">
                  <c:v>93467</c:v>
                </c:pt>
                <c:pt idx="10">
                  <c:v>55234</c:v>
                </c:pt>
                <c:pt idx="11">
                  <c:v>58117</c:v>
                </c:pt>
                <c:pt idx="12">
                  <c:v>40192</c:v>
                </c:pt>
                <c:pt idx="13" formatCode="0">
                  <c:v>30778</c:v>
                </c:pt>
                <c:pt idx="14">
                  <c:v>25391</c:v>
                </c:pt>
                <c:pt idx="15">
                  <c:v>19584</c:v>
                </c:pt>
                <c:pt idx="16">
                  <c:v>13931</c:v>
                </c:pt>
                <c:pt idx="17">
                  <c:v>14110</c:v>
                </c:pt>
                <c:pt idx="18">
                  <c:v>14289</c:v>
                </c:pt>
                <c:pt idx="19">
                  <c:v>15229</c:v>
                </c:pt>
              </c:numCache>
            </c:numRef>
          </c:val>
          <c:smooth val="0"/>
          <c:extLst>
            <c:ext xmlns:c16="http://schemas.microsoft.com/office/drawing/2014/chart" uri="{C3380CC4-5D6E-409C-BE32-E72D297353CC}">
              <c16:uniqueId val="{00000029-8383-4B04-9D8F-73CAC30E5004}"/>
            </c:ext>
          </c:extLst>
        </c:ser>
        <c:ser>
          <c:idx val="3"/>
          <c:order val="3"/>
          <c:tx>
            <c:strRef>
              <c:f>'Mnf &amp; R&amp;D Employees Graph'!$A$44</c:f>
              <c:strCache>
                <c:ptCount val="1"/>
                <c:pt idx="0">
                  <c:v>Japan</c:v>
                </c:pt>
              </c:strCache>
            </c:strRef>
          </c:tx>
          <c:spPr>
            <a:ln w="19050" cap="rnd">
              <a:solidFill>
                <a:schemeClr val="accent1"/>
              </a:solidFill>
              <a:round/>
            </a:ln>
            <a:effectLst/>
          </c:spPr>
          <c:marker>
            <c:symbol val="none"/>
          </c:marker>
          <c:dLbls>
            <c:dLbl>
              <c:idx val="2"/>
              <c:delete val="1"/>
              <c:extLst>
                <c:ext xmlns:c15="http://schemas.microsoft.com/office/drawing/2012/chart" uri="{CE6537A1-D6FC-4f65-9D91-7224C49458BB}"/>
                <c:ext xmlns:c16="http://schemas.microsoft.com/office/drawing/2014/chart" uri="{C3380CC4-5D6E-409C-BE32-E72D297353CC}">
                  <c16:uniqueId val="{0000002A-8383-4B04-9D8F-73CAC30E5004}"/>
                </c:ext>
              </c:extLst>
            </c:dLbl>
            <c:dLbl>
              <c:idx val="3"/>
              <c:delete val="1"/>
              <c:extLst>
                <c:ext xmlns:c15="http://schemas.microsoft.com/office/drawing/2012/chart" uri="{CE6537A1-D6FC-4f65-9D91-7224C49458BB}"/>
                <c:ext xmlns:c16="http://schemas.microsoft.com/office/drawing/2014/chart" uri="{C3380CC4-5D6E-409C-BE32-E72D297353CC}">
                  <c16:uniqueId val="{0000002B-8383-4B04-9D8F-73CAC30E5004}"/>
                </c:ext>
              </c:extLst>
            </c:dLbl>
            <c:dLbl>
              <c:idx val="4"/>
              <c:delete val="1"/>
              <c:extLst>
                <c:ext xmlns:c15="http://schemas.microsoft.com/office/drawing/2012/chart" uri="{CE6537A1-D6FC-4f65-9D91-7224C49458BB}"/>
                <c:ext xmlns:c16="http://schemas.microsoft.com/office/drawing/2014/chart" uri="{C3380CC4-5D6E-409C-BE32-E72D297353CC}">
                  <c16:uniqueId val="{0000002C-8383-4B04-9D8F-73CAC30E5004}"/>
                </c:ext>
              </c:extLst>
            </c:dLbl>
            <c:dLbl>
              <c:idx val="5"/>
              <c:delete val="1"/>
              <c:extLst>
                <c:ext xmlns:c15="http://schemas.microsoft.com/office/drawing/2012/chart" uri="{CE6537A1-D6FC-4f65-9D91-7224C49458BB}"/>
                <c:ext xmlns:c16="http://schemas.microsoft.com/office/drawing/2014/chart" uri="{C3380CC4-5D6E-409C-BE32-E72D297353CC}">
                  <c16:uniqueId val="{0000002D-8383-4B04-9D8F-73CAC30E5004}"/>
                </c:ext>
              </c:extLst>
            </c:dLbl>
            <c:dLbl>
              <c:idx val="6"/>
              <c:layout>
                <c:manualLayout>
                  <c:x val="-4.9295765536252804E-2"/>
                  <c:y val="5.7190359236513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8383-4B04-9D8F-73CAC30E5004}"/>
                </c:ext>
              </c:extLst>
            </c:dLbl>
            <c:dLbl>
              <c:idx val="7"/>
              <c:delete val="1"/>
              <c:extLst>
                <c:ext xmlns:c15="http://schemas.microsoft.com/office/drawing/2012/chart" uri="{CE6537A1-D6FC-4f65-9D91-7224C49458BB}"/>
                <c:ext xmlns:c16="http://schemas.microsoft.com/office/drawing/2014/chart" uri="{C3380CC4-5D6E-409C-BE32-E72D297353CC}">
                  <c16:uniqueId val="{0000002F-8383-4B04-9D8F-73CAC30E5004}"/>
                </c:ext>
              </c:extLst>
            </c:dLbl>
            <c:dLbl>
              <c:idx val="8"/>
              <c:delete val="1"/>
              <c:extLst>
                <c:ext xmlns:c15="http://schemas.microsoft.com/office/drawing/2012/chart" uri="{CE6537A1-D6FC-4f65-9D91-7224C49458BB}"/>
                <c:ext xmlns:c16="http://schemas.microsoft.com/office/drawing/2014/chart" uri="{C3380CC4-5D6E-409C-BE32-E72D297353CC}">
                  <c16:uniqueId val="{00000030-8383-4B04-9D8F-73CAC30E5004}"/>
                </c:ext>
              </c:extLst>
            </c:dLbl>
            <c:dLbl>
              <c:idx val="9"/>
              <c:delete val="1"/>
              <c:extLst>
                <c:ext xmlns:c15="http://schemas.microsoft.com/office/drawing/2012/chart" uri="{CE6537A1-D6FC-4f65-9D91-7224C49458BB}"/>
                <c:ext xmlns:c16="http://schemas.microsoft.com/office/drawing/2014/chart" uri="{C3380CC4-5D6E-409C-BE32-E72D297353CC}">
                  <c16:uniqueId val="{00000031-8383-4B04-9D8F-73CAC30E5004}"/>
                </c:ext>
              </c:extLst>
            </c:dLbl>
            <c:dLbl>
              <c:idx val="10"/>
              <c:delete val="1"/>
              <c:extLst>
                <c:ext xmlns:c15="http://schemas.microsoft.com/office/drawing/2012/chart" uri="{CE6537A1-D6FC-4f65-9D91-7224C49458BB}"/>
                <c:ext xmlns:c16="http://schemas.microsoft.com/office/drawing/2014/chart" uri="{C3380CC4-5D6E-409C-BE32-E72D297353CC}">
                  <c16:uniqueId val="{00000032-8383-4B04-9D8F-73CAC30E5004}"/>
                </c:ext>
              </c:extLst>
            </c:dLbl>
            <c:dLbl>
              <c:idx val="11"/>
              <c:layout>
                <c:manualLayout>
                  <c:x val="-8.6070977271960744E-17"/>
                  <c:y val="-3.4314215541907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8383-4B04-9D8F-73CAC30E5004}"/>
                </c:ext>
              </c:extLst>
            </c:dLbl>
            <c:dLbl>
              <c:idx val="12"/>
              <c:delete val="1"/>
              <c:extLst>
                <c:ext xmlns:c15="http://schemas.microsoft.com/office/drawing/2012/chart" uri="{CE6537A1-D6FC-4f65-9D91-7224C49458BB}"/>
                <c:ext xmlns:c16="http://schemas.microsoft.com/office/drawing/2014/chart" uri="{C3380CC4-5D6E-409C-BE32-E72D297353CC}">
                  <c16:uniqueId val="{00000034-8383-4B04-9D8F-73CAC30E5004}"/>
                </c:ext>
              </c:extLst>
            </c:dLbl>
            <c:dLbl>
              <c:idx val="13"/>
              <c:delete val="1"/>
              <c:extLst>
                <c:ext xmlns:c15="http://schemas.microsoft.com/office/drawing/2012/chart" uri="{CE6537A1-D6FC-4f65-9D91-7224C49458BB}"/>
                <c:ext xmlns:c16="http://schemas.microsoft.com/office/drawing/2014/chart" uri="{C3380CC4-5D6E-409C-BE32-E72D297353CC}">
                  <c16:uniqueId val="{00000035-8383-4B04-9D8F-73CAC30E5004}"/>
                </c:ext>
              </c:extLst>
            </c:dLbl>
            <c:dLbl>
              <c:idx val="14"/>
              <c:delete val="1"/>
              <c:extLst>
                <c:ext xmlns:c15="http://schemas.microsoft.com/office/drawing/2012/chart" uri="{CE6537A1-D6FC-4f65-9D91-7224C49458BB}"/>
                <c:ext xmlns:c16="http://schemas.microsoft.com/office/drawing/2014/chart" uri="{C3380CC4-5D6E-409C-BE32-E72D297353CC}">
                  <c16:uniqueId val="{00000036-8383-4B04-9D8F-73CAC30E5004}"/>
                </c:ext>
              </c:extLst>
            </c:dLbl>
            <c:dLbl>
              <c:idx val="15"/>
              <c:delete val="1"/>
              <c:extLst>
                <c:ext xmlns:c15="http://schemas.microsoft.com/office/drawing/2012/chart" uri="{CE6537A1-D6FC-4f65-9D91-7224C49458BB}"/>
                <c:ext xmlns:c16="http://schemas.microsoft.com/office/drawing/2014/chart" uri="{C3380CC4-5D6E-409C-BE32-E72D297353CC}">
                  <c16:uniqueId val="{00000037-8383-4B04-9D8F-73CAC30E5004}"/>
                </c:ext>
              </c:extLst>
            </c:dLbl>
            <c:dLbl>
              <c:idx val="16"/>
              <c:layout>
                <c:manualLayout>
                  <c:x val="-7.0422522194646744E-3"/>
                  <c:y val="-3.7173733503733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8383-4B04-9D8F-73CAC30E5004}"/>
                </c:ext>
              </c:extLst>
            </c:dLbl>
            <c:dLbl>
              <c:idx val="17"/>
              <c:delete val="1"/>
              <c:extLst>
                <c:ext xmlns:c15="http://schemas.microsoft.com/office/drawing/2012/chart" uri="{CE6537A1-D6FC-4f65-9D91-7224C49458BB}"/>
                <c:ext xmlns:c16="http://schemas.microsoft.com/office/drawing/2014/chart" uri="{C3380CC4-5D6E-409C-BE32-E72D297353CC}">
                  <c16:uniqueId val="{00000039-8383-4B04-9D8F-73CAC30E5004}"/>
                </c:ext>
              </c:extLst>
            </c:dLbl>
            <c:dLbl>
              <c:idx val="18"/>
              <c:delete val="1"/>
              <c:extLst>
                <c:ext xmlns:c15="http://schemas.microsoft.com/office/drawing/2012/chart" uri="{CE6537A1-D6FC-4f65-9D91-7224C49458BB}"/>
                <c:ext xmlns:c16="http://schemas.microsoft.com/office/drawing/2014/chart" uri="{C3380CC4-5D6E-409C-BE32-E72D297353CC}">
                  <c16:uniqueId val="{0000003A-8383-4B04-9D8F-73CAC30E5004}"/>
                </c:ext>
              </c:extLst>
            </c:dLbl>
            <c:dLbl>
              <c:idx val="19"/>
              <c:delete val="1"/>
              <c:extLst>
                <c:ext xmlns:c15="http://schemas.microsoft.com/office/drawing/2012/chart" uri="{CE6537A1-D6FC-4f65-9D91-7224C49458BB}"/>
                <c:ext xmlns:c16="http://schemas.microsoft.com/office/drawing/2014/chart" uri="{C3380CC4-5D6E-409C-BE32-E72D297353CC}">
                  <c16:uniqueId val="{0000003B-8383-4B04-9D8F-73CAC30E5004}"/>
                </c:ext>
              </c:extLst>
            </c:dLbl>
            <c:dLbl>
              <c:idx val="20"/>
              <c:layout>
                <c:manualLayout>
                  <c:x val="-4.6948348129764493E-3"/>
                  <c:y val="-3.7173733503733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8383-4B04-9D8F-73CAC30E50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'Mnf &amp; R&amp;D Employees Graph'!$C$38:$V$38</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'Mnf &amp; R&amp;D Employees Graph'!$C$44:$W$44</c:f>
              <c:numCache>
                <c:formatCode>#,##0</c:formatCode>
                <c:ptCount val="21"/>
                <c:pt idx="1">
                  <c:v>23132</c:v>
                </c:pt>
                <c:pt idx="2">
                  <c:v>25272</c:v>
                </c:pt>
                <c:pt idx="3">
                  <c:v>22393</c:v>
                </c:pt>
                <c:pt idx="4">
                  <c:v>26171</c:v>
                </c:pt>
                <c:pt idx="5">
                  <c:v>30311</c:v>
                </c:pt>
                <c:pt idx="6">
                  <c:v>29459</c:v>
                </c:pt>
                <c:pt idx="7">
                  <c:v>31361</c:v>
                </c:pt>
                <c:pt idx="8">
                  <c:v>29406</c:v>
                </c:pt>
                <c:pt idx="9">
                  <c:v>33918</c:v>
                </c:pt>
                <c:pt idx="10">
                  <c:v>30027</c:v>
                </c:pt>
                <c:pt idx="11">
                  <c:v>34448</c:v>
                </c:pt>
                <c:pt idx="12">
                  <c:v>26741</c:v>
                </c:pt>
                <c:pt idx="13">
                  <c:v>27362</c:v>
                </c:pt>
                <c:pt idx="14">
                  <c:v>30302</c:v>
                </c:pt>
                <c:pt idx="15">
                  <c:v>31454</c:v>
                </c:pt>
                <c:pt idx="16" formatCode="General">
                  <c:v>34039.5</c:v>
                </c:pt>
                <c:pt idx="17">
                  <c:v>36625</c:v>
                </c:pt>
                <c:pt idx="18">
                  <c:v>37465</c:v>
                </c:pt>
                <c:pt idx="19">
                  <c:v>34310</c:v>
                </c:pt>
                <c:pt idx="20">
                  <c:v>38334</c:v>
                </c:pt>
              </c:numCache>
            </c:numRef>
          </c:val>
          <c:smooth val="0"/>
          <c:extLst>
            <c:ext xmlns:c16="http://schemas.microsoft.com/office/drawing/2014/chart" uri="{C3380CC4-5D6E-409C-BE32-E72D297353CC}">
              <c16:uniqueId val="{0000003D-8383-4B04-9D8F-73CAC30E5004}"/>
            </c:ext>
          </c:extLst>
        </c:ser>
        <c:ser>
          <c:idx val="5"/>
          <c:order val="5"/>
          <c:tx>
            <c:strRef>
              <c:f>'Mnf &amp; R&amp;D Employees Graph'!$A$42</c:f>
              <c:strCache>
                <c:ptCount val="1"/>
                <c:pt idx="0">
                  <c:v>US</c:v>
                </c:pt>
              </c:strCache>
            </c:strRef>
          </c:tx>
          <c:spPr>
            <a:ln w="19050" cap="rnd">
              <a:solidFill>
                <a:schemeClr val="accent5"/>
              </a:solidFill>
              <a:round/>
            </a:ln>
            <a:effectLst/>
          </c:spPr>
          <c:marker>
            <c:symbol val="none"/>
          </c:marker>
          <c:dLbls>
            <c:dLbl>
              <c:idx val="2"/>
              <c:layout>
                <c:manualLayout>
                  <c:x val="-4.4600930723276269E-2"/>
                  <c:y val="-4.575228738921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8383-4B04-9D8F-73CAC30E5004}"/>
                </c:ext>
              </c:extLst>
            </c:dLbl>
            <c:dLbl>
              <c:idx val="3"/>
              <c:delete val="1"/>
              <c:extLst>
                <c:ext xmlns:c15="http://schemas.microsoft.com/office/drawing/2012/chart" uri="{CE6537A1-D6FC-4f65-9D91-7224C49458BB}"/>
                <c:ext xmlns:c16="http://schemas.microsoft.com/office/drawing/2014/chart" uri="{C3380CC4-5D6E-409C-BE32-E72D297353CC}">
                  <c16:uniqueId val="{0000003F-8383-4B04-9D8F-73CAC30E5004}"/>
                </c:ext>
              </c:extLst>
            </c:dLbl>
            <c:dLbl>
              <c:idx val="4"/>
              <c:delete val="1"/>
              <c:extLst>
                <c:ext xmlns:c15="http://schemas.microsoft.com/office/drawing/2012/chart" uri="{CE6537A1-D6FC-4f65-9D91-7224C49458BB}"/>
                <c:ext xmlns:c16="http://schemas.microsoft.com/office/drawing/2014/chart" uri="{C3380CC4-5D6E-409C-BE32-E72D297353CC}">
                  <c16:uniqueId val="{00000040-8383-4B04-9D8F-73CAC30E5004}"/>
                </c:ext>
              </c:extLst>
            </c:dLbl>
            <c:dLbl>
              <c:idx val="5"/>
              <c:delete val="1"/>
              <c:extLst>
                <c:ext xmlns:c15="http://schemas.microsoft.com/office/drawing/2012/chart" uri="{CE6537A1-D6FC-4f65-9D91-7224C49458BB}"/>
                <c:ext xmlns:c16="http://schemas.microsoft.com/office/drawing/2014/chart" uri="{C3380CC4-5D6E-409C-BE32-E72D297353CC}">
                  <c16:uniqueId val="{00000041-8383-4B04-9D8F-73CAC30E5004}"/>
                </c:ext>
              </c:extLst>
            </c:dLbl>
            <c:dLbl>
              <c:idx val="6"/>
              <c:delete val="1"/>
              <c:extLst>
                <c:ext xmlns:c15="http://schemas.microsoft.com/office/drawing/2012/chart" uri="{CE6537A1-D6FC-4f65-9D91-7224C49458BB}"/>
                <c:ext xmlns:c16="http://schemas.microsoft.com/office/drawing/2014/chart" uri="{C3380CC4-5D6E-409C-BE32-E72D297353CC}">
                  <c16:uniqueId val="{00000042-8383-4B04-9D8F-73CAC30E5004}"/>
                </c:ext>
              </c:extLst>
            </c:dLbl>
            <c:dLbl>
              <c:idx val="7"/>
              <c:layout>
                <c:manualLayout>
                  <c:x val="-2.7672955974842768E-2"/>
                  <c:y val="0.121700292513940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8383-4B04-9D8F-73CAC30E5004}"/>
                </c:ext>
              </c:extLst>
            </c:dLbl>
            <c:dLbl>
              <c:idx val="8"/>
              <c:delete val="1"/>
              <c:extLst>
                <c:ext xmlns:c15="http://schemas.microsoft.com/office/drawing/2012/chart" uri="{CE6537A1-D6FC-4f65-9D91-7224C49458BB}"/>
                <c:ext xmlns:c16="http://schemas.microsoft.com/office/drawing/2014/chart" uri="{C3380CC4-5D6E-409C-BE32-E72D297353CC}">
                  <c16:uniqueId val="{00000044-8383-4B04-9D8F-73CAC30E5004}"/>
                </c:ext>
              </c:extLst>
            </c:dLbl>
            <c:dLbl>
              <c:idx val="9"/>
              <c:delete val="1"/>
              <c:extLst>
                <c:ext xmlns:c15="http://schemas.microsoft.com/office/drawing/2012/chart" uri="{CE6537A1-D6FC-4f65-9D91-7224C49458BB}"/>
                <c:ext xmlns:c16="http://schemas.microsoft.com/office/drawing/2014/chart" uri="{C3380CC4-5D6E-409C-BE32-E72D297353CC}">
                  <c16:uniqueId val="{00000045-8383-4B04-9D8F-73CAC30E5004}"/>
                </c:ext>
              </c:extLst>
            </c:dLbl>
            <c:dLbl>
              <c:idx val="10"/>
              <c:delete val="1"/>
              <c:extLst>
                <c:ext xmlns:c15="http://schemas.microsoft.com/office/drawing/2012/chart" uri="{CE6537A1-D6FC-4f65-9D91-7224C49458BB}"/>
                <c:ext xmlns:c16="http://schemas.microsoft.com/office/drawing/2014/chart" uri="{C3380CC4-5D6E-409C-BE32-E72D297353CC}">
                  <c16:uniqueId val="{00000046-8383-4B04-9D8F-73CAC30E5004}"/>
                </c:ext>
              </c:extLst>
            </c:dLbl>
            <c:dLbl>
              <c:idx val="11"/>
              <c:delete val="1"/>
              <c:extLst>
                <c:ext xmlns:c15="http://schemas.microsoft.com/office/drawing/2012/chart" uri="{CE6537A1-D6FC-4f65-9D91-7224C49458BB}"/>
                <c:ext xmlns:c16="http://schemas.microsoft.com/office/drawing/2014/chart" uri="{C3380CC4-5D6E-409C-BE32-E72D297353CC}">
                  <c16:uniqueId val="{00000047-8383-4B04-9D8F-73CAC30E5004}"/>
                </c:ext>
              </c:extLst>
            </c:dLbl>
            <c:dLbl>
              <c:idx val="12"/>
              <c:layout>
                <c:manualLayout>
                  <c:x val="0"/>
                  <c:y val="-3.1454697580082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8383-4B04-9D8F-73CAC30E50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'Mnf &amp; R&amp;D Employees Graph'!$C$38:$V$38</c:f>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f>'Mnf &amp; R&amp;D Employees Graph'!$C$42:$V$42</c:f>
              <c:numCache>
                <c:formatCode>General</c:formatCode>
                <c:ptCount val="20"/>
                <c:pt idx="2">
                  <c:v>138000</c:v>
                </c:pt>
                <c:pt idx="3">
                  <c:v>127000</c:v>
                </c:pt>
                <c:pt idx="4">
                  <c:v>123000</c:v>
                </c:pt>
                <c:pt idx="5">
                  <c:v>120000</c:v>
                </c:pt>
                <c:pt idx="6">
                  <c:v>122000</c:v>
                </c:pt>
                <c:pt idx="7">
                  <c:v>117000</c:v>
                </c:pt>
                <c:pt idx="8">
                  <c:v>114000</c:v>
                </c:pt>
                <c:pt idx="9">
                  <c:v>107000</c:v>
                </c:pt>
                <c:pt idx="10">
                  <c:v>120000</c:v>
                </c:pt>
                <c:pt idx="11">
                  <c:v>110000</c:v>
                </c:pt>
                <c:pt idx="12">
                  <c:v>123000</c:v>
                </c:pt>
              </c:numCache>
            </c:numRef>
          </c:val>
          <c:smooth val="0"/>
          <c:extLst>
            <c:ext xmlns:c16="http://schemas.microsoft.com/office/drawing/2014/chart" uri="{C3380CC4-5D6E-409C-BE32-E72D297353CC}">
              <c16:uniqueId val="{00000049-8383-4B04-9D8F-73CAC30E5004}"/>
            </c:ext>
          </c:extLst>
        </c:ser>
        <c:dLbls>
          <c:showLegendKey val="0"/>
          <c:showVal val="0"/>
          <c:showCatName val="0"/>
          <c:showSerName val="0"/>
          <c:showPercent val="0"/>
          <c:showBubbleSize val="0"/>
        </c:dLbls>
        <c:smooth val="0"/>
        <c:axId val="356878464"/>
        <c:axId val="356882208"/>
        <c:extLst>
          <c:ext xmlns:c15="http://schemas.microsoft.com/office/drawing/2012/chart" uri="{02D57815-91ED-43cb-92C2-25804820EDAC}">
            <c15:filteredLineSeries>
              <c15:ser>
                <c:idx val="0"/>
                <c:order val="0"/>
                <c:tx>
                  <c:strRef>
                    <c:extLst>
                      <c:ext uri="{02D57815-91ED-43cb-92C2-25804820EDAC}">
                        <c15:formulaRef>
                          <c15:sqref>'Mnf &amp; R&amp;D Employees Graph'!$A$39:$B$39</c15:sqref>
                        </c15:formulaRef>
                      </c:ext>
                    </c:extLst>
                    <c:strCache>
                      <c:ptCount val="2"/>
                      <c:pt idx="0">
                        <c:v>EU14</c:v>
                      </c:pt>
                      <c:pt idx="1">
                        <c:v>EU14</c:v>
                      </c:pt>
                    </c:strCache>
                  </c:strRef>
                </c:tx>
                <c:spPr>
                  <a:ln w="28575" cap="rnd">
                    <a:solidFill>
                      <a:srgbClr val="92D050"/>
                    </a:solidFill>
                    <a:round/>
                  </a:ln>
                  <a:effectLst/>
                </c:spPr>
                <c:marker>
                  <c:symbol val="none"/>
                </c:marker>
                <c:cat>
                  <c:numRef>
                    <c:extLst>
                      <c:ext uri="{02D57815-91ED-43cb-92C2-25804820EDAC}">
                        <c15:formulaRef>
                          <c15:sqref>'Mnf &amp; R&amp;D Employees Graph'!$C$38:$V$38</c15:sqref>
                        </c15:formulaRef>
                      </c:ext>
                    </c:extLst>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extLst>
                      <c:ext uri="{02D57815-91ED-43cb-92C2-25804820EDAC}">
                        <c15:formulaRef>
                          <c15:sqref>'Mnf &amp; R&amp;D Employees Graph'!$C$39:$W$39</c15:sqref>
                        </c15:formulaRef>
                      </c:ext>
                    </c:extLst>
                    <c:numCache>
                      <c:formatCode>General</c:formatCode>
                      <c:ptCount val="21"/>
                      <c:pt idx="0">
                        <c:v>75192</c:v>
                      </c:pt>
                      <c:pt idx="1">
                        <c:v>74773</c:v>
                      </c:pt>
                      <c:pt idx="2">
                        <c:v>75206</c:v>
                      </c:pt>
                      <c:pt idx="3">
                        <c:v>73934</c:v>
                      </c:pt>
                      <c:pt idx="4">
                        <c:v>70158</c:v>
                      </c:pt>
                      <c:pt idx="5">
                        <c:v>72495</c:v>
                      </c:pt>
                      <c:pt idx="6">
                        <c:v>72665</c:v>
                      </c:pt>
                      <c:pt idx="7">
                        <c:v>72917</c:v>
                      </c:pt>
                      <c:pt idx="8">
                        <c:v>76242</c:v>
                      </c:pt>
                      <c:pt idx="9">
                        <c:v>77745</c:v>
                      </c:pt>
                      <c:pt idx="10">
                        <c:v>77382</c:v>
                      </c:pt>
                      <c:pt idx="11">
                        <c:v>77848</c:v>
                      </c:pt>
                      <c:pt idx="12">
                        <c:v>77481</c:v>
                      </c:pt>
                      <c:pt idx="13">
                        <c:v>79566</c:v>
                      </c:pt>
                      <c:pt idx="14">
                        <c:v>75105</c:v>
                      </c:pt>
                      <c:pt idx="15">
                        <c:v>70588</c:v>
                      </c:pt>
                      <c:pt idx="16">
                        <c:v>68437</c:v>
                      </c:pt>
                      <c:pt idx="17">
                        <c:v>63899</c:v>
                      </c:pt>
                      <c:pt idx="18">
                        <c:v>64126</c:v>
                      </c:pt>
                      <c:pt idx="19">
                        <c:v>60922</c:v>
                      </c:pt>
                      <c:pt idx="20">
                        <c:v>58298</c:v>
                      </c:pt>
                    </c:numCache>
                  </c:numRef>
                </c:val>
                <c:smooth val="0"/>
                <c:extLst>
                  <c:ext xmlns:c16="http://schemas.microsoft.com/office/drawing/2014/chart" uri="{C3380CC4-5D6E-409C-BE32-E72D297353CC}">
                    <c16:uniqueId val="{0000004A-8383-4B04-9D8F-73CAC30E500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'Mnf &amp; R&amp;D Employees Graph'!$A$41</c15:sqref>
                        </c15:formulaRef>
                      </c:ext>
                    </c:extLst>
                    <c:strCache>
                      <c:ptCount val="1"/>
                      <c:pt idx="0">
                        <c:v>US</c:v>
                      </c:pt>
                    </c:strCache>
                  </c:strRef>
                </c:tx>
                <c:spPr>
                  <a:ln w="19050" cap="rnd">
                    <a:solidFill>
                      <a:schemeClr val="bg2"/>
                    </a:solidFill>
                    <a:round/>
                  </a:ln>
                  <a:effectLst/>
                </c:spPr>
                <c:marker>
                  <c:symbol val="none"/>
                </c:marker>
                <c:cat>
                  <c:numRef>
                    <c:extLst xmlns:c15="http://schemas.microsoft.com/office/drawing/2012/chart">
                      <c:ext xmlns:c15="http://schemas.microsoft.com/office/drawing/2012/chart" uri="{02D57815-91ED-43cb-92C2-25804820EDAC}">
                        <c15:formulaRef>
                          <c15:sqref>'Mnf &amp; R&amp;D Employees Graph'!$C$38:$V$38</c15:sqref>
                        </c15:formulaRef>
                      </c:ext>
                    </c:extLst>
                    <c:numCache>
                      <c:formatCode>General</c:formatCode>
                      <c:ptCount val="20"/>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numCache>
                  </c:numRef>
                </c:cat>
                <c:val>
                  <c:numRef>
                    <c:extLst xmlns:c15="http://schemas.microsoft.com/office/drawing/2012/chart">
                      <c:ext xmlns:c15="http://schemas.microsoft.com/office/drawing/2012/chart" uri="{02D57815-91ED-43cb-92C2-25804820EDAC}">
                        <c15:formulaRef>
                          <c15:sqref>'Mnf &amp; R&amp;D Employees Graph'!$C$41:$W$41</c15:sqref>
                        </c15:formulaRef>
                      </c:ext>
                    </c:extLst>
                    <c:numCache>
                      <c:formatCode>General</c:formatCode>
                      <c:ptCount val="21"/>
                      <c:pt idx="2">
                        <c:v>94000</c:v>
                      </c:pt>
                      <c:pt idx="3">
                        <c:v>86000</c:v>
                      </c:pt>
                      <c:pt idx="4">
                        <c:v>80000</c:v>
                      </c:pt>
                      <c:pt idx="5">
                        <c:v>81000</c:v>
                      </c:pt>
                      <c:pt idx="6">
                        <c:v>84000</c:v>
                      </c:pt>
                      <c:pt idx="7">
                        <c:v>75000</c:v>
                      </c:pt>
                      <c:pt idx="8">
                        <c:v>70000</c:v>
                      </c:pt>
                      <c:pt idx="9">
                        <c:v>65000</c:v>
                      </c:pt>
                      <c:pt idx="10">
                        <c:v>73000</c:v>
                      </c:pt>
                      <c:pt idx="11">
                        <c:v>66000</c:v>
                      </c:pt>
                      <c:pt idx="12">
                        <c:v>74000</c:v>
                      </c:pt>
                      <c:pt idx="13">
                        <c:v>103000</c:v>
                      </c:pt>
                      <c:pt idx="14">
                        <c:v>90500</c:v>
                      </c:pt>
                      <c:pt idx="15">
                        <c:v>81100</c:v>
                      </c:pt>
                      <c:pt idx="16">
                        <c:v>79900</c:v>
                      </c:pt>
                      <c:pt idx="17">
                        <c:v>56300</c:v>
                      </c:pt>
                      <c:pt idx="18">
                        <c:v>51800</c:v>
                      </c:pt>
                      <c:pt idx="19">
                        <c:v>39600</c:v>
                      </c:pt>
                      <c:pt idx="20">
                        <c:v>43100</c:v>
                      </c:pt>
                    </c:numCache>
                  </c:numRef>
                </c:val>
                <c:smooth val="0"/>
                <c:extLst xmlns:c15="http://schemas.microsoft.com/office/drawing/2012/chart">
                  <c:ext xmlns:c16="http://schemas.microsoft.com/office/drawing/2014/chart" uri="{C3380CC4-5D6E-409C-BE32-E72D297353CC}">
                    <c16:uniqueId val="{0000004B-8383-4B04-9D8F-73CAC30E5004}"/>
                  </c:ext>
                </c:extLst>
              </c15:ser>
            </c15:filteredLineSeries>
          </c:ext>
        </c:extLst>
      </c:lineChart>
      <c:catAx>
        <c:axId val="356878464"/>
        <c:scaling>
          <c:orientation val="maxMin"/>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6882208"/>
        <c:crosses val="autoZero"/>
        <c:auto val="1"/>
        <c:lblAlgn val="ctr"/>
        <c:lblOffset val="100"/>
        <c:tickLblSkip val="2"/>
        <c:noMultiLvlLbl val="0"/>
      </c:catAx>
      <c:valAx>
        <c:axId val="356882208"/>
        <c:scaling>
          <c:orientation val="minMax"/>
          <c:max val="1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t>Number</a:t>
                </a:r>
                <a:r>
                  <a:rPr lang="en-US" sz="800" baseline="0"/>
                  <a:t> employed in pharmaceutical industry (FTE)</a:t>
                </a:r>
                <a:endParaRPr lang="en-US" sz="800"/>
              </a:p>
            </c:rich>
          </c:tx>
          <c:layout>
            <c:manualLayout>
              <c:xMode val="edge"/>
              <c:yMode val="edge"/>
              <c:x val="2.3138117169316096E-2"/>
              <c:y val="8.447449119365130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6878464"/>
        <c:crosses val="max"/>
        <c:crossBetween val="between"/>
      </c:valAx>
      <c:spPr>
        <a:noFill/>
        <a:ln>
          <a:noFill/>
        </a:ln>
        <a:effectLst/>
      </c:spPr>
    </c:plotArea>
    <c:legend>
      <c:legendPos val="r"/>
      <c:layout>
        <c:manualLayout>
          <c:xMode val="edge"/>
          <c:yMode val="edge"/>
          <c:x val="6.4338136978160751E-2"/>
          <c:y val="0.85350843422581391"/>
          <c:w val="0.93314613975139904"/>
          <c:h val="0.104208394691729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'Cell and gene therpay trials'!$K$12</c:f>
              <c:strCache>
                <c:ptCount val="1"/>
                <c:pt idx="0">
                  <c:v>North America</c:v>
                </c:pt>
              </c:strCache>
            </c:strRef>
          </c:tx>
          <c:spPr>
            <a:ln w="28575" cap="rnd">
              <a:solidFill>
                <a:schemeClr val="bg2"/>
              </a:solidFill>
              <a:round/>
            </a:ln>
            <a:effectLst/>
          </c:spPr>
          <c:marker>
            <c:symbol val="none"/>
          </c:marker>
          <c:dLbls>
            <c:dLbl>
              <c:idx val="0"/>
              <c:layout>
                <c:manualLayout>
                  <c:x val="-6.2790405626020368E-2"/>
                  <c:y val="-4.8888888888888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C3-43CD-AC6F-3867C0ADDA76}"/>
                </c:ext>
              </c:extLst>
            </c:dLbl>
            <c:dLbl>
              <c:idx val="3"/>
              <c:layout>
                <c:manualLayout>
                  <c:x val="-5.0232324500816272E-2"/>
                  <c:y val="-6.2222222222222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C3-43CD-AC6F-3867C0ADDA76}"/>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C3-43CD-AC6F-3867C0ADDA7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'Cell and gene therpay trials'!$L$11:$S$11</c:f>
              <c:numCache>
                <c:formatCode>General</c:formatCode>
                <c:ptCount val="8"/>
                <c:pt idx="0">
                  <c:v>2014</c:v>
                </c:pt>
                <c:pt idx="1">
                  <c:v>2015</c:v>
                </c:pt>
                <c:pt idx="2">
                  <c:v>2016</c:v>
                </c:pt>
                <c:pt idx="3">
                  <c:v>2017</c:v>
                </c:pt>
                <c:pt idx="4">
                  <c:v>2018</c:v>
                </c:pt>
                <c:pt idx="5">
                  <c:v>2019</c:v>
                </c:pt>
                <c:pt idx="6">
                  <c:v>2020</c:v>
                </c:pt>
                <c:pt idx="7">
                  <c:v>2021</c:v>
                </c:pt>
              </c:numCache>
            </c:numRef>
          </c:cat>
          <c:val>
            <c:numRef>
              <c:f>'Cell and gene therpay trials'!$L$12:$S$12</c:f>
              <c:numCache>
                <c:formatCode>General</c:formatCode>
                <c:ptCount val="8"/>
                <c:pt idx="0">
                  <c:v>112</c:v>
                </c:pt>
                <c:pt idx="1">
                  <c:v>151</c:v>
                </c:pt>
                <c:pt idx="2">
                  <c:v>122</c:v>
                </c:pt>
                <c:pt idx="3">
                  <c:v>162</c:v>
                </c:pt>
                <c:pt idx="4">
                  <c:v>176</c:v>
                </c:pt>
                <c:pt idx="5">
                  <c:v>158</c:v>
                </c:pt>
                <c:pt idx="6">
                  <c:v>180</c:v>
                </c:pt>
                <c:pt idx="7">
                  <c:v>191</c:v>
                </c:pt>
              </c:numCache>
            </c:numRef>
          </c:val>
          <c:smooth val="0"/>
          <c:extLst>
            <c:ext xmlns:c16="http://schemas.microsoft.com/office/drawing/2014/chart" uri="{C3380CC4-5D6E-409C-BE32-E72D297353CC}">
              <c16:uniqueId val="{00000000-0DC3-43CD-AC6F-3867C0ADDA76}"/>
            </c:ext>
          </c:extLst>
        </c:ser>
        <c:ser>
          <c:idx val="1"/>
          <c:order val="1"/>
          <c:tx>
            <c:strRef>
              <c:f>'Cell and gene therpay trials'!$K$13</c:f>
              <c:strCache>
                <c:ptCount val="1"/>
                <c:pt idx="0">
                  <c:v>Asia-Pacific</c:v>
                </c:pt>
              </c:strCache>
            </c:strRef>
          </c:tx>
          <c:spPr>
            <a:ln w="28575" cap="rnd">
              <a:solidFill>
                <a:srgbClr val="FF0000"/>
              </a:solidFill>
              <a:round/>
            </a:ln>
            <a:effectLst/>
          </c:spPr>
          <c:marker>
            <c:symbol val="none"/>
          </c:marker>
          <c:dLbls>
            <c:dLbl>
              <c:idx val="0"/>
              <c:layout>
                <c:manualLayout>
                  <c:x val="-4.7720708275775486E-2"/>
                  <c:y val="-6.22222222222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C3-43CD-AC6F-3867C0ADDA76}"/>
                </c:ext>
              </c:extLst>
            </c:dLbl>
            <c:dLbl>
              <c:idx val="3"/>
              <c:layout>
                <c:manualLayout>
                  <c:x val="-3.0139394700489767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C3-43CD-AC6F-3867C0ADDA76}"/>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C3-43CD-AC6F-3867C0ADDA7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'Cell and gene therpay trials'!$L$11:$S$11</c:f>
              <c:numCache>
                <c:formatCode>General</c:formatCode>
                <c:ptCount val="8"/>
                <c:pt idx="0">
                  <c:v>2014</c:v>
                </c:pt>
                <c:pt idx="1">
                  <c:v>2015</c:v>
                </c:pt>
                <c:pt idx="2">
                  <c:v>2016</c:v>
                </c:pt>
                <c:pt idx="3">
                  <c:v>2017</c:v>
                </c:pt>
                <c:pt idx="4">
                  <c:v>2018</c:v>
                </c:pt>
                <c:pt idx="5">
                  <c:v>2019</c:v>
                </c:pt>
                <c:pt idx="6">
                  <c:v>2020</c:v>
                </c:pt>
                <c:pt idx="7">
                  <c:v>2021</c:v>
                </c:pt>
              </c:numCache>
            </c:numRef>
          </c:cat>
          <c:val>
            <c:numRef>
              <c:f>'Cell and gene therpay trials'!$L$13:$S$13</c:f>
              <c:numCache>
                <c:formatCode>General</c:formatCode>
                <c:ptCount val="8"/>
                <c:pt idx="0">
                  <c:v>152</c:v>
                </c:pt>
                <c:pt idx="1">
                  <c:v>141</c:v>
                </c:pt>
                <c:pt idx="2">
                  <c:v>217</c:v>
                </c:pt>
                <c:pt idx="3">
                  <c:v>226</c:v>
                </c:pt>
                <c:pt idx="4">
                  <c:v>207</c:v>
                </c:pt>
                <c:pt idx="5">
                  <c:v>194</c:v>
                </c:pt>
                <c:pt idx="6">
                  <c:v>225</c:v>
                </c:pt>
                <c:pt idx="7">
                  <c:v>255</c:v>
                </c:pt>
              </c:numCache>
            </c:numRef>
          </c:val>
          <c:smooth val="0"/>
          <c:extLst>
            <c:ext xmlns:c16="http://schemas.microsoft.com/office/drawing/2014/chart" uri="{C3380CC4-5D6E-409C-BE32-E72D297353CC}">
              <c16:uniqueId val="{00000001-0DC3-43CD-AC6F-3867C0ADDA76}"/>
            </c:ext>
          </c:extLst>
        </c:ser>
        <c:ser>
          <c:idx val="2"/>
          <c:order val="2"/>
          <c:tx>
            <c:strRef>
              <c:f>'Cell and gene therpay trials'!$K$14</c:f>
              <c:strCache>
                <c:ptCount val="1"/>
                <c:pt idx="0">
                  <c:v>Europe</c:v>
                </c:pt>
              </c:strCache>
            </c:strRef>
          </c:tx>
          <c:spPr>
            <a:ln w="28575" cap="rnd">
              <a:solidFill>
                <a:srgbClr val="00B050"/>
              </a:solidFill>
              <a:round/>
            </a:ln>
            <a:effectLst/>
          </c:spPr>
          <c:marker>
            <c:symbol val="none"/>
          </c:marker>
          <c:dLbls>
            <c:dLbl>
              <c:idx val="0"/>
              <c:layout>
                <c:manualLayout>
                  <c:x val="-6.5302021851061182E-2"/>
                  <c:y val="7.111111111111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C3-43CD-AC6F-3867C0ADDA76}"/>
                </c:ext>
              </c:extLst>
            </c:dLbl>
            <c:dLbl>
              <c:idx val="3"/>
              <c:layout>
                <c:manualLayout>
                  <c:x val="-2.762777847544895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C3-43CD-AC6F-3867C0ADDA76}"/>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C3-43CD-AC6F-3867C0ADDA7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'Cell and gene therpay trials'!$L$11:$S$11</c:f>
              <c:numCache>
                <c:formatCode>General</c:formatCode>
                <c:ptCount val="8"/>
                <c:pt idx="0">
                  <c:v>2014</c:v>
                </c:pt>
                <c:pt idx="1">
                  <c:v>2015</c:v>
                </c:pt>
                <c:pt idx="2">
                  <c:v>2016</c:v>
                </c:pt>
                <c:pt idx="3">
                  <c:v>2017</c:v>
                </c:pt>
                <c:pt idx="4">
                  <c:v>2018</c:v>
                </c:pt>
                <c:pt idx="5">
                  <c:v>2019</c:v>
                </c:pt>
                <c:pt idx="6">
                  <c:v>2020</c:v>
                </c:pt>
                <c:pt idx="7">
                  <c:v>2021</c:v>
                </c:pt>
              </c:numCache>
            </c:numRef>
          </c:cat>
          <c:val>
            <c:numRef>
              <c:f>'Cell and gene therpay trials'!$L$14:$S$14</c:f>
              <c:numCache>
                <c:formatCode>General</c:formatCode>
                <c:ptCount val="8"/>
                <c:pt idx="0">
                  <c:v>104</c:v>
                </c:pt>
                <c:pt idx="1">
                  <c:v>84</c:v>
                </c:pt>
                <c:pt idx="2">
                  <c:v>88</c:v>
                </c:pt>
                <c:pt idx="3">
                  <c:v>86</c:v>
                </c:pt>
                <c:pt idx="4">
                  <c:v>111</c:v>
                </c:pt>
                <c:pt idx="5">
                  <c:v>92</c:v>
                </c:pt>
                <c:pt idx="6">
                  <c:v>82</c:v>
                </c:pt>
                <c:pt idx="7">
                  <c:v>89</c:v>
                </c:pt>
              </c:numCache>
            </c:numRef>
          </c:val>
          <c:smooth val="0"/>
          <c:extLst>
            <c:ext xmlns:c16="http://schemas.microsoft.com/office/drawing/2014/chart" uri="{C3380CC4-5D6E-409C-BE32-E72D297353CC}">
              <c16:uniqueId val="{00000002-0DC3-43CD-AC6F-3867C0ADDA76}"/>
            </c:ext>
          </c:extLst>
        </c:ser>
        <c:dLbls>
          <c:showLegendKey val="0"/>
          <c:showVal val="0"/>
          <c:showCatName val="0"/>
          <c:showSerName val="0"/>
          <c:showPercent val="0"/>
          <c:showBubbleSize val="0"/>
        </c:dLbls>
        <c:smooth val="0"/>
        <c:axId val="116065120"/>
        <c:axId val="116051808"/>
      </c:lineChart>
      <c:dateAx>
        <c:axId val="11606512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6051808"/>
        <c:crosses val="autoZero"/>
        <c:auto val="0"/>
        <c:lblOffset val="100"/>
        <c:baseTimeUnit val="days"/>
        <c:majorUnit val="1"/>
      </c:dateAx>
      <c:valAx>
        <c:axId val="11605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clinical trials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606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555555555555555E-2"/>
          <c:y val="5.0925925925925923E-2"/>
          <c:w val="0.83659864391951011"/>
          <c:h val="0.78493875765529308"/>
        </c:manualLayout>
      </c:layout>
      <c:lineChart>
        <c:grouping val="standard"/>
        <c:varyColors val="0"/>
        <c:ser>
          <c:idx val="0"/>
          <c:order val="0"/>
          <c:tx>
            <c:strRef>
              <c:f>'Pharma Production &amp; Manu invest'!$C$102</c:f>
              <c:strCache>
                <c:ptCount val="1"/>
                <c:pt idx="0">
                  <c:v>EU + UK, CH</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101-404C-9E92-717ACBC9A3AE}"/>
                </c:ext>
              </c:extLst>
            </c:dLbl>
            <c:dLbl>
              <c:idx val="1"/>
              <c:layout>
                <c:manualLayout>
                  <c:x val="-0.11584747189620165"/>
                  <c:y val="-0.14695602074130981"/>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r>
                      <a:rPr lang="en-US" b="1">
                        <a:solidFill>
                          <a:schemeClr val="bg1"/>
                        </a:solidFill>
                      </a:rPr>
                      <a:t>CAGR 10.9% </a:t>
                    </a:r>
                  </a:p>
                </c:rich>
              </c:tx>
              <c:spPr>
                <a:xfrm>
                  <a:off x="3466694" y="1035552"/>
                  <a:ext cx="777426" cy="198424"/>
                </a:xfrm>
                <a:solidFill>
                  <a:srgbClr val="00B050"/>
                </a:solidFill>
                <a:ln w="9525"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47186"/>
                        <a:gd name="adj2" fmla="val 371495"/>
                        <a:gd name="adj3" fmla="val 16667"/>
                      </a:avLst>
                    </a:prstGeom>
                    <a:noFill/>
                    <a:ln>
                      <a:noFill/>
                    </a:ln>
                  </c15:spPr>
                  <c15:layout>
                    <c:manualLayout>
                      <c:w val="0.15399910860199079"/>
                      <c:h val="6.7446306962547012E-2"/>
                    </c:manualLayout>
                  </c15:layout>
                  <c15:showDataLabelsRange val="0"/>
                </c:ext>
                <c:ext xmlns:c16="http://schemas.microsoft.com/office/drawing/2014/chart" uri="{C3380CC4-5D6E-409C-BE32-E72D297353CC}">
                  <c16:uniqueId val="{00000001-C101-404C-9E92-717ACBC9A3AE}"/>
                </c:ext>
              </c:extLst>
            </c:dLbl>
            <c:dLbl>
              <c:idx val="2"/>
              <c:delete val="1"/>
              <c:extLst>
                <c:ext xmlns:c15="http://schemas.microsoft.com/office/drawing/2012/chart" uri="{CE6537A1-D6FC-4f65-9D91-7224C49458BB}"/>
                <c:ext xmlns:c16="http://schemas.microsoft.com/office/drawing/2014/chart" uri="{C3380CC4-5D6E-409C-BE32-E72D297353CC}">
                  <c16:uniqueId val="{00000002-C101-404C-9E92-717ACBC9A3AE}"/>
                </c:ext>
              </c:extLst>
            </c:dLbl>
            <c:dLbl>
              <c:idx val="3"/>
              <c:delete val="1"/>
              <c:extLst>
                <c:ext xmlns:c15="http://schemas.microsoft.com/office/drawing/2012/chart" uri="{CE6537A1-D6FC-4f65-9D91-7224C49458BB}"/>
                <c:ext xmlns:c16="http://schemas.microsoft.com/office/drawing/2014/chart" uri="{C3380CC4-5D6E-409C-BE32-E72D297353CC}">
                  <c16:uniqueId val="{00000003-C101-404C-9E92-717ACBC9A3AE}"/>
                </c:ext>
              </c:extLst>
            </c:dLbl>
            <c:dLbl>
              <c:idx val="4"/>
              <c:layout>
                <c:manualLayout>
                  <c:x val="-4.5283018867924622E-2"/>
                  <c:y val="-6.475285991797971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01-404C-9E92-717ACBC9A3AE}"/>
                </c:ext>
              </c:extLst>
            </c:dLbl>
            <c:dLbl>
              <c:idx val="5"/>
              <c:delete val="1"/>
              <c:extLst>
                <c:ext xmlns:c15="http://schemas.microsoft.com/office/drawing/2012/chart" uri="{CE6537A1-D6FC-4f65-9D91-7224C49458BB}"/>
                <c:ext xmlns:c16="http://schemas.microsoft.com/office/drawing/2014/chart" uri="{C3380CC4-5D6E-409C-BE32-E72D297353CC}">
                  <c16:uniqueId val="{00000005-C101-404C-9E92-717ACBC9A3AE}"/>
                </c:ext>
              </c:extLst>
            </c:dLbl>
            <c:dLbl>
              <c:idx val="6"/>
              <c:delete val="1"/>
              <c:extLst>
                <c:ext xmlns:c15="http://schemas.microsoft.com/office/drawing/2012/chart" uri="{CE6537A1-D6FC-4f65-9D91-7224C49458BB}"/>
                <c:ext xmlns:c16="http://schemas.microsoft.com/office/drawing/2014/chart" uri="{C3380CC4-5D6E-409C-BE32-E72D297353CC}">
                  <c16:uniqueId val="{00000006-C101-404C-9E92-717ACBC9A3AE}"/>
                </c:ext>
              </c:extLst>
            </c:dLbl>
            <c:dLbl>
              <c:idx val="7"/>
              <c:delete val="1"/>
              <c:extLst>
                <c:ext xmlns:c15="http://schemas.microsoft.com/office/drawing/2012/chart" uri="{CE6537A1-D6FC-4f65-9D91-7224C49458BB}"/>
                <c:ext xmlns:c16="http://schemas.microsoft.com/office/drawing/2014/chart" uri="{C3380CC4-5D6E-409C-BE32-E72D297353CC}">
                  <c16:uniqueId val="{00000007-C101-404C-9E92-717ACBC9A3AE}"/>
                </c:ext>
              </c:extLst>
            </c:dLbl>
            <c:dLbl>
              <c:idx val="8"/>
              <c:delete val="1"/>
              <c:extLst>
                <c:ext xmlns:c15="http://schemas.microsoft.com/office/drawing/2012/chart" uri="{CE6537A1-D6FC-4f65-9D91-7224C49458BB}"/>
                <c:ext xmlns:c16="http://schemas.microsoft.com/office/drawing/2014/chart" uri="{C3380CC4-5D6E-409C-BE32-E72D297353CC}">
                  <c16:uniqueId val="{00000008-C101-404C-9E92-717ACBC9A3AE}"/>
                </c:ext>
              </c:extLst>
            </c:dLbl>
            <c:dLbl>
              <c:idx val="9"/>
              <c:layout>
                <c:manualLayout>
                  <c:x val="5.0314465408805029E-3"/>
                  <c:y val="3.885171595078774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01-404C-9E92-717ACBC9A3AE}"/>
                </c:ext>
              </c:extLst>
            </c:dLbl>
            <c:dLbl>
              <c:idx val="10"/>
              <c:delete val="1"/>
              <c:extLst>
                <c:ext xmlns:c15="http://schemas.microsoft.com/office/drawing/2012/chart" uri="{CE6537A1-D6FC-4f65-9D91-7224C49458BB}"/>
                <c:ext xmlns:c16="http://schemas.microsoft.com/office/drawing/2014/chart" uri="{C3380CC4-5D6E-409C-BE32-E72D297353CC}">
                  <c16:uniqueId val="{0000000A-C101-404C-9E92-717ACBC9A3AE}"/>
                </c:ext>
              </c:extLst>
            </c:dLbl>
            <c:dLbl>
              <c:idx val="11"/>
              <c:delete val="1"/>
              <c:extLst>
                <c:ext xmlns:c15="http://schemas.microsoft.com/office/drawing/2012/chart" uri="{CE6537A1-D6FC-4f65-9D91-7224C49458BB}"/>
                <c:ext xmlns:c16="http://schemas.microsoft.com/office/drawing/2014/chart" uri="{C3380CC4-5D6E-409C-BE32-E72D297353CC}">
                  <c16:uniqueId val="{0000000B-C101-404C-9E92-717ACBC9A3AE}"/>
                </c:ext>
              </c:extLst>
            </c:dLbl>
            <c:dLbl>
              <c:idx val="12"/>
              <c:delete val="1"/>
              <c:extLst>
                <c:ext xmlns:c15="http://schemas.microsoft.com/office/drawing/2012/chart" uri="{CE6537A1-D6FC-4f65-9D91-7224C49458BB}"/>
                <c:ext xmlns:c16="http://schemas.microsoft.com/office/drawing/2014/chart" uri="{C3380CC4-5D6E-409C-BE32-E72D297353CC}">
                  <c16:uniqueId val="{0000000C-C101-404C-9E92-717ACBC9A3AE}"/>
                </c:ext>
              </c:extLst>
            </c:dLbl>
            <c:dLbl>
              <c:idx val="13"/>
              <c:delete val="1"/>
              <c:extLst>
                <c:ext xmlns:c15="http://schemas.microsoft.com/office/drawing/2012/chart" uri="{CE6537A1-D6FC-4f65-9D91-7224C49458BB}"/>
                <c:ext xmlns:c16="http://schemas.microsoft.com/office/drawing/2014/chart" uri="{C3380CC4-5D6E-409C-BE32-E72D297353CC}">
                  <c16:uniqueId val="{0000000D-C101-404C-9E92-717ACBC9A3AE}"/>
                </c:ext>
              </c:extLst>
            </c:dLbl>
            <c:dLbl>
              <c:idx val="14"/>
              <c:delete val="1"/>
              <c:extLst>
                <c:ext xmlns:c15="http://schemas.microsoft.com/office/drawing/2012/chart" uri="{CE6537A1-D6FC-4f65-9D91-7224C49458BB}"/>
                <c:ext xmlns:c16="http://schemas.microsoft.com/office/drawing/2014/chart" uri="{C3380CC4-5D6E-409C-BE32-E72D297353CC}">
                  <c16:uniqueId val="{0000000E-C101-404C-9E92-717ACBC9A3AE}"/>
                </c:ext>
              </c:extLst>
            </c:dLbl>
            <c:spPr>
              <a:solidFill>
                <a:srgbClr val="00B050"/>
              </a:solidFill>
              <a:ln>
                <a:solidFill>
                  <a:srgbClr val="FFFFFF"/>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'Pharma Production &amp; Manu invest'!$E$101:$T$101</c:f>
              <c:numCache>
                <c:formatCode>General</c:formatCode>
                <c:ptCount val="16"/>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numCache>
              <c:extLst/>
            </c:numRef>
          </c:cat>
          <c:val>
            <c:numRef>
              <c:f>'Pharma Production &amp; Manu invest'!$E$102:$T$102</c:f>
              <c:numCache>
                <c:formatCode>General</c:formatCode>
                <c:ptCount val="16"/>
                <c:pt idx="0">
                  <c:v>345.69019679374145</c:v>
                </c:pt>
                <c:pt idx="1">
                  <c:v>540.76528647575037</c:v>
                </c:pt>
                <c:pt idx="2">
                  <c:v>451.83316106280779</c:v>
                </c:pt>
                <c:pt idx="3">
                  <c:v>395.92225532518597</c:v>
                </c:pt>
                <c:pt idx="4">
                  <c:v>482.14872013133083</c:v>
                </c:pt>
                <c:pt idx="5">
                  <c:v>401.60920937962334</c:v>
                </c:pt>
                <c:pt idx="6">
                  <c:v>384.93342250866414</c:v>
                </c:pt>
                <c:pt idx="7">
                  <c:v>341.29628503678487</c:v>
                </c:pt>
                <c:pt idx="8">
                  <c:v>283.6525404835736</c:v>
                </c:pt>
                <c:pt idx="9">
                  <c:v>281.34006201738919</c:v>
                </c:pt>
                <c:pt idx="10">
                  <c:v>325.64804118278914</c:v>
                </c:pt>
                <c:pt idx="11">
                  <c:v>287.21347358180822</c:v>
                </c:pt>
                <c:pt idx="12">
                  <c:v>97.440262661883636</c:v>
                </c:pt>
                <c:pt idx="13">
                  <c:v>80.965120285361053</c:v>
                </c:pt>
                <c:pt idx="14">
                  <c:v>100</c:v>
                </c:pt>
              </c:numCache>
              <c:extLst/>
            </c:numRef>
          </c:val>
          <c:smooth val="0"/>
          <c:extLst>
            <c:ext xmlns:c16="http://schemas.microsoft.com/office/drawing/2014/chart" uri="{C3380CC4-5D6E-409C-BE32-E72D297353CC}">
              <c16:uniqueId val="{0000000F-C101-404C-9E92-717ACBC9A3AE}"/>
            </c:ext>
          </c:extLst>
        </c:ser>
        <c:ser>
          <c:idx val="1"/>
          <c:order val="1"/>
          <c:tx>
            <c:strRef>
              <c:f>'Pharma Production &amp; Manu invest'!$C$103</c:f>
              <c:strCache>
                <c:ptCount val="1"/>
                <c:pt idx="0">
                  <c:v>China</c:v>
                </c:pt>
              </c:strCache>
            </c:strRef>
          </c:tx>
          <c:spPr>
            <a:ln w="28575" cap="rnd">
              <a:solidFill>
                <a:srgbClr val="FF0000"/>
              </a:solidFill>
              <a:round/>
            </a:ln>
            <a:effectLst/>
          </c:spPr>
          <c:marker>
            <c:symbol val="none"/>
          </c:marker>
          <c:dLbls>
            <c:dLbl>
              <c:idx val="0"/>
              <c:layout>
                <c:manualLayout>
                  <c:x val="-0.17119340084521781"/>
                  <c:y val="-7.8914909636214697E-2"/>
                </c:manualLayout>
              </c:layout>
              <c:tx>
                <c:rich>
                  <a:bodyPr/>
                  <a:lstStyle/>
                  <a:p>
                    <a:r>
                      <a:rPr lang="en-US"/>
                      <a:t>CAGR</a:t>
                    </a:r>
                    <a:r>
                      <a:rPr lang="en-US" baseline="0"/>
                      <a:t> 19%</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101-404C-9E92-717ACBC9A3AE}"/>
                </c:ext>
              </c:extLst>
            </c:dLbl>
            <c:dLbl>
              <c:idx val="4"/>
              <c:layout>
                <c:manualLayout>
                  <c:x val="-0.12327044025157242"/>
                  <c:y val="-6.4752859917979716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929B43BE-BC97-4705-A445-623B9492B134}" type="VALUE">
                      <a:rPr lang="en-US"/>
                      <a:pPr>
                        <a:defRPr/>
                      </a:pPr>
                      <a:t>[WARTOŚĆ]</a:t>
                    </a:fld>
                    <a:endParaRPr lang="pl-PL"/>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A49-473E-8001-8A19B25C1D0F}"/>
                </c:ext>
              </c:extLst>
            </c:dLbl>
            <c:dLbl>
              <c:idx val="9"/>
              <c:layout>
                <c:manualLayout>
                  <c:x val="-0.10314465408805032"/>
                  <c:y val="-8.633714655730635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101-404C-9E92-717ACBC9A3AE}"/>
                </c:ext>
              </c:extLst>
            </c:dLbl>
            <c:numFmt formatCode="#,##0.00" sourceLinked="0"/>
            <c:spPr>
              <a:solidFill>
                <a:srgbClr val="FF000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'Pharma Production &amp; Manu invest'!$E$101:$T$101</c:f>
              <c:numCache>
                <c:formatCode>General</c:formatCode>
                <c:ptCount val="16"/>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numCache>
              <c:extLst/>
            </c:numRef>
          </c:cat>
          <c:val>
            <c:numRef>
              <c:f>'Pharma Production &amp; Manu invest'!$E$103:$T$103</c:f>
              <c:numCache>
                <c:formatCode>General</c:formatCode>
                <c:ptCount val="16"/>
                <c:pt idx="0">
                  <c:v>1249.8188113756707</c:v>
                </c:pt>
                <c:pt idx="1">
                  <c:v>1142.2689712789515</c:v>
                </c:pt>
                <c:pt idx="2">
                  <c:v>1124.9150981189459</c:v>
                </c:pt>
                <c:pt idx="3">
                  <c:v>1227.0202751893723</c:v>
                </c:pt>
                <c:pt idx="4">
                  <c:v>1194.5311171785606</c:v>
                </c:pt>
                <c:pt idx="5">
                  <c:v>910.19651861825798</c:v>
                </c:pt>
                <c:pt idx="6">
                  <c:v>794.68425638183851</c:v>
                </c:pt>
                <c:pt idx="7">
                  <c:v>632.40466790978883</c:v>
                </c:pt>
                <c:pt idx="8">
                  <c:v>422.2679898818127</c:v>
                </c:pt>
                <c:pt idx="9">
                  <c:v>310.62783492648043</c:v>
                </c:pt>
                <c:pt idx="10">
                  <c:v>219.12764794253928</c:v>
                </c:pt>
                <c:pt idx="11">
                  <c:v>151.40643290642367</c:v>
                </c:pt>
                <c:pt idx="12">
                  <c:v>115.98017325698527</c:v>
                </c:pt>
                <c:pt idx="13">
                  <c:v>108.83883330614393</c:v>
                </c:pt>
                <c:pt idx="14">
                  <c:v>100</c:v>
                </c:pt>
              </c:numCache>
              <c:extLst/>
            </c:numRef>
          </c:val>
          <c:smooth val="0"/>
          <c:extLst>
            <c:ext xmlns:c16="http://schemas.microsoft.com/office/drawing/2014/chart" uri="{C3380CC4-5D6E-409C-BE32-E72D297353CC}">
              <c16:uniqueId val="{00000011-C101-404C-9E92-717ACBC9A3AE}"/>
            </c:ext>
          </c:extLst>
        </c:ser>
        <c:ser>
          <c:idx val="2"/>
          <c:order val="2"/>
          <c:tx>
            <c:strRef>
              <c:f>'Pharma Production &amp; Manu invest'!$C$104</c:f>
              <c:strCache>
                <c:ptCount val="1"/>
                <c:pt idx="0">
                  <c:v>US</c:v>
                </c:pt>
              </c:strCache>
            </c:strRef>
          </c:tx>
          <c:spPr>
            <a:ln w="28575" cap="rnd">
              <a:solidFill>
                <a:schemeClr val="bg2"/>
              </a:solidFill>
              <a:round/>
            </a:ln>
            <a:effectLst/>
          </c:spPr>
          <c:marker>
            <c:symbol val="none"/>
          </c:marker>
          <c:dLbls>
            <c:dLbl>
              <c:idx val="0"/>
              <c:layout>
                <c:manualLayout>
                  <c:x val="-0.16460903927424783"/>
                  <c:y val="-4.6033697287791907E-2"/>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r>
                      <a:rPr lang="en-US" b="1">
                        <a:solidFill>
                          <a:schemeClr val="bg1"/>
                        </a:solidFill>
                      </a:rPr>
                      <a:t>CAGR 5.1%</a:t>
                    </a:r>
                  </a:p>
                </c:rich>
              </c:tx>
              <c:spPr>
                <a:solidFill>
                  <a:srgbClr val="ED8903"/>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0"/>
                </c:ext>
                <c:ext xmlns:c16="http://schemas.microsoft.com/office/drawing/2014/chart" uri="{C3380CC4-5D6E-409C-BE32-E72D297353CC}">
                  <c16:uniqueId val="{00000012-C101-404C-9E92-717ACBC9A3AE}"/>
                </c:ext>
              </c:extLst>
            </c:dLbl>
            <c:dLbl>
              <c:idx val="4"/>
              <c:layout>
                <c:manualLayout>
                  <c:x val="-5.0314465408805034E-2"/>
                  <c:y val="6.906971724584502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101-404C-9E92-717ACBC9A3AE}"/>
                </c:ext>
              </c:extLst>
            </c:dLbl>
            <c:dLbl>
              <c:idx val="9"/>
              <c:layout>
                <c:manualLayout>
                  <c:x val="-0.14339622641509434"/>
                  <c:y val="4.7485430606518456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8498473-EB0B-44CF-83FD-8255EC105E9F}" type="VALUE">
                      <a:rPr lang="en-US"/>
                      <a:pPr>
                        <a:defRPr/>
                      </a:pPr>
                      <a:t>[WARTOŚĆ]</a:t>
                    </a:fld>
                    <a:endParaRPr lang="pl-PL"/>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C101-404C-9E92-717ACBC9A3AE}"/>
                </c:ext>
              </c:extLst>
            </c:dLbl>
            <c:dLbl>
              <c:idx val="14"/>
              <c:layout>
                <c:manualLayout>
                  <c:x val="-3.5220125786163535E-2"/>
                  <c:y val="-6.906971724584511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101-404C-9E92-717ACBC9A3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'Pharma Production &amp; Manu invest'!$E$101:$T$101</c:f>
              <c:numCache>
                <c:formatCode>General</c:formatCode>
                <c:ptCount val="16"/>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numCache>
              <c:extLst/>
            </c:numRef>
          </c:cat>
          <c:val>
            <c:numRef>
              <c:f>'Pharma Production &amp; Manu invest'!$E$104:$T$104</c:f>
              <c:numCache>
                <c:formatCode>General</c:formatCode>
                <c:ptCount val="16"/>
                <c:pt idx="0">
                  <c:v>215.03470337055569</c:v>
                </c:pt>
                <c:pt idx="1">
                  <c:v>185.33507461591512</c:v>
                </c:pt>
                <c:pt idx="2">
                  <c:v>177.97619921055335</c:v>
                </c:pt>
                <c:pt idx="3">
                  <c:v>178.74657001570085</c:v>
                </c:pt>
                <c:pt idx="4">
                  <c:v>178.71868992941936</c:v>
                </c:pt>
                <c:pt idx="5">
                  <c:v>162.10656062451395</c:v>
                </c:pt>
                <c:pt idx="6">
                  <c:v>146.4364847613318</c:v>
                </c:pt>
                <c:pt idx="7">
                  <c:v>141.24491922111844</c:v>
                </c:pt>
                <c:pt idx="8">
                  <c:v>134.14870357598792</c:v>
                </c:pt>
                <c:pt idx="9">
                  <c:v>130.87792924327576</c:v>
                </c:pt>
                <c:pt idx="10">
                  <c:v>129.03050668388386</c:v>
                </c:pt>
                <c:pt idx="11">
                  <c:v>139.26543309512979</c:v>
                </c:pt>
                <c:pt idx="12">
                  <c:v>138.1370232872089</c:v>
                </c:pt>
                <c:pt idx="13">
                  <c:v>107.25762667097096</c:v>
                </c:pt>
                <c:pt idx="14">
                  <c:v>100</c:v>
                </c:pt>
              </c:numCache>
              <c:extLst/>
            </c:numRef>
          </c:val>
          <c:smooth val="0"/>
          <c:extLst>
            <c:ext xmlns:c16="http://schemas.microsoft.com/office/drawing/2014/chart" uri="{C3380CC4-5D6E-409C-BE32-E72D297353CC}">
              <c16:uniqueId val="{00000013-C101-404C-9E92-717ACBC9A3AE}"/>
            </c:ext>
          </c:extLst>
        </c:ser>
        <c:dLbls>
          <c:showLegendKey val="0"/>
          <c:showVal val="0"/>
          <c:showCatName val="0"/>
          <c:showSerName val="0"/>
          <c:showPercent val="0"/>
          <c:showBubbleSize val="0"/>
        </c:dLbls>
        <c:smooth val="0"/>
        <c:axId val="318544671"/>
        <c:axId val="318534271"/>
      </c:lineChart>
      <c:catAx>
        <c:axId val="31854467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18534271"/>
        <c:crosses val="autoZero"/>
        <c:auto val="1"/>
        <c:lblAlgn val="ctr"/>
        <c:lblOffset val="100"/>
        <c:noMultiLvlLbl val="0"/>
      </c:catAx>
      <c:valAx>
        <c:axId val="318534271"/>
        <c:scaling>
          <c:orientation val="minMax"/>
          <c:min val="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Relative manufacturing investments size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18544671"/>
        <c:crosses val="autoZero"/>
        <c:crossBetween val="between"/>
        <c:majorUnit val="100"/>
      </c:valAx>
      <c:spPr>
        <a:noFill/>
        <a:ln>
          <a:noFill/>
        </a:ln>
        <a:effectLst/>
      </c:spPr>
    </c:plotArea>
    <c:legend>
      <c:legendPos val="r"/>
      <c:layout>
        <c:manualLayout>
          <c:xMode val="edge"/>
          <c:yMode val="edge"/>
          <c:x val="6.7068460192475934E-2"/>
          <c:y val="0.87818205016039663"/>
          <c:w val="0.67459820647419066"/>
          <c:h val="0.118635899679206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98936299796885"/>
          <c:y val="6.673099905065058E-2"/>
          <c:w val="0.83957368805191623"/>
          <c:h val="0.8019585636901770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D8903"/>
              </a:solidFill>
              <a:ln>
                <a:noFill/>
              </a:ln>
              <a:effectLst/>
            </c:spPr>
            <c:extLst>
              <c:ext xmlns:c16="http://schemas.microsoft.com/office/drawing/2014/chart" uri="{C3380CC4-5D6E-409C-BE32-E72D297353CC}">
                <c16:uniqueId val="{00000002-168F-4D10-9C0D-AF99C216AFA5}"/>
              </c:ext>
            </c:extLst>
          </c:dPt>
          <c:dPt>
            <c:idx val="1"/>
            <c:invertIfNegative val="0"/>
            <c:bubble3D val="0"/>
            <c:spPr>
              <a:solidFill>
                <a:srgbClr val="00B050"/>
              </a:solidFill>
              <a:ln>
                <a:noFill/>
              </a:ln>
              <a:effectLst/>
            </c:spPr>
            <c:extLst>
              <c:ext xmlns:c16="http://schemas.microsoft.com/office/drawing/2014/chart" uri="{C3380CC4-5D6E-409C-BE32-E72D297353CC}">
                <c16:uniqueId val="{00000003-168F-4D10-9C0D-AF99C216AFA5}"/>
              </c:ext>
            </c:extLst>
          </c:dPt>
          <c:dPt>
            <c:idx val="2"/>
            <c:invertIfNegative val="0"/>
            <c:bubble3D val="0"/>
            <c:spPr>
              <a:solidFill>
                <a:srgbClr val="FF0000"/>
              </a:solidFill>
              <a:ln>
                <a:noFill/>
              </a:ln>
              <a:effectLst/>
            </c:spPr>
            <c:extLst>
              <c:ext xmlns:c16="http://schemas.microsoft.com/office/drawing/2014/chart" uri="{C3380CC4-5D6E-409C-BE32-E72D297353CC}">
                <c16:uniqueId val="{00000004-168F-4D10-9C0D-AF99C216AFA5}"/>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'GTx facilities'!$I$10:$I$12</c:f>
              <c:strCache>
                <c:ptCount val="3"/>
                <c:pt idx="0">
                  <c:v>US </c:v>
                </c:pt>
                <c:pt idx="1">
                  <c:v>EU + UK + CH</c:v>
                </c:pt>
                <c:pt idx="2">
                  <c:v>China </c:v>
                </c:pt>
              </c:strCache>
            </c:strRef>
          </c:cat>
          <c:val>
            <c:numRef>
              <c:f>'GTx facilities'!$J$10:$J$12</c:f>
              <c:numCache>
                <c:formatCode>General</c:formatCode>
                <c:ptCount val="3"/>
                <c:pt idx="0">
                  <c:v>121</c:v>
                </c:pt>
                <c:pt idx="1">
                  <c:v>96</c:v>
                </c:pt>
                <c:pt idx="2">
                  <c:v>16</c:v>
                </c:pt>
              </c:numCache>
            </c:numRef>
          </c:val>
          <c:extLst>
            <c:ext xmlns:c16="http://schemas.microsoft.com/office/drawing/2014/chart" uri="{C3380CC4-5D6E-409C-BE32-E72D297353CC}">
              <c16:uniqueId val="{00000000-168F-4D10-9C0D-AF99C216AFA5}"/>
            </c:ext>
          </c:extLst>
        </c:ser>
        <c:dLbls>
          <c:showLegendKey val="0"/>
          <c:showVal val="0"/>
          <c:showCatName val="0"/>
          <c:showSerName val="0"/>
          <c:showPercent val="0"/>
          <c:showBubbleSize val="0"/>
        </c:dLbls>
        <c:gapWidth val="219"/>
        <c:overlap val="-27"/>
        <c:axId val="991063743"/>
        <c:axId val="991064159"/>
      </c:barChart>
      <c:catAx>
        <c:axId val="99106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91064159"/>
        <c:crosses val="autoZero"/>
        <c:auto val="1"/>
        <c:lblAlgn val="ctr"/>
        <c:lblOffset val="100"/>
        <c:noMultiLvlLbl val="0"/>
      </c:catAx>
      <c:valAx>
        <c:axId val="991064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facilities</a:t>
                </a:r>
              </a:p>
            </c:rich>
          </c:tx>
          <c:layout>
            <c:manualLayout>
              <c:xMode val="edge"/>
              <c:yMode val="edge"/>
              <c:x val="2.501344356229147E-2"/>
              <c:y val="0.2576958731222426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91063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DA07-4FE9-BF7C-149B92E18CE4}"/>
              </c:ext>
            </c:extLst>
          </c:dPt>
          <c:dPt>
            <c:idx val="1"/>
            <c:invertIfNegative val="0"/>
            <c:bubble3D val="0"/>
            <c:spPr>
              <a:solidFill>
                <a:schemeClr val="bg2"/>
              </a:solidFill>
              <a:ln>
                <a:noFill/>
              </a:ln>
              <a:effectLst/>
            </c:spPr>
            <c:extLst>
              <c:ext xmlns:c16="http://schemas.microsoft.com/office/drawing/2014/chart" uri="{C3380CC4-5D6E-409C-BE32-E72D297353CC}">
                <c16:uniqueId val="{00000001-DA07-4FE9-BF7C-149B92E18CE4}"/>
              </c:ext>
            </c:extLst>
          </c:dPt>
          <c:dPt>
            <c:idx val="2"/>
            <c:invertIfNegative val="0"/>
            <c:bubble3D val="0"/>
            <c:spPr>
              <a:solidFill>
                <a:srgbClr val="00B050"/>
              </a:solidFill>
              <a:ln>
                <a:noFill/>
              </a:ln>
              <a:effectLst/>
            </c:spPr>
            <c:extLst>
              <c:ext xmlns:c16="http://schemas.microsoft.com/office/drawing/2014/chart" uri="{C3380CC4-5D6E-409C-BE32-E72D297353CC}">
                <c16:uniqueId val="{00000000-DA07-4FE9-BF7C-149B92E18CE4}"/>
              </c:ext>
            </c:extLst>
          </c:dPt>
          <c:cat>
            <c:strRef>
              <c:f>Sheet1!$A$2:$A$4</c:f>
              <c:strCache>
                <c:ptCount val="3"/>
                <c:pt idx="0">
                  <c:v>China</c:v>
                </c:pt>
                <c:pt idx="1">
                  <c:v>US</c:v>
                </c:pt>
                <c:pt idx="2">
                  <c:v>Europe</c:v>
                </c:pt>
              </c:strCache>
            </c:strRef>
          </c:cat>
          <c:val>
            <c:numRef>
              <c:f>Sheet1!$B$2:$B$4</c:f>
              <c:numCache>
                <c:formatCode>General</c:formatCode>
                <c:ptCount val="3"/>
                <c:pt idx="0">
                  <c:v>33</c:v>
                </c:pt>
                <c:pt idx="1">
                  <c:v>92</c:v>
                </c:pt>
                <c:pt idx="2">
                  <c:v>266</c:v>
                </c:pt>
              </c:numCache>
            </c:numRef>
          </c:val>
          <c:extLst>
            <c:ext xmlns:c16="http://schemas.microsoft.com/office/drawing/2014/chart" uri="{C3380CC4-5D6E-409C-BE32-E72D297353CC}">
              <c16:uniqueId val="{00000000-B48E-43F8-AABB-1D9F8D0A7425}"/>
            </c:ext>
          </c:extLst>
        </c:ser>
        <c:dLbls>
          <c:showLegendKey val="0"/>
          <c:showVal val="0"/>
          <c:showCatName val="0"/>
          <c:showSerName val="0"/>
          <c:showPercent val="0"/>
          <c:showBubbleSize val="0"/>
        </c:dLbls>
        <c:gapWidth val="219"/>
        <c:axId val="625524559"/>
        <c:axId val="625528303"/>
      </c:barChart>
      <c:catAx>
        <c:axId val="625524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25528303"/>
        <c:crosses val="autoZero"/>
        <c:auto val="1"/>
        <c:lblAlgn val="ctr"/>
        <c:lblOffset val="100"/>
        <c:noMultiLvlLbl val="0"/>
      </c:catAx>
      <c:valAx>
        <c:axId val="625528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a:t>
                </a:r>
                <a:r>
                  <a:rPr lang="en-US" baseline="0"/>
                  <a:t> number of p</a:t>
                </a:r>
                <a:r>
                  <a:rPr lang="en-US"/>
                  <a:t>harmaceutical</a:t>
                </a:r>
                <a:r>
                  <a:rPr lang="en-US" baseline="0"/>
                  <a:t> products subsector FDI projects (2019-2020)</a:t>
                </a:r>
                <a:endParaRPr lang="en-US"/>
              </a:p>
            </c:rich>
          </c:tx>
          <c:layout>
            <c:manualLayout>
              <c:xMode val="edge"/>
              <c:yMode val="edge"/>
              <c:x val="0.17545387015302333"/>
              <c:y val="0.87173954995413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25524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'Trade - exports'!$B$22</c:f>
              <c:strCache>
                <c:ptCount val="1"/>
                <c:pt idx="0">
                  <c:v>EU+UK+CH</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'Trade - exports'!$C$21:$N$21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'Trade - exports'!$C$22:$N$22</c:f>
              <c:numCache>
                <c:formatCode>0%</c:formatCode>
                <c:ptCount val="12"/>
                <c:pt idx="0">
                  <c:v>0.77587370125489141</c:v>
                </c:pt>
                <c:pt idx="1">
                  <c:v>0.8143322475570034</c:v>
                </c:pt>
                <c:pt idx="2">
                  <c:v>0.82383180649838528</c:v>
                </c:pt>
                <c:pt idx="3">
                  <c:v>0.82634221585632672</c:v>
                </c:pt>
                <c:pt idx="4">
                  <c:v>0.81947654730428376</c:v>
                </c:pt>
                <c:pt idx="5">
                  <c:v>0.79450559654707864</c:v>
                </c:pt>
                <c:pt idx="6">
                  <c:v>0.79566037470923279</c:v>
                </c:pt>
                <c:pt idx="7">
                  <c:v>0.82534763642446196</c:v>
                </c:pt>
                <c:pt idx="8">
                  <c:v>0.82742042247796443</c:v>
                </c:pt>
                <c:pt idx="9">
                  <c:v>0.83040250097694412</c:v>
                </c:pt>
                <c:pt idx="10">
                  <c:v>0.83097823860969078</c:v>
                </c:pt>
                <c:pt idx="11">
                  <c:v>0.77538631346578357</c:v>
                </c:pt>
              </c:numCache>
            </c:numRef>
          </c:val>
          <c:extLst>
            <c:ext xmlns:c16="http://schemas.microsoft.com/office/drawing/2014/chart" uri="{C3380CC4-5D6E-409C-BE32-E72D297353CC}">
              <c16:uniqueId val="{00000000-4CBE-4D93-BE95-6105340F3033}"/>
            </c:ext>
          </c:extLst>
        </c:ser>
        <c:ser>
          <c:idx val="1"/>
          <c:order val="1"/>
          <c:tx>
            <c:strRef>
              <c:f>'Trade - exports'!$B$23</c:f>
              <c:strCache>
                <c:ptCount val="1"/>
                <c:pt idx="0">
                  <c:v>China</c:v>
                </c:pt>
              </c:strCache>
            </c:strRef>
          </c:tx>
          <c:spPr>
            <a:solidFill>
              <a:srgbClr val="FF0000"/>
            </a:solidFill>
            <a:ln>
              <a:noFill/>
            </a:ln>
            <a:effectLst/>
          </c:spPr>
          <c:invertIfNegative val="0"/>
          <c:dLbls>
            <c:dLbl>
              <c:idx val="0"/>
              <c:layout>
                <c:manualLayout>
                  <c:x val="0"/>
                  <c:y val="4.6296296296296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BE-4D93-BE95-6105340F303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'Trade - exports'!$C$21:$N$21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'Trade - exports'!$C$23:$N$23</c:f>
              <c:numCache>
                <c:formatCode>0%</c:formatCode>
                <c:ptCount val="12"/>
                <c:pt idx="0">
                  <c:v>6.7534745648360539E-2</c:v>
                </c:pt>
                <c:pt idx="1">
                  <c:v>6.1237785016286655E-2</c:v>
                </c:pt>
                <c:pt idx="2">
                  <c:v>5.4735385223752722E-2</c:v>
                </c:pt>
                <c:pt idx="3">
                  <c:v>5.2460925818078798E-2</c:v>
                </c:pt>
                <c:pt idx="4">
                  <c:v>5.3555202591474067E-2</c:v>
                </c:pt>
                <c:pt idx="5">
                  <c:v>5.4840748801662093E-2</c:v>
                </c:pt>
                <c:pt idx="6">
                  <c:v>5.6632297258715977E-2</c:v>
                </c:pt>
                <c:pt idx="7">
                  <c:v>5.3262434137258612E-2</c:v>
                </c:pt>
                <c:pt idx="8">
                  <c:v>5.2800068129120165E-2</c:v>
                </c:pt>
                <c:pt idx="9">
                  <c:v>4.8065650644783117E-2</c:v>
                </c:pt>
                <c:pt idx="10">
                  <c:v>5.7183905329918051E-2</c:v>
                </c:pt>
                <c:pt idx="11">
                  <c:v>0.10150110375275936</c:v>
                </c:pt>
              </c:numCache>
            </c:numRef>
          </c:val>
          <c:extLst>
            <c:ext xmlns:c16="http://schemas.microsoft.com/office/drawing/2014/chart" uri="{C3380CC4-5D6E-409C-BE32-E72D297353CC}">
              <c16:uniqueId val="{00000001-4CBE-4D93-BE95-6105340F3033}"/>
            </c:ext>
          </c:extLst>
        </c:ser>
        <c:ser>
          <c:idx val="2"/>
          <c:order val="2"/>
          <c:tx>
            <c:strRef>
              <c:f>'Trade - exports'!$B$24</c:f>
              <c:strCache>
                <c:ptCount val="1"/>
                <c:pt idx="0">
                  <c:v>US</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'Trade - exports'!$C$21:$N$21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'Trade - exports'!$C$24:$N$24</c:f>
              <c:numCache>
                <c:formatCode>0%</c:formatCode>
                <c:ptCount val="12"/>
                <c:pt idx="0">
                  <c:v>0.14545945216569967</c:v>
                </c:pt>
                <c:pt idx="1">
                  <c:v>0.11400651465798048</c:v>
                </c:pt>
                <c:pt idx="2">
                  <c:v>0.11176651508161428</c:v>
                </c:pt>
                <c:pt idx="3">
                  <c:v>0.11311706777055495</c:v>
                </c:pt>
                <c:pt idx="4">
                  <c:v>0.12036664344816449</c:v>
                </c:pt>
                <c:pt idx="5">
                  <c:v>0.14365654317566867</c:v>
                </c:pt>
                <c:pt idx="6">
                  <c:v>0.14003622594882498</c:v>
                </c:pt>
                <c:pt idx="7">
                  <c:v>0.11427213142175484</c:v>
                </c:pt>
                <c:pt idx="8">
                  <c:v>0.11369046927802487</c:v>
                </c:pt>
                <c:pt idx="9">
                  <c:v>0.11567018366549434</c:v>
                </c:pt>
                <c:pt idx="10">
                  <c:v>0.10293102959385249</c:v>
                </c:pt>
                <c:pt idx="11">
                  <c:v>0.11607064017660043</c:v>
                </c:pt>
              </c:numCache>
            </c:numRef>
          </c:val>
          <c:extLst>
            <c:ext xmlns:c16="http://schemas.microsoft.com/office/drawing/2014/chart" uri="{C3380CC4-5D6E-409C-BE32-E72D297353CC}">
              <c16:uniqueId val="{00000002-4CBE-4D93-BE95-6105340F3033}"/>
            </c:ext>
          </c:extLst>
        </c:ser>
        <c:ser>
          <c:idx val="3"/>
          <c:order val="3"/>
          <c:tx>
            <c:strRef>
              <c:f>'Trade - exports'!$B$25</c:f>
              <c:strCache>
                <c:ptCount val="1"/>
                <c:pt idx="0">
                  <c:v>Japan </c:v>
                </c:pt>
              </c:strCache>
            </c:strRef>
          </c:tx>
          <c:spPr>
            <a:solidFill>
              <a:schemeClr val="accent1"/>
            </a:solidFill>
            <a:ln>
              <a:noFill/>
            </a:ln>
            <a:effectLst/>
          </c:spPr>
          <c:invertIfNegative val="0"/>
          <c:dLbls>
            <c:dLbl>
              <c:idx val="0"/>
              <c:layout>
                <c:manualLayout>
                  <c:x val="2.4912805181863478E-3"/>
                  <c:y val="-2.65236133500416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BE-4D93-BE95-6105340F303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'Trade - exports'!$C$21:$N$21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'Trade - exports'!$C$25:$N$25</c:f>
              <c:numCache>
                <c:formatCode>0%</c:formatCode>
                <c:ptCount val="12"/>
                <c:pt idx="0">
                  <c:v>1.1132100931048442E-2</c:v>
                </c:pt>
                <c:pt idx="1">
                  <c:v>1.0423452768729644E-2</c:v>
                </c:pt>
                <c:pt idx="2">
                  <c:v>9.6662931962477223E-3</c:v>
                </c:pt>
                <c:pt idx="3">
                  <c:v>8.0797905550396391E-3</c:v>
                </c:pt>
                <c:pt idx="4">
                  <c:v>6.6016066560777454E-3</c:v>
                </c:pt>
                <c:pt idx="5">
                  <c:v>6.9971114755905525E-3</c:v>
                </c:pt>
                <c:pt idx="6">
                  <c:v>7.6711020832260736E-3</c:v>
                </c:pt>
                <c:pt idx="7">
                  <c:v>7.1177980165245602E-3</c:v>
                </c:pt>
                <c:pt idx="8">
                  <c:v>6.08904011489047E-3</c:v>
                </c:pt>
                <c:pt idx="9">
                  <c:v>5.8616647127784291E-3</c:v>
                </c:pt>
                <c:pt idx="10">
                  <c:v>8.9068264665387517E-3</c:v>
                </c:pt>
                <c:pt idx="11">
                  <c:v>7.0419426048565119E-3</c:v>
                </c:pt>
              </c:numCache>
            </c:numRef>
          </c:val>
          <c:extLst>
            <c:ext xmlns:c16="http://schemas.microsoft.com/office/drawing/2014/chart" uri="{C3380CC4-5D6E-409C-BE32-E72D297353CC}">
              <c16:uniqueId val="{00000003-4CBE-4D93-BE95-6105340F3033}"/>
            </c:ext>
          </c:extLst>
        </c:ser>
        <c:dLbls>
          <c:showLegendKey val="0"/>
          <c:showVal val="0"/>
          <c:showCatName val="0"/>
          <c:showSerName val="0"/>
          <c:showPercent val="0"/>
          <c:showBubbleSize val="0"/>
        </c:dLbls>
        <c:gapWidth val="150"/>
        <c:overlap val="100"/>
        <c:axId val="662927600"/>
        <c:axId val="662921360"/>
      </c:barChart>
      <c:catAx>
        <c:axId val="66292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62921360"/>
        <c:crosses val="autoZero"/>
        <c:auto val="1"/>
        <c:lblAlgn val="ctr"/>
        <c:lblOffset val="100"/>
        <c:noMultiLvlLbl val="0"/>
      </c:catAx>
      <c:valAx>
        <c:axId val="66292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share of total exports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629276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Sheet1!$G$2</c:f>
              <c:strCache>
                <c:ptCount val="1"/>
                <c:pt idx="0">
                  <c:v>US</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Sheet1!$H$1:$I$1</c:f>
              <c:strCache>
                <c:ptCount val="2"/>
                <c:pt idx="0">
                  <c:v>Clinical trial sites</c:v>
                </c:pt>
                <c:pt idx="1">
                  <c:v>2020 sales</c:v>
                </c:pt>
              </c:strCache>
            </c:strRef>
          </c:cat>
          <c:val>
            <c:numRef>
              <c:f>Sheet1!$H$2:$I$2</c:f>
              <c:numCache>
                <c:formatCode>0%</c:formatCode>
                <c:ptCount val="2"/>
                <c:pt idx="0">
                  <c:v>0.5</c:v>
                </c:pt>
                <c:pt idx="1">
                  <c:v>0.43248945147679324</c:v>
                </c:pt>
              </c:numCache>
            </c:numRef>
          </c:val>
          <c:extLst>
            <c:ext xmlns:c16="http://schemas.microsoft.com/office/drawing/2014/chart" uri="{C3380CC4-5D6E-409C-BE32-E72D297353CC}">
              <c16:uniqueId val="{00000000-0997-435C-B876-164AEA1CD075}"/>
            </c:ext>
          </c:extLst>
        </c:ser>
        <c:ser>
          <c:idx val="1"/>
          <c:order val="1"/>
          <c:tx>
            <c:strRef>
              <c:f>Sheet1!$G$3</c:f>
              <c:strCache>
                <c:ptCount val="1"/>
                <c:pt idx="0">
                  <c:v>Europe</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Sheet1!$H$1:$I$1</c:f>
              <c:strCache>
                <c:ptCount val="2"/>
                <c:pt idx="0">
                  <c:v>Clinical trial sites</c:v>
                </c:pt>
                <c:pt idx="1">
                  <c:v>2020 sales</c:v>
                </c:pt>
              </c:strCache>
            </c:strRef>
          </c:cat>
          <c:val>
            <c:numRef>
              <c:f>Sheet1!$H$3:$I$3</c:f>
              <c:numCache>
                <c:formatCode>0%</c:formatCode>
                <c:ptCount val="2"/>
                <c:pt idx="0">
                  <c:v>0.25</c:v>
                </c:pt>
                <c:pt idx="1">
                  <c:v>0.29512848101265821</c:v>
                </c:pt>
              </c:numCache>
            </c:numRef>
          </c:val>
          <c:extLst>
            <c:ext xmlns:c16="http://schemas.microsoft.com/office/drawing/2014/chart" uri="{C3380CC4-5D6E-409C-BE32-E72D297353CC}">
              <c16:uniqueId val="{00000001-0997-435C-B876-164AEA1CD075}"/>
            </c:ext>
          </c:extLst>
        </c:ser>
        <c:ser>
          <c:idx val="2"/>
          <c:order val="2"/>
          <c:tx>
            <c:strRef>
              <c:f>Sheet1!$G$10</c:f>
              <c:strCache>
                <c:ptCount val="1"/>
                <c:pt idx="0">
                  <c:v>Rest of World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Sheet1!$H$1:$I$1</c:f>
              <c:strCache>
                <c:ptCount val="2"/>
                <c:pt idx="0">
                  <c:v>Clinical trial sites</c:v>
                </c:pt>
                <c:pt idx="1">
                  <c:v>2020 sales</c:v>
                </c:pt>
              </c:strCache>
            </c:strRef>
          </c:cat>
          <c:val>
            <c:numRef>
              <c:f>Sheet1!$H$10:$I$10</c:f>
              <c:numCache>
                <c:formatCode>0%</c:formatCode>
                <c:ptCount val="2"/>
                <c:pt idx="0">
                  <c:v>0.25</c:v>
                </c:pt>
                <c:pt idx="1">
                  <c:v>0.27238206751054855</c:v>
                </c:pt>
              </c:numCache>
            </c:numRef>
          </c:val>
          <c:extLst>
            <c:ext xmlns:c16="http://schemas.microsoft.com/office/drawing/2014/chart" uri="{C3380CC4-5D6E-409C-BE32-E72D297353CC}">
              <c16:uniqueId val="{00000002-0997-435C-B876-164AEA1CD075}"/>
            </c:ext>
          </c:extLst>
        </c:ser>
        <c:ser>
          <c:idx val="3"/>
          <c:order val="3"/>
          <c:tx>
            <c:strRef>
              <c:f>Sheet1!$G$11</c:f>
              <c:strCache>
                <c:ptCount val="1"/>
                <c:pt idx="0">
                  <c:v>Total</c:v>
                </c:pt>
              </c:strCache>
            </c:strRef>
          </c:tx>
          <c:spPr>
            <a:solidFill>
              <a:schemeClr val="accent4"/>
            </a:solidFill>
            <a:ln>
              <a:noFill/>
            </a:ln>
            <a:effectLst/>
          </c:spPr>
          <c:invertIfNegative val="0"/>
          <c:cat>
            <c:strRef>
              <c:f>Sheet1!$H$1:$I$1</c:f>
              <c:strCache>
                <c:ptCount val="2"/>
                <c:pt idx="0">
                  <c:v>Clinical trial sites</c:v>
                </c:pt>
                <c:pt idx="1">
                  <c:v>2020 sales</c:v>
                </c:pt>
              </c:strCache>
            </c:strRef>
          </c:cat>
          <c:val>
            <c:numRef>
              <c:f>Sheet1!$H$11:$I$11</c:f>
              <c:numCache>
                <c:formatCode>General</c:formatCode>
                <c:ptCount val="2"/>
              </c:numCache>
            </c:numRef>
          </c:val>
          <c:extLst xmlns:c15="http://schemas.microsoft.com/office/drawing/2012/chart">
            <c:ext xmlns:c16="http://schemas.microsoft.com/office/drawing/2014/chart" uri="{C3380CC4-5D6E-409C-BE32-E72D297353CC}">
              <c16:uniqueId val="{00000003-0997-435C-B876-164AEA1CD075}"/>
            </c:ext>
          </c:extLst>
        </c:ser>
        <c:dLbls>
          <c:showLegendKey val="0"/>
          <c:showVal val="0"/>
          <c:showCatName val="0"/>
          <c:showSerName val="0"/>
          <c:showPercent val="0"/>
          <c:showBubbleSize val="0"/>
        </c:dLbls>
        <c:gapWidth val="150"/>
        <c:overlap val="100"/>
        <c:axId val="689644048"/>
        <c:axId val="689642800"/>
        <c:extLst/>
      </c:barChart>
      <c:catAx>
        <c:axId val="68964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9642800"/>
        <c:crosses val="autoZero"/>
        <c:auto val="1"/>
        <c:lblAlgn val="ctr"/>
        <c:lblOffset val="100"/>
        <c:noMultiLvlLbl val="0"/>
      </c:catAx>
      <c:valAx>
        <c:axId val="689642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8964404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0.28195</cdr:x>
      <cdr:y>0.06057</cdr:y>
    </cdr:to>
    <cdr:pic>
      <cdr:nvPicPr>
        <cdr:cNvPr id="2" name="chart">
          <a:extLst xmlns:a="http://schemas.openxmlformats.org/drawingml/2006/main">
            <a:ext uri="{FF2B5EF4-FFF2-40B4-BE49-F238E27FC236}">
              <a16:creationId xmlns:a16="http://schemas.microsoft.com/office/drawing/2014/main" id="{A7B6505D-710C-433A-8FC1-51F99EE431D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347163" cy="29873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CRA standard">
      <a:dk1>
        <a:srgbClr val="000000"/>
      </a:dk1>
      <a:lt1>
        <a:srgbClr val="FFFFFF"/>
      </a:lt1>
      <a:dk2>
        <a:srgbClr val="C0C0C0"/>
      </a:dk2>
      <a:lt2>
        <a:srgbClr val="ED8903"/>
      </a:lt2>
      <a:accent1>
        <a:srgbClr val="0073AE"/>
      </a:accent1>
      <a:accent2>
        <a:srgbClr val="A0CBED"/>
      </a:accent2>
      <a:accent3>
        <a:srgbClr val="B2BB1E"/>
      </a:accent3>
      <a:accent4>
        <a:srgbClr val="717074"/>
      </a:accent4>
      <a:accent5>
        <a:srgbClr val="FAC805"/>
      </a:accent5>
      <a:accent6>
        <a:srgbClr val="39893C"/>
      </a:accent6>
      <a:hlink>
        <a:srgbClr val="50B3CF"/>
      </a:hlink>
      <a:folHlink>
        <a:srgbClr val="791D7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61E08BDE0922499C402CCD8960BEBA" ma:contentTypeVersion="18" ma:contentTypeDescription="Utwórz nowy dokument." ma:contentTypeScope="" ma:versionID="3146f11f0c29bddd47756910671bef01">
  <xsd:schema xmlns:xsd="http://www.w3.org/2001/XMLSchema" xmlns:xs="http://www.w3.org/2001/XMLSchema" xmlns:p="http://schemas.microsoft.com/office/2006/metadata/properties" xmlns:ns2="28514c33-91dc-4c97-ac20-2a583a7261dd" xmlns:ns3="408c9692-8832-49c4-b90f-81225ff21b65" targetNamespace="http://schemas.microsoft.com/office/2006/metadata/properties" ma:root="true" ma:fieldsID="69d9216fb57e4a30474ec7bff769fc6b" ns2:_="" ns3:_="">
    <xsd:import namespace="28514c33-91dc-4c97-ac20-2a583a7261dd"/>
    <xsd:import namespace="408c9692-8832-49c4-b90f-81225ff21b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14c33-91dc-4c97-ac20-2a583a726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tan zatwierdzenia" ma:internalName="Stan_x0020_zatwierdzenia">
      <xsd:simpleType>
        <xsd:restriction base="dms:Text"/>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6da6aaa5-771f-48d8-b32e-b5112a0761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8c9692-8832-49c4-b90f-81225ff21b65"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cf0be1d-d569-40aa-ad70-6eb128bbca68}" ma:internalName="TaxCatchAll" ma:showField="CatchAllData" ma:web="408c9692-8832-49c4-b90f-81225ff21b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TaxCatchAll xmlns="408c9692-8832-49c4-b90f-81225ff21b65" xsi:nil="true"/>
    <lcf76f155ced4ddcb4097134ff3c332f xmlns="28514c33-91dc-4c97-ac20-2a583a7261dd">
      <Terms xmlns="http://schemas.microsoft.com/office/infopath/2007/PartnerControls"/>
    </lcf76f155ced4ddcb4097134ff3c332f>
    <_Flow_SignoffStatus xmlns="28514c33-91dc-4c97-ac20-2a583a7261dd" xsi:nil="true"/>
  </documentManagement>
</p:properties>
</file>

<file path=customXml/itemProps1.xml><?xml version="1.0" encoding="utf-8"?>
<ds:datastoreItem xmlns:ds="http://schemas.openxmlformats.org/officeDocument/2006/customXml" ds:itemID="{C705B526-8C6B-46C7-83EE-40E6F2C26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14c33-91dc-4c97-ac20-2a583a7261dd"/>
    <ds:schemaRef ds:uri="408c9692-8832-49c4-b90f-81225ff21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25537C-EBC4-4673-A8B8-5B3931E340ED}">
  <ds:schemaRefs>
    <ds:schemaRef ds:uri="http://schemas.microsoft.com/sharepoint/v3/contenttype/forms"/>
  </ds:schemaRefs>
</ds:datastoreItem>
</file>

<file path=customXml/itemProps3.xml><?xml version="1.0" encoding="utf-8"?>
<ds:datastoreItem xmlns:ds="http://schemas.openxmlformats.org/officeDocument/2006/customXml" ds:itemID="{2DE43E86-61DA-4653-8BFE-9C3153BECFBA}">
  <ds:schemaRefs>
    <ds:schemaRef ds:uri="http://schemas.openxmlformats.org/officeDocument/2006/bibliography"/>
  </ds:schemaRefs>
</ds:datastoreItem>
</file>

<file path=customXml/itemProps4.xml><?xml version="1.0" encoding="utf-8"?>
<ds:datastoreItem xmlns:ds="http://schemas.openxmlformats.org/officeDocument/2006/customXml" ds:itemID="{58CCF71B-A048-4EAA-9EB0-1EED3270CF36}">
  <ds:schemaRefs>
    <ds:schemaRef ds:uri="http://schemas.microsoft.com/office/2006/metadata/properties"/>
    <ds:schemaRef ds:uri="9272df10-a0a0-48a3-bdaa-e2b3e21e186c"/>
    <ds:schemaRef ds:uri="90483265-2b33-4bbd-af7c-f46c8815283f"/>
    <ds:schemaRef ds:uri="http://schemas.microsoft.com/office/infopath/2007/PartnerControls"/>
    <ds:schemaRef ds:uri="408c9692-8832-49c4-b90f-81225ff21b65"/>
    <ds:schemaRef ds:uri="28514c33-91dc-4c97-ac20-2a583a7261dd"/>
  </ds:schemaRefs>
</ds:datastoreItem>
</file>

<file path=docProps/app.xml><?xml version="1.0" encoding="utf-8"?>
<Properties xmlns="http://schemas.openxmlformats.org/officeDocument/2006/extended-properties" xmlns:vt="http://schemas.openxmlformats.org/officeDocument/2006/docPropsVTypes">
  <Template>LS Report Template 2016</Template>
  <TotalTime>1</TotalTime>
  <Pages>81</Pages>
  <Words>23556</Words>
  <Characters>140341</Characters>
  <Application>Microsoft Office Word</Application>
  <DocSecurity>4</DocSecurity>
  <Lines>1169</Lines>
  <Paragraphs>327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Report Template</vt:lpstr>
      <vt:lpstr>Report Template</vt:lpstr>
    </vt:vector>
  </TitlesOfParts>
  <Company>Charles River Associates</Company>
  <LinksUpToDate>false</LinksUpToDate>
  <CharactersWithSpaces>163570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Armstrong, Hannah</dc:creator>
  <cp:keywords/>
  <cp:lastModifiedBy>Magdalena Romanowicz</cp:lastModifiedBy>
  <cp:revision>2</cp:revision>
  <cp:lastPrinted>2013-02-25T18:30:00Z</cp:lastPrinted>
  <dcterms:created xsi:type="dcterms:W3CDTF">2022-11-25T20:15:00Z</dcterms:created>
  <dcterms:modified xsi:type="dcterms:W3CDTF">2022-11-25T20:15:00Z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Enter Project Title in Properties</vt:lpwstr>
  </property>
  <property fmtid="{D5CDD505-2E9C-101B-9397-08002B2CF9AE}" pid="3" name="Status">
    <vt:lpwstr>Enter Status in Properties</vt:lpwstr>
  </property>
  <property fmtid="{D5CDD505-2E9C-101B-9397-08002B2CF9AE}" pid="4" name="Date">
    <vt:lpwstr>Enter Date in Properties</vt:lpwstr>
  </property>
  <property fmtid="{D5CDD505-2E9C-101B-9397-08002B2CF9AE}" pid="5" name="Client">
    <vt:lpwstr>Enter client</vt:lpwstr>
  </property>
  <property fmtid="{D5CDD505-2E9C-101B-9397-08002B2CF9AE}" pid="6" name="ContentTypeId">
    <vt:lpwstr>0x0101004C61E08BDE0922499C402CCD8960BEBA</vt:lpwstr>
  </property>
  <property fmtid="{D5CDD505-2E9C-101B-9397-08002B2CF9AE}" pid="7" name="MediaServiceImageTags">
    <vt:lpwstr/>
  </property>
  <property fmtid="{D5CDD505-2E9C-101B-9397-08002B2CF9AE}" pid="8" name="MSIP_Label_a0ba249d-4391-4746-99c4-ed0900902f88_Enabled">
    <vt:lpwstr>true</vt:lpwstr>
  </property>
  <property fmtid="{D5CDD505-2E9C-101B-9397-08002B2CF9AE}" pid="9" name="MSIP_Label_a0ba249d-4391-4746-99c4-ed0900902f88_SetDate">
    <vt:lpwstr>2022-06-18T06:37:29Z</vt:lpwstr>
  </property>
  <property fmtid="{D5CDD505-2E9C-101B-9397-08002B2CF9AE}" pid="10" name="MSIP_Label_a0ba249d-4391-4746-99c4-ed0900902f88_Method">
    <vt:lpwstr>Standard</vt:lpwstr>
  </property>
  <property fmtid="{D5CDD505-2E9C-101B-9397-08002B2CF9AE}" pid="11" name="MSIP_Label_a0ba249d-4391-4746-99c4-ed0900902f88_Name">
    <vt:lpwstr>a0ba249d-4391-4746-99c4-ed0900902f88</vt:lpwstr>
  </property>
  <property fmtid="{D5CDD505-2E9C-101B-9397-08002B2CF9AE}" pid="12" name="MSIP_Label_a0ba249d-4391-4746-99c4-ed0900902f88_SiteId">
    <vt:lpwstr>4a156c19-bc94-41ac-aacf-954686490869</vt:lpwstr>
  </property>
  <property fmtid="{D5CDD505-2E9C-101B-9397-08002B2CF9AE}" pid="13" name="MSIP_Label_a0ba249d-4391-4746-99c4-ed0900902f88_ActionId">
    <vt:lpwstr>68fc99b2-111d-4e8f-b09f-e78d3cf3b173</vt:lpwstr>
  </property>
  <property fmtid="{D5CDD505-2E9C-101B-9397-08002B2CF9AE}" pid="14" name="MSIP_Label_a0ba249d-4391-4746-99c4-ed0900902f88_ContentBits">
    <vt:lpwstr>0</vt:lpwstr>
  </property>
  <property fmtid="{D5CDD505-2E9C-101B-9397-08002B2CF9AE}" pid="15" name="MSIP_Label_927fd646-07cb-4c4e-a107-4e4d6b30ba1b_Enabled">
    <vt:lpwstr>true</vt:lpwstr>
  </property>
  <property fmtid="{D5CDD505-2E9C-101B-9397-08002B2CF9AE}" pid="16" name="MSIP_Label_927fd646-07cb-4c4e-a107-4e4d6b30ba1b_SetDate">
    <vt:lpwstr>2022-07-07T18:47:03Z</vt:lpwstr>
  </property>
  <property fmtid="{D5CDD505-2E9C-101B-9397-08002B2CF9AE}" pid="17" name="MSIP_Label_927fd646-07cb-4c4e-a107-4e4d6b30ba1b_Method">
    <vt:lpwstr>Privileged</vt:lpwstr>
  </property>
  <property fmtid="{D5CDD505-2E9C-101B-9397-08002B2CF9AE}" pid="18" name="MSIP_Label_927fd646-07cb-4c4e-a107-4e4d6b30ba1b_Name">
    <vt:lpwstr>927fd646-07cb-4c4e-a107-4e4d6b30ba1b</vt:lpwstr>
  </property>
  <property fmtid="{D5CDD505-2E9C-101B-9397-08002B2CF9AE}" pid="19" name="MSIP_Label_927fd646-07cb-4c4e-a107-4e4d6b30ba1b_SiteId">
    <vt:lpwstr>a00de4ec-48a8-43a6-be74-e31274e2060d</vt:lpwstr>
  </property>
  <property fmtid="{D5CDD505-2E9C-101B-9397-08002B2CF9AE}" pid="20" name="MSIP_Label_927fd646-07cb-4c4e-a107-4e4d6b30ba1b_ActionId">
    <vt:lpwstr>487cce69-9275-4564-8686-65b802e740fa</vt:lpwstr>
  </property>
  <property fmtid="{D5CDD505-2E9C-101B-9397-08002B2CF9AE}" pid="21" name="MSIP_Label_927fd646-07cb-4c4e-a107-4e4d6b30ba1b_ContentBits">
    <vt:lpwstr>1</vt:lpwstr>
  </property>
  <property fmtid="{D5CDD505-2E9C-101B-9397-08002B2CF9AE}" pid="22" name="MerckAIPLabel">
    <vt:lpwstr>Proprietary</vt:lpwstr>
  </property>
  <property fmtid="{D5CDD505-2E9C-101B-9397-08002B2CF9AE}" pid="23" name="MerckAIPDataExchange">
    <vt:lpwstr>!MRKMIP@Proprietary</vt:lpwstr>
  </property>
  <property fmtid="{D5CDD505-2E9C-101B-9397-08002B2CF9AE}" pid="24" name="_NewReviewCycle">
    <vt:lpwstr/>
  </property>
  <property fmtid="{D5CDD505-2E9C-101B-9397-08002B2CF9AE}" pid="25" name="MSIP_Label_f31142f3-8099-46d1-8755-df3fda1ce27f_Enabled">
    <vt:lpwstr>true</vt:lpwstr>
  </property>
  <property fmtid="{D5CDD505-2E9C-101B-9397-08002B2CF9AE}" pid="26" name="MSIP_Label_f31142f3-8099-46d1-8755-df3fda1ce27f_SetDate">
    <vt:lpwstr>2022-08-17T15:28:25Z</vt:lpwstr>
  </property>
  <property fmtid="{D5CDD505-2E9C-101B-9397-08002B2CF9AE}" pid="27" name="MSIP_Label_f31142f3-8099-46d1-8755-df3fda1ce27f_Method">
    <vt:lpwstr>Privileged</vt:lpwstr>
  </property>
  <property fmtid="{D5CDD505-2E9C-101B-9397-08002B2CF9AE}" pid="28" name="MSIP_Label_f31142f3-8099-46d1-8755-df3fda1ce27f_Name">
    <vt:lpwstr>Public_</vt:lpwstr>
  </property>
  <property fmtid="{D5CDD505-2E9C-101B-9397-08002B2CF9AE}" pid="29" name="MSIP_Label_f31142f3-8099-46d1-8755-df3fda1ce27f_SiteId">
    <vt:lpwstr>4b4266a6-1368-41af-ad5a-59eb634f7ad8</vt:lpwstr>
  </property>
  <property fmtid="{D5CDD505-2E9C-101B-9397-08002B2CF9AE}" pid="30" name="MSIP_Label_f31142f3-8099-46d1-8755-df3fda1ce27f_ActionId">
    <vt:lpwstr>44030b74-ea4f-4577-8c74-5169181495b2</vt:lpwstr>
  </property>
  <property fmtid="{D5CDD505-2E9C-101B-9397-08002B2CF9AE}" pid="31" name="MSIP_Label_f31142f3-8099-46d1-8755-df3fda1ce27f_ContentBits">
    <vt:lpwstr>0</vt:lpwstr>
  </property>
  <property fmtid="{D5CDD505-2E9C-101B-9397-08002B2CF9AE}" pid="32" name="GrammarlyDocumentId">
    <vt:lpwstr>dba957186a4a6264f0c18a1d74798a2a4b47462a87275d2c059261ab862cbee0</vt:lpwstr>
  </property>
</Properties>
</file>