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803C" w14:textId="1CC7405A" w:rsidR="006E6FF1" w:rsidRDefault="008D04B8" w:rsidP="008D04B8">
      <w:pPr>
        <w:jc w:val="center"/>
        <w:rPr>
          <w:b/>
          <w:bCs/>
        </w:rPr>
      </w:pPr>
      <w:r w:rsidRPr="008D04B8">
        <w:rPr>
          <w:b/>
          <w:bCs/>
        </w:rPr>
        <w:t>Europejsk</w:t>
      </w:r>
      <w:r>
        <w:rPr>
          <w:b/>
          <w:bCs/>
        </w:rPr>
        <w:t>a</w:t>
      </w:r>
      <w:r w:rsidRPr="008D04B8">
        <w:rPr>
          <w:b/>
          <w:bCs/>
        </w:rPr>
        <w:t xml:space="preserve"> Federacj</w:t>
      </w:r>
      <w:r>
        <w:rPr>
          <w:b/>
          <w:bCs/>
        </w:rPr>
        <w:t>a</w:t>
      </w:r>
      <w:r w:rsidRPr="008D04B8">
        <w:rPr>
          <w:b/>
          <w:bCs/>
        </w:rPr>
        <w:t xml:space="preserve"> Przemysłu i Stowarzyszeń Farmaceutycznych (EFPIA)</w:t>
      </w:r>
    </w:p>
    <w:p w14:paraId="4A4B2F70" w14:textId="0108E7E0" w:rsidR="008D04B8" w:rsidRDefault="008D04B8" w:rsidP="008D04B8">
      <w:pPr>
        <w:jc w:val="center"/>
        <w:rPr>
          <w:b/>
          <w:bCs/>
        </w:rPr>
      </w:pPr>
      <w:r>
        <w:rPr>
          <w:b/>
          <w:bCs/>
        </w:rPr>
        <w:t>INFORMACJA PRASOWA</w:t>
      </w:r>
    </w:p>
    <w:p w14:paraId="11A5B203" w14:textId="77777777" w:rsidR="008D04B8" w:rsidRDefault="008D04B8" w:rsidP="00066F8C">
      <w:pPr>
        <w:rPr>
          <w:b/>
          <w:bCs/>
        </w:rPr>
      </w:pPr>
    </w:p>
    <w:p w14:paraId="6B771CBA" w14:textId="4F9767A8" w:rsidR="00066F8C" w:rsidRPr="006E6FF1" w:rsidRDefault="00066F8C" w:rsidP="00066F8C">
      <w:pPr>
        <w:rPr>
          <w:b/>
          <w:bCs/>
        </w:rPr>
      </w:pPr>
      <w:r w:rsidRPr="006E6FF1">
        <w:rPr>
          <w:b/>
          <w:bCs/>
        </w:rPr>
        <w:t xml:space="preserve">Udział Europy w światowych badaniach i rozwoju w zakresie leków zmniejsza się o jedną czwartą </w:t>
      </w:r>
      <w:r w:rsidR="008D04B8">
        <w:rPr>
          <w:b/>
          <w:bCs/>
        </w:rPr>
        <w:br/>
      </w:r>
      <w:r w:rsidRPr="006E6FF1">
        <w:rPr>
          <w:b/>
          <w:bCs/>
        </w:rPr>
        <w:t xml:space="preserve">w ciągu 20 lat </w:t>
      </w:r>
      <w:r w:rsidR="00850152">
        <w:rPr>
          <w:b/>
          <w:bCs/>
        </w:rPr>
        <w:t>–</w:t>
      </w:r>
      <w:r w:rsidRPr="006E6FF1">
        <w:rPr>
          <w:b/>
          <w:bCs/>
        </w:rPr>
        <w:t xml:space="preserve"> w</w:t>
      </w:r>
      <w:r w:rsidR="00850152">
        <w:rPr>
          <w:b/>
          <w:bCs/>
        </w:rPr>
        <w:t xml:space="preserve"> </w:t>
      </w:r>
      <w:r w:rsidRPr="006E6FF1">
        <w:rPr>
          <w:b/>
          <w:bCs/>
        </w:rPr>
        <w:t>związku z utrzymującymi się tendencjami spadkowymi w sektorze</w:t>
      </w:r>
      <w:r w:rsidR="00850152">
        <w:rPr>
          <w:b/>
          <w:bCs/>
        </w:rPr>
        <w:t>.</w:t>
      </w:r>
    </w:p>
    <w:p w14:paraId="5395F90A" w14:textId="63C7918A" w:rsidR="00066F8C" w:rsidRDefault="00066F8C" w:rsidP="006E6FF1">
      <w:pPr>
        <w:jc w:val="both"/>
      </w:pPr>
      <w:r>
        <w:t xml:space="preserve">Europejczycy mają coraz mniejszy dostęp do nowych leków i możliwości uczestniczenia </w:t>
      </w:r>
      <w:r w:rsidR="008D04B8">
        <w:br/>
      </w:r>
      <w:r>
        <w:t>w przełomowych badaniach klinicznych, ponieważ badania i rozwój nowych terapii w coraz większym stopniu przenoszą się do bardziej ambitnych sektorów nauk przyrodniczych w USA i Azji.</w:t>
      </w:r>
    </w:p>
    <w:p w14:paraId="3B7FDD02" w14:textId="1A0DD136" w:rsidR="00066F8C" w:rsidRDefault="00066F8C" w:rsidP="006E6FF1">
      <w:pPr>
        <w:jc w:val="both"/>
      </w:pPr>
      <w:r>
        <w:t xml:space="preserve">Nowy raport opublikowany dzisiaj przez Charles River </w:t>
      </w:r>
      <w:proofErr w:type="spellStart"/>
      <w:r>
        <w:t>Associates</w:t>
      </w:r>
      <w:proofErr w:type="spellEnd"/>
      <w:r>
        <w:t xml:space="preserve"> dla EFPIA rysuje trudny obraz spadku konkurencyjności w Europie, gdzie globalny udział inwestycji w badania i rozwój farmaceutyków, badania kliniczne i produkcję spada. Sytuacja jest najbardziej dotkliwa w przypadku produktów leczniczych terapii zaawansowanej (ATMP) </w:t>
      </w:r>
      <w:r w:rsidR="00850152">
        <w:t>–</w:t>
      </w:r>
      <w:r>
        <w:t xml:space="preserve"> terapii tkankowych, genowych i komórkowych </w:t>
      </w:r>
      <w:r w:rsidR="00850152">
        <w:t>–</w:t>
      </w:r>
      <w:r>
        <w:t xml:space="preserve"> stosowanych w celu zapobiegania, leczenia i wyleczenia rzadkich schorzeń, w tym niektórych nowotworów, gdzie dominują Stany Zjednoczone i Chiny. Przegląd badań pokazuje: </w:t>
      </w:r>
    </w:p>
    <w:p w14:paraId="334E708A" w14:textId="041D927D" w:rsidR="00066F8C" w:rsidRDefault="00066F8C" w:rsidP="008D04B8">
      <w:pPr>
        <w:pStyle w:val="Akapitzlist"/>
        <w:numPr>
          <w:ilvl w:val="0"/>
          <w:numId w:val="1"/>
        </w:numPr>
        <w:jc w:val="both"/>
      </w:pPr>
      <w:r>
        <w:t>Inwestycje w badania i rozwój:</w:t>
      </w:r>
      <w:r w:rsidR="00850152">
        <w:t xml:space="preserve"> </w:t>
      </w:r>
      <w:r>
        <w:t xml:space="preserve">W 2002 roku Stany Zjednoczone wydały na badania i rozwój </w:t>
      </w:r>
      <w:r w:rsidR="008D04B8">
        <w:br/>
      </w:r>
      <w:r>
        <w:t xml:space="preserve">2 miliardy dolarów więcej niż Europa; dziś ta kwota wynosi 20 miliardów dolarów </w:t>
      </w:r>
      <w:r w:rsidR="00850152">
        <w:t>–</w:t>
      </w:r>
      <w:r>
        <w:t xml:space="preserve"> wzrost </w:t>
      </w:r>
      <w:r w:rsidR="00053039">
        <w:br/>
      </w:r>
      <w:r>
        <w:t>o 1000%.</w:t>
      </w:r>
      <w:r w:rsidR="00850152">
        <w:t xml:space="preserve"> </w:t>
      </w:r>
      <w:r>
        <w:t xml:space="preserve">Spośród wszystkich inwestycji w badania i rozwój dokonywanych w USA, Europie, Chinach i Japonii, tylko 31% przypada na Europę. Udział ten stale spada z 41% w 2001 roku. </w:t>
      </w:r>
      <w:r w:rsidR="00053039">
        <w:br/>
      </w:r>
      <w:r>
        <w:t>W międzyczasie Chiny zwiększyły swój udział z 1% do 8%.</w:t>
      </w:r>
    </w:p>
    <w:p w14:paraId="63403DAA" w14:textId="648A4612" w:rsidR="00066F8C" w:rsidRDefault="00066F8C" w:rsidP="008D04B8">
      <w:pPr>
        <w:pStyle w:val="Akapitzlist"/>
        <w:numPr>
          <w:ilvl w:val="0"/>
          <w:numId w:val="1"/>
        </w:numPr>
        <w:jc w:val="both"/>
      </w:pPr>
      <w:r>
        <w:t xml:space="preserve">ATMP: Aktywność w zakresie badań klinicznych jest dwukrotnie wyższa w USA i prawie trzykrotnie wyższa w Chinach niż w Europie. Liczba badań ATMP prowadzonych w USA </w:t>
      </w:r>
      <w:r w:rsidR="00053039">
        <w:br/>
      </w:r>
      <w:r>
        <w:t>i regionie Azji i Pacyfiku wzrosła w latach 2014-21 odpowiednio o 70% i 67%, podczas gdy Europa pozostawała w stagnacji.</w:t>
      </w:r>
    </w:p>
    <w:p w14:paraId="328A934D" w14:textId="0B4C2BAD" w:rsidR="00066F8C" w:rsidRDefault="00066F8C" w:rsidP="008D04B8">
      <w:pPr>
        <w:pStyle w:val="Akapitzlist"/>
        <w:numPr>
          <w:ilvl w:val="0"/>
          <w:numId w:val="1"/>
        </w:numPr>
        <w:jc w:val="both"/>
      </w:pPr>
      <w:r>
        <w:t>Badania kliniczne: Europa stanowiła 19,3% udziału w globalnej aktywności badań klinicznych w 2020 r., co oznacza spadek o 6,3% w porównaniu ze średnią 25,6% w ciągu ostatnich dziesięciu lat.</w:t>
      </w:r>
    </w:p>
    <w:p w14:paraId="0941C412" w14:textId="1A2A57E8" w:rsidR="00066F8C" w:rsidRDefault="00066F8C" w:rsidP="006E6FF1">
      <w:pPr>
        <w:jc w:val="both"/>
      </w:pPr>
      <w:r>
        <w:t xml:space="preserve">W raporcie podkreślono szereg trudnych obszarów i przedstawiono zalecenia dotyczące polityki </w:t>
      </w:r>
      <w:r w:rsidR="00254EA6">
        <w:t>–</w:t>
      </w:r>
      <w:r>
        <w:t xml:space="preserve"> które mogłyby zostać wdrożone na poziomie rządów krajowych </w:t>
      </w:r>
      <w:r w:rsidR="00254EA6">
        <w:t>–</w:t>
      </w:r>
      <w:r>
        <w:t xml:space="preserve"> lub na poziomie UE poprzez zmianę przepisów farmaceutycznych. EFPIA ostrzega, że opcje omawiane przez decydentów w kontekście Europejskiej Strategii Farmaceutycznej nie są w stanie rozwiązać problemów, zwiększyć atrakcyjności Europy dla nauk przyrodniczych oraz wesprzeć firm, które już zainwestowały w Europie. Raport jest publikowany wraz z raportem "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 xml:space="preserve">" </w:t>
      </w:r>
      <w:r w:rsidR="00254EA6">
        <w:t>–</w:t>
      </w:r>
      <w:r>
        <w:t xml:space="preserve"> interaktywną mapą, na której wyszczególniono lokalizacje wszystkich zakładów farmaceutycznych w całej Europie.</w:t>
      </w:r>
    </w:p>
    <w:p w14:paraId="3B0BAAE0" w14:textId="77777777" w:rsidR="00066F8C" w:rsidRPr="00053039" w:rsidRDefault="00066F8C" w:rsidP="006E6FF1">
      <w:pPr>
        <w:jc w:val="both"/>
        <w:rPr>
          <w:b/>
          <w:bCs/>
        </w:rPr>
      </w:pPr>
      <w:r w:rsidRPr="00053039">
        <w:rPr>
          <w:b/>
          <w:bCs/>
        </w:rPr>
        <w:t xml:space="preserve">Zalecenia dotyczące obszarów budzących obawy obejmują: </w:t>
      </w:r>
    </w:p>
    <w:p w14:paraId="49A72007" w14:textId="794379EC" w:rsidR="00066F8C" w:rsidRPr="00053039" w:rsidRDefault="00066F8C" w:rsidP="006E6FF1">
      <w:pPr>
        <w:jc w:val="both"/>
        <w:rPr>
          <w:b/>
          <w:bCs/>
        </w:rPr>
      </w:pPr>
      <w:r w:rsidRPr="00053039">
        <w:rPr>
          <w:b/>
          <w:bCs/>
        </w:rPr>
        <w:t>1. Zachęcanie do tworzenia w UE prawdziwie światowej klasy centrów innowacji</w:t>
      </w:r>
    </w:p>
    <w:p w14:paraId="2B847F6A" w14:textId="014C0FF2" w:rsidR="00066F8C" w:rsidRDefault="00066F8C" w:rsidP="006E6FF1">
      <w:pPr>
        <w:jc w:val="both"/>
      </w:pPr>
      <w:r>
        <w:t xml:space="preserve">Chociaż oczekuje się, że globalne badania i rozwój będą rosły w tempie 4,2% rocznie, osiągając w 2026 roku wartość 233 miliardów dolarów, to jednak przenoszą się one poza UE. Podczas gdy wiodące na świecie ośrodki, takie jak Boston, San Francisco i Złoty Trójkąt w Wielkiej Brytanii, otrzymują znaczną uwagę w zakresie polityki i finansowania strategicznego, europejskie finansowanie badań jest bardziej jednolite i przedkłada równość nad jakość. Kraje o najwyższych wydatkach na badania w UE </w:t>
      </w:r>
      <w:r w:rsidR="00053039">
        <w:br/>
      </w:r>
      <w:r>
        <w:t xml:space="preserve">w przeliczeniu na liczbę mieszkańców nie są ośrodkami innowacji. Jest to słaba strategia: UE powinna rozważyć sponsorowanie przeglądu istniejących polityk w zakresie nauk o życiu i przemysłu </w:t>
      </w:r>
      <w:r w:rsidR="00053039">
        <w:br/>
      </w:r>
      <w:r>
        <w:lastRenderedPageBreak/>
        <w:t xml:space="preserve">w państwach członkowskich w celu określenia czynników sukcesu i możliwości powielania. W ramach polityki brakuje obecnie koncentracji na ośrodkach nauk o życiu. </w:t>
      </w:r>
    </w:p>
    <w:p w14:paraId="1518DB4E" w14:textId="77777777" w:rsidR="00066F8C" w:rsidRPr="00FA7A60" w:rsidRDefault="00066F8C" w:rsidP="006E6FF1">
      <w:pPr>
        <w:jc w:val="both"/>
        <w:rPr>
          <w:b/>
          <w:bCs/>
        </w:rPr>
      </w:pPr>
      <w:r w:rsidRPr="00FA7A60">
        <w:rPr>
          <w:b/>
          <w:bCs/>
        </w:rPr>
        <w:t xml:space="preserve">2. Zwiększenie kompleksowych możliwości i finansowania przełomowych innowacji </w:t>
      </w:r>
    </w:p>
    <w:p w14:paraId="75A1F1FC" w14:textId="401C611A" w:rsidR="00066F8C" w:rsidRDefault="00066F8C" w:rsidP="006E6FF1">
      <w:pPr>
        <w:jc w:val="both"/>
      </w:pPr>
      <w:r>
        <w:t xml:space="preserve">Od dziesięciu lat spada w Europie udział nowo powstających przedsiębiorstw </w:t>
      </w:r>
      <w:proofErr w:type="spellStart"/>
      <w:r>
        <w:t>biofarmaceutycznych</w:t>
      </w:r>
      <w:proofErr w:type="spellEnd"/>
      <w:r>
        <w:t xml:space="preserve">. Lokalizacja istniejących ośrodków badawczo-rozwojowych jest kluczowym czynnikiem stymulującym nowe inwestycje; podczas gdy przedsiębiorstwa powstające w USA i Chinach mogą inwestować </w:t>
      </w:r>
      <w:r w:rsidR="00FA7A60">
        <w:br/>
      </w:r>
      <w:r>
        <w:t xml:space="preserve">w Europie w miarę rozwoju, będą nadal inwestować tam, skąd pochodzą. Wkład wschodzących chińskich firm </w:t>
      </w:r>
      <w:proofErr w:type="spellStart"/>
      <w:r>
        <w:t>biofarmaceutycznych</w:t>
      </w:r>
      <w:proofErr w:type="spellEnd"/>
      <w:r>
        <w:t xml:space="preserve"> do globalnego rurociągu gwałtownie wzrósł w tempie 456% </w:t>
      </w:r>
      <w:r w:rsidR="00FA7A60">
        <w:br/>
      </w:r>
      <w:r>
        <w:t xml:space="preserve">w latach 2016-2021. Strategia farmaceutyczna UE uznaje znaczenie finansowania na poziomie UE </w:t>
      </w:r>
      <w:r w:rsidR="00FA7A60">
        <w:br/>
      </w:r>
      <w:r>
        <w:t xml:space="preserve">i programów krajowych w celu wspierania MŚP, ale powinno to iść dalej. Istnieją oznaki pozytywnych tendencji w niektórych państwach członkowskich </w:t>
      </w:r>
      <w:r w:rsidR="00254EA6">
        <w:t>–</w:t>
      </w:r>
      <w:r>
        <w:t xml:space="preserve"> na przykład w Danii </w:t>
      </w:r>
      <w:r w:rsidR="00254EA6">
        <w:t>–</w:t>
      </w:r>
      <w:r>
        <w:t xml:space="preserve"> w zakresie wspierania wzrostu około 200 nowych przedsiębiorstw z sektora nauk o życiu w klastrze w Danii Wschodniej </w:t>
      </w:r>
      <w:r w:rsidR="00254EA6">
        <w:br/>
      </w:r>
      <w:r>
        <w:t xml:space="preserve">w latach 2017-2022 </w:t>
      </w:r>
      <w:r w:rsidR="00254EA6">
        <w:t>–</w:t>
      </w:r>
      <w:r>
        <w:t xml:space="preserve"> wspieranego również przez kierowane przez rząd "Centrum Innowacji Danii" zlokalizowane</w:t>
      </w:r>
      <w:r w:rsidR="00254EA6">
        <w:t xml:space="preserve"> </w:t>
      </w:r>
      <w:r>
        <w:t>w Bostonie, które ma na celu przyspieszenie współpracy między klastrami. Identyfikowanie</w:t>
      </w:r>
      <w:r w:rsidR="00254EA6">
        <w:t xml:space="preserve"> </w:t>
      </w:r>
      <w:r>
        <w:t>i przyjmowanie udanych inicjatyw powinno być priorytetem w europejskiej strategii Pharma.</w:t>
      </w:r>
      <w:r w:rsidR="00850152">
        <w:t xml:space="preserve"> </w:t>
      </w:r>
    </w:p>
    <w:p w14:paraId="2F3C9388" w14:textId="69EA2DB4" w:rsidR="00066F8C" w:rsidRPr="00C834C1" w:rsidRDefault="00066F8C" w:rsidP="006E6FF1">
      <w:pPr>
        <w:jc w:val="both"/>
        <w:rPr>
          <w:b/>
          <w:bCs/>
        </w:rPr>
      </w:pPr>
      <w:r w:rsidRPr="00C834C1">
        <w:rPr>
          <w:b/>
          <w:bCs/>
        </w:rPr>
        <w:t xml:space="preserve">3. Ponowne przemyślenie polityki w zakresie łańcucha dostaw w celu przyciągnięcia inwestycji </w:t>
      </w:r>
      <w:r w:rsidR="00EF449E">
        <w:rPr>
          <w:b/>
          <w:bCs/>
        </w:rPr>
        <w:br/>
      </w:r>
      <w:r w:rsidRPr="00C834C1">
        <w:rPr>
          <w:b/>
          <w:bCs/>
        </w:rPr>
        <w:t>w dziedzinie ATMP w Europie</w:t>
      </w:r>
    </w:p>
    <w:p w14:paraId="41F4A551" w14:textId="438DB142" w:rsidR="00066F8C" w:rsidRDefault="00066F8C" w:rsidP="006E6FF1">
      <w:pPr>
        <w:jc w:val="both"/>
      </w:pPr>
      <w:r>
        <w:t xml:space="preserve">ATMP są terapiami przyszłości </w:t>
      </w:r>
      <w:r w:rsidR="00254EA6">
        <w:t>–</w:t>
      </w:r>
      <w:r>
        <w:t xml:space="preserve"> 804 </w:t>
      </w:r>
      <w:proofErr w:type="spellStart"/>
      <w:r>
        <w:t>bioterapeutyki</w:t>
      </w:r>
      <w:proofErr w:type="spellEnd"/>
      <w:r>
        <w:t xml:space="preserve"> nowej generacji (w tym terapie komórkowe </w:t>
      </w:r>
      <w:r w:rsidR="00EF449E">
        <w:br/>
      </w:r>
      <w:r>
        <w:t xml:space="preserve">i genowe oraz technologia mRNA) znajdują się w globalnej ofercie ponad 8 000 nowych leków. W USA znajduje się 50% światowych zakładów produkujących ATMP. Azja szybko staje się najbardziej konkurencyjnym regionem pod względem przyciągania badań klinicznych ATMP (255 w 2021 r.), </w:t>
      </w:r>
      <w:r w:rsidR="00EF449E">
        <w:br/>
      </w:r>
      <w:r>
        <w:t xml:space="preserve">a Europa podupada (89 w 2021 r.). </w:t>
      </w:r>
    </w:p>
    <w:p w14:paraId="6176F741" w14:textId="7C48B69A" w:rsidR="00066F8C" w:rsidRDefault="00066F8C" w:rsidP="006E6FF1">
      <w:pPr>
        <w:jc w:val="both"/>
      </w:pPr>
      <w:r>
        <w:t xml:space="preserve">Aby Europa zaczęła skuteczniej konkurować, musi uznać złożoność tych nowych technologii i zbudować wzajemnie powiązany ekosystem niezbędny do ich rozwoju. Chociaż Europa osiąga dobre wyniki </w:t>
      </w:r>
      <w:r w:rsidR="00EF449E">
        <w:br/>
      </w:r>
      <w:r>
        <w:t xml:space="preserve">w badaniach akademickich w zakresie ATMP </w:t>
      </w:r>
      <w:r w:rsidR="00254EA6">
        <w:t>–</w:t>
      </w:r>
      <w:r>
        <w:t xml:space="preserve"> instytucje europejskie były autorami 48 000 publikacji więcej niż USA w latach 2017-2019 i 20 000 więcej niż Chiny </w:t>
      </w:r>
      <w:r w:rsidR="00254EA6">
        <w:t>–</w:t>
      </w:r>
      <w:r>
        <w:t xml:space="preserve"> nie przekształca ona badań w terapie dla pacjentów.</w:t>
      </w:r>
    </w:p>
    <w:p w14:paraId="2BF868DB" w14:textId="1190561F" w:rsidR="00066F8C" w:rsidRDefault="00066F8C" w:rsidP="006E6FF1">
      <w:pPr>
        <w:jc w:val="both"/>
      </w:pPr>
      <w:r>
        <w:t xml:space="preserve">Konkurencyjność Europy jest utrudniona przez silosowe podejście do kształtowania polityki </w:t>
      </w:r>
      <w:r w:rsidR="00EF449E">
        <w:br/>
      </w:r>
      <w:r>
        <w:t>i niewykorzystane możliwości. UE powinna przyjąć bardziej proaktywną rolę we wspieraniu rozwoju powstających klastrów ATMP, zapewniając wsparcie w całym ekosystemie badań i rozwoju, produkcji i badań klinicznych.</w:t>
      </w:r>
    </w:p>
    <w:p w14:paraId="73DB7724" w14:textId="315F01C8" w:rsidR="00066F8C" w:rsidRPr="00EF449E" w:rsidRDefault="00066F8C" w:rsidP="006E6FF1">
      <w:pPr>
        <w:jc w:val="both"/>
        <w:rPr>
          <w:b/>
          <w:bCs/>
        </w:rPr>
      </w:pPr>
      <w:r w:rsidRPr="00EF449E">
        <w:rPr>
          <w:b/>
          <w:bCs/>
        </w:rPr>
        <w:t>4. Wspieranie innowacji poprzez wdrożenie mechanizmów wczesnego dostępu, w tym generowanie i wykorzystywanie dowodów ze świata rzeczywistego</w:t>
      </w:r>
    </w:p>
    <w:p w14:paraId="45769B43" w14:textId="77777777" w:rsidR="00066F8C" w:rsidRDefault="00066F8C" w:rsidP="006E6FF1">
      <w:pPr>
        <w:jc w:val="both"/>
      </w:pPr>
      <w:r>
        <w:t>Tradycyjny cykl rozwoju leku ulega zmianie. Leki coraz częściej muszą uzyskać warunkowe zatwierdzenie, aby dotrzeć do pacjentów wcześniej, aby wygenerować dowody w świecie rzeczywistym. Na inwestycje badawcze przedsiębiorstw coraz większy wpływ będzie miała sprawność i elastyczność regulacyjna oraz wspierające środowisko badań klinicznych, które zapewnia pacjentom możliwość korzystania z nowych terapii.</w:t>
      </w:r>
    </w:p>
    <w:p w14:paraId="722F247D" w14:textId="06E1C7A3" w:rsidR="00066F8C" w:rsidRDefault="00066F8C" w:rsidP="006E6FF1">
      <w:pPr>
        <w:jc w:val="both"/>
      </w:pPr>
      <w:r>
        <w:t xml:space="preserve">Propozycje Komisji dotyczące zmienionego prawodawstwa farmaceutycznego podzielają niektóre </w:t>
      </w:r>
      <w:r w:rsidR="00EF449E">
        <w:br/>
      </w:r>
      <w:r>
        <w:t>z tych celów, wspierając innowacyjne projekty badań oraz nowe metody generowania i oceny dowodów. Wydaje się jednak, że strategia Komisji nie uwzględnia związku między wczesnym dostępem pacjentów do nowych leków a atrakcyjnością Europy jako miejsca, w którym firmy lokują swoje badania, próby kliniczne i produkcję, zwłaszcza w przypadku nowych technologii.</w:t>
      </w:r>
    </w:p>
    <w:p w14:paraId="1597D6BC" w14:textId="77777777" w:rsidR="00066F8C" w:rsidRPr="00DC4511" w:rsidRDefault="00066F8C" w:rsidP="006E6FF1">
      <w:pPr>
        <w:jc w:val="both"/>
        <w:rPr>
          <w:b/>
          <w:bCs/>
        </w:rPr>
      </w:pPr>
      <w:r w:rsidRPr="00DC4511">
        <w:rPr>
          <w:b/>
          <w:bCs/>
        </w:rPr>
        <w:lastRenderedPageBreak/>
        <w:t>5. Przyspieszenie transformacji cyfrowej w UE i wspieranie rozwoju zdolności cyfrowych</w:t>
      </w:r>
    </w:p>
    <w:p w14:paraId="7D159F91" w14:textId="42332B99" w:rsidR="00066F8C" w:rsidRDefault="00066F8C" w:rsidP="006E6FF1">
      <w:pPr>
        <w:jc w:val="both"/>
      </w:pPr>
      <w:r>
        <w:t xml:space="preserve">Kraje oferujące skuteczny ekosystem cyfrowy są głównym motorem inwestycji dla globalnych firm. Stany Zjednoczone znacznie wyprzedzają Europę pod względem infrastruktury cyfrowej i wzajemnych powiązań. Mimo że pięć państw UE znajduje się w pierwszej dziesiątce państw świata pod względem cyfryzacji, główne ośrodki badań i rozwoju oraz produkcji w Europie </w:t>
      </w:r>
      <w:r w:rsidR="00254EA6">
        <w:t>–</w:t>
      </w:r>
      <w:r>
        <w:t xml:space="preserve"> Niemcy, Belgia i Irlandia </w:t>
      </w:r>
      <w:r w:rsidR="00254EA6">
        <w:t>–</w:t>
      </w:r>
      <w:r>
        <w:t xml:space="preserve"> zajmują słabe miejsce pod względem konkurencyjności cyfrowej (odpowiednio 19, 23 i 24 miejsce na 52). Prowadzone przez UE działania mające na celu zwiększenie wzajemnych powiązań między ośrodkami, podniesienie kwalifikacji pracowników naukowych w zakresie technologii cyfrowych oraz przyspieszenie cyfryzacji systemów opieki zdrowotnej pomogą pobudzić innowacje. Strategia farmaceutyczna UE skupia się na przygotowaniu do transformacji cyfrowej, ale brakuje w niej nacisku na wspieranie państw członkowskich w modernizacji infrastruktury cyfrowej w celu wspierania rozwoju i dostępu do nowych leków.</w:t>
      </w:r>
    </w:p>
    <w:p w14:paraId="4197837F" w14:textId="77777777" w:rsidR="00066F8C" w:rsidRPr="00DC4511" w:rsidRDefault="00066F8C" w:rsidP="006E6FF1">
      <w:pPr>
        <w:jc w:val="both"/>
        <w:rPr>
          <w:b/>
          <w:bCs/>
        </w:rPr>
      </w:pPr>
      <w:r w:rsidRPr="00DC4511">
        <w:rPr>
          <w:b/>
          <w:bCs/>
        </w:rPr>
        <w:t xml:space="preserve">6. Wspieranie przyjęcia zrównoważonej polityki zamówień publicznych i polityki cenowej </w:t>
      </w:r>
    </w:p>
    <w:p w14:paraId="6C9C88DC" w14:textId="77777777" w:rsidR="00066F8C" w:rsidRDefault="00066F8C" w:rsidP="006E6FF1">
      <w:pPr>
        <w:jc w:val="both"/>
      </w:pPr>
      <w:r>
        <w:t xml:space="preserve">Globalne łańcuchy zaopatrzenia w nowe leki wyjątkowo dobrze poradziły sobie w czasie pandemii. Większy nacisk Europy na </w:t>
      </w:r>
      <w:proofErr w:type="spellStart"/>
      <w:r>
        <w:t>onshoring</w:t>
      </w:r>
      <w:proofErr w:type="spellEnd"/>
      <w:r>
        <w:t xml:space="preserve"> i produkcję starszych leków generycznych jest strategią sprzeczną z długoterminowymi celami polityki przemysłowej UE i wraz z brakiem zrównoważonego rynku dla produktów innowacyjnych zaszkodzi przyszłym innowacjom, o ile nie zostanie ponownie przemyślana w ramach proponowanego przeglądu prawodawstwa farmaceutycznego UE.</w:t>
      </w:r>
    </w:p>
    <w:p w14:paraId="4C3B4513" w14:textId="77777777" w:rsidR="00066F8C" w:rsidRPr="00DC4511" w:rsidRDefault="00066F8C" w:rsidP="006E6FF1">
      <w:pPr>
        <w:jc w:val="both"/>
        <w:rPr>
          <w:b/>
          <w:bCs/>
        </w:rPr>
      </w:pPr>
      <w:r w:rsidRPr="00DC4511">
        <w:rPr>
          <w:b/>
          <w:bCs/>
        </w:rPr>
        <w:t xml:space="preserve">7. Opracowanie długoterminowych (15-20 lat) europejskich polityk i współpracy w celu stworzenia stabilności dla przyciągnięcia inwestycji </w:t>
      </w:r>
      <w:proofErr w:type="spellStart"/>
      <w:r w:rsidRPr="00DC4511">
        <w:rPr>
          <w:b/>
          <w:bCs/>
        </w:rPr>
        <w:t>biofarmaceutycznych</w:t>
      </w:r>
      <w:proofErr w:type="spellEnd"/>
    </w:p>
    <w:p w14:paraId="18D5CC23" w14:textId="77777777" w:rsidR="00066F8C" w:rsidRDefault="00066F8C" w:rsidP="006E6FF1">
      <w:pPr>
        <w:jc w:val="both"/>
      </w:pPr>
      <w:r>
        <w:t xml:space="preserve">Decyzje dotyczące inwestycji w centra badawcze i produkcję są decyzjami długoterminowymi, podczas gdy badania kliniczne są często prowadzone przez wiele lat. Aby Europa mogła być strategicznie niezależna od reszty świata, musi mieć prężny ekosystem R&amp;D. Decyzje polityczne podejmowane dzisiaj będą miały wpływ na atrakcyjność inwestycyjną Europy w nadchodzących dziesięcioleciach. </w:t>
      </w:r>
    </w:p>
    <w:p w14:paraId="5D051336" w14:textId="65313B93" w:rsidR="00066F8C" w:rsidRDefault="00066F8C" w:rsidP="006E6FF1">
      <w:pPr>
        <w:jc w:val="both"/>
      </w:pPr>
      <w:r>
        <w:t xml:space="preserve">Biorąc pod uwagę długoterminowy charakter decyzji inwestycyjnych, regiony, które oferują stabilne środowisko w połączeniu z rozwijającymi się rynkami, skorzystają z obniżonego postrzeganego ryzyka. Długoterminowa perspektywa wymaga, aby Strategia UE w dziedzinie farmacji była wdrażana poprzez wybiegające w przyszłość partnerstwo z przemysłem, z namacalnymi i istotnymi kluczowymi wskaźnikami wydajności współtworzonymi w celu zapewnienia, że zrewidowane prawodawstwo wywiera zamierzony wpływ i umożliwia </w:t>
      </w:r>
      <w:proofErr w:type="spellStart"/>
      <w:r>
        <w:t>benchmarking</w:t>
      </w:r>
      <w:proofErr w:type="spellEnd"/>
      <w:r>
        <w:t xml:space="preserve"> długoterminowej konkurencyjności Europy </w:t>
      </w:r>
      <w:r w:rsidR="00DC4511">
        <w:br/>
      </w:r>
      <w:r>
        <w:t>w zakresie przyciągania inwestycji w badania i rozwój, badania kliniczne i produkcję.</w:t>
      </w:r>
    </w:p>
    <w:p w14:paraId="1A7B2BA4" w14:textId="77777777" w:rsidR="00066F8C" w:rsidRPr="00DC4511" w:rsidRDefault="00066F8C" w:rsidP="006E6FF1">
      <w:pPr>
        <w:jc w:val="both"/>
        <w:rPr>
          <w:b/>
          <w:bCs/>
        </w:rPr>
      </w:pPr>
      <w:r w:rsidRPr="00DC4511">
        <w:rPr>
          <w:b/>
          <w:bCs/>
        </w:rPr>
        <w:t>Dyrektor Generalny, EFPIA, Nathalie Moll powiedziała:</w:t>
      </w:r>
    </w:p>
    <w:p w14:paraId="0245F917" w14:textId="64E132DA" w:rsidR="00066F8C" w:rsidRPr="00DC4511" w:rsidRDefault="00066F8C" w:rsidP="006E6FF1">
      <w:pPr>
        <w:jc w:val="both"/>
        <w:rPr>
          <w:i/>
          <w:iCs/>
        </w:rPr>
      </w:pPr>
      <w:r w:rsidRPr="00DC4511">
        <w:rPr>
          <w:i/>
          <w:iCs/>
        </w:rPr>
        <w:t xml:space="preserve">"Dzisiejszy raport powinien stanowić sygnał ostrzegawczy dla nas wszystkich. Dla pacjentów oraz dla przyszłości rozwoju leków w Europie nic nie może być ważniejsze to, aby Komisja i rządy krajowe współpracowały z przemysłem w celu utrzymania </w:t>
      </w:r>
      <w:r w:rsidR="00850152">
        <w:rPr>
          <w:i/>
          <w:iCs/>
        </w:rPr>
        <w:t>–</w:t>
      </w:r>
      <w:r w:rsidRPr="00DC4511">
        <w:rPr>
          <w:i/>
          <w:iCs/>
        </w:rPr>
        <w:t xml:space="preserve"> i</w:t>
      </w:r>
      <w:r w:rsidR="00850152">
        <w:rPr>
          <w:i/>
          <w:iCs/>
        </w:rPr>
        <w:t xml:space="preserve"> </w:t>
      </w:r>
      <w:r w:rsidRPr="00DC4511">
        <w:rPr>
          <w:i/>
          <w:iCs/>
        </w:rPr>
        <w:t xml:space="preserve">rozwoju </w:t>
      </w:r>
      <w:r w:rsidR="00850152">
        <w:rPr>
          <w:i/>
          <w:iCs/>
        </w:rPr>
        <w:t>–</w:t>
      </w:r>
      <w:r w:rsidRPr="00DC4511">
        <w:rPr>
          <w:i/>
          <w:iCs/>
        </w:rPr>
        <w:t xml:space="preserve"> sektora w Europie.</w:t>
      </w:r>
    </w:p>
    <w:p w14:paraId="517197E9" w14:textId="77777777" w:rsidR="00066F8C" w:rsidRPr="00DC4511" w:rsidRDefault="00066F8C" w:rsidP="006E6FF1">
      <w:pPr>
        <w:jc w:val="both"/>
        <w:rPr>
          <w:i/>
          <w:iCs/>
        </w:rPr>
      </w:pPr>
      <w:r w:rsidRPr="00DC4511">
        <w:rPr>
          <w:i/>
          <w:iCs/>
        </w:rPr>
        <w:t>Aby to osiągnąć, należy skupić się na przyjęciu najlepszych praktyk w całym ekosystemie nauk przyrodniczych, aby naśladować sukcesy ambitnych, wiodących na świecie regionów w USA i Azji.</w:t>
      </w:r>
    </w:p>
    <w:p w14:paraId="685BAC26" w14:textId="4DE49C6D" w:rsidR="00066F8C" w:rsidRDefault="00066F8C" w:rsidP="006E6FF1">
      <w:pPr>
        <w:jc w:val="both"/>
        <w:rPr>
          <w:i/>
          <w:iCs/>
        </w:rPr>
      </w:pPr>
      <w:r w:rsidRPr="00DC4511">
        <w:rPr>
          <w:i/>
          <w:iCs/>
        </w:rPr>
        <w:t xml:space="preserve">O ile ambicje Komisji dotyczące zrównoważenia przystępności cenowej dla państw członkowskich </w:t>
      </w:r>
      <w:r w:rsidR="00850152">
        <w:rPr>
          <w:i/>
          <w:iCs/>
        </w:rPr>
        <w:br/>
      </w:r>
      <w:r w:rsidRPr="00DC4511">
        <w:rPr>
          <w:i/>
          <w:iCs/>
        </w:rPr>
        <w:t>i</w:t>
      </w:r>
      <w:r w:rsidR="00850152">
        <w:rPr>
          <w:i/>
          <w:iCs/>
        </w:rPr>
        <w:t xml:space="preserve"> </w:t>
      </w:r>
      <w:r w:rsidRPr="00DC4511">
        <w:rPr>
          <w:i/>
          <w:iCs/>
        </w:rPr>
        <w:t>przyszłych innowacji są słuszne, o tyle obecny sposób myślenia może mieć negatywny wpływ na opiekę nad pacjentami i jeszcze bardziej osłabić konkurencyjność Europy."</w:t>
      </w:r>
    </w:p>
    <w:p w14:paraId="5D35F5CD" w14:textId="2BDDDC06" w:rsidR="00DC130E" w:rsidRPr="00DC130E" w:rsidRDefault="00DC130E" w:rsidP="006E6FF1">
      <w:pPr>
        <w:jc w:val="both"/>
      </w:pPr>
      <w:r w:rsidRPr="00DC130E">
        <w:rPr>
          <w:b/>
          <w:bCs/>
        </w:rPr>
        <w:t xml:space="preserve">Link do publikacji na stronie EFPIA: </w:t>
      </w:r>
      <w:hyperlink r:id="rId8" w:history="1">
        <w:r w:rsidRPr="0029115A">
          <w:rPr>
            <w:rStyle w:val="Hipercze"/>
          </w:rPr>
          <w:t>https://efpia.eu/news-events/the-efpia-view/efpia-news/europe-s-share-of-global-medicines-rd-shrinks-by</w:t>
        </w:r>
        <w:r w:rsidRPr="0029115A">
          <w:rPr>
            <w:rStyle w:val="Hipercze"/>
          </w:rPr>
          <w:t>-a-quarter-in-20-years-as-sector-s-declining-trends-continue/</w:t>
        </w:r>
      </w:hyperlink>
      <w:r>
        <w:t xml:space="preserve"> </w:t>
      </w:r>
    </w:p>
    <w:sectPr w:rsidR="00DC130E" w:rsidRPr="00DC130E" w:rsidSect="00DC130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80872"/>
    <w:multiLevelType w:val="hybridMultilevel"/>
    <w:tmpl w:val="76CCF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33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8C"/>
    <w:rsid w:val="00053039"/>
    <w:rsid w:val="00066F8C"/>
    <w:rsid w:val="0023329C"/>
    <w:rsid w:val="00254EA6"/>
    <w:rsid w:val="003B4A0E"/>
    <w:rsid w:val="006E6FF1"/>
    <w:rsid w:val="0080576C"/>
    <w:rsid w:val="00850152"/>
    <w:rsid w:val="008D04B8"/>
    <w:rsid w:val="00C834C1"/>
    <w:rsid w:val="00DC130E"/>
    <w:rsid w:val="00DC4511"/>
    <w:rsid w:val="00EF449E"/>
    <w:rsid w:val="00FA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E955"/>
  <w15:chartTrackingRefBased/>
  <w15:docId w15:val="{86F544CF-72B1-47FE-B96D-88D977CE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4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13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13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501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pia.eu/news-events/the-efpia-view/efpia-news/europe-s-share-of-global-medicines-rd-shrinks-by-a-quarter-in-20-years-as-sector-s-declining-trends-continu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514c33-91dc-4c97-ac20-2a583a7261dd" xsi:nil="true"/>
    <TaxCatchAll xmlns="408c9692-8832-49c4-b90f-81225ff21b65" xsi:nil="true"/>
    <lcf76f155ced4ddcb4097134ff3c332f xmlns="28514c33-91dc-4c97-ac20-2a583a7261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61E08BDE0922499C402CCD8960BEBA" ma:contentTypeVersion="18" ma:contentTypeDescription="Utwórz nowy dokument." ma:contentTypeScope="" ma:versionID="3146f11f0c29bddd47756910671bef01">
  <xsd:schema xmlns:xsd="http://www.w3.org/2001/XMLSchema" xmlns:xs="http://www.w3.org/2001/XMLSchema" xmlns:p="http://schemas.microsoft.com/office/2006/metadata/properties" xmlns:ns2="28514c33-91dc-4c97-ac20-2a583a7261dd" xmlns:ns3="408c9692-8832-49c4-b90f-81225ff21b65" targetNamespace="http://schemas.microsoft.com/office/2006/metadata/properties" ma:root="true" ma:fieldsID="69d9216fb57e4a30474ec7bff769fc6b" ns2:_="" ns3:_="">
    <xsd:import namespace="28514c33-91dc-4c97-ac20-2a583a7261dd"/>
    <xsd:import namespace="408c9692-8832-49c4-b90f-81225ff21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4c33-91dc-4c97-ac20-2a583a726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da6aaa5-771f-48d8-b32e-b5112a076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c9692-8832-49c4-b90f-81225ff21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f0be1d-d569-40aa-ad70-6eb128bbca68}" ma:internalName="TaxCatchAll" ma:showField="CatchAllData" ma:web="408c9692-8832-49c4-b90f-81225ff21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3A35D-6CF9-4BCA-901D-E3FE6BF442E6}">
  <ds:schemaRefs>
    <ds:schemaRef ds:uri="http://schemas.microsoft.com/office/2006/metadata/properties"/>
    <ds:schemaRef ds:uri="http://schemas.microsoft.com/office/infopath/2007/PartnerControls"/>
    <ds:schemaRef ds:uri="28514c33-91dc-4c97-ac20-2a583a7261dd"/>
    <ds:schemaRef ds:uri="408c9692-8832-49c4-b90f-81225ff21b65"/>
  </ds:schemaRefs>
</ds:datastoreItem>
</file>

<file path=customXml/itemProps2.xml><?xml version="1.0" encoding="utf-8"?>
<ds:datastoreItem xmlns:ds="http://schemas.openxmlformats.org/officeDocument/2006/customXml" ds:itemID="{631A246F-299B-4C12-AAC7-CF9BDAB28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F7717-8DD5-4415-99D9-40FE08EA7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14c33-91dc-4c97-ac20-2a583a7261dd"/>
    <ds:schemaRef ds:uri="408c9692-8832-49c4-b90f-81225ff21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1571</Words>
  <Characters>9429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Romanowicz</dc:creator>
  <cp:keywords/>
  <dc:description/>
  <cp:lastModifiedBy>Magdalena Romanowicz</cp:lastModifiedBy>
  <cp:revision>2</cp:revision>
  <dcterms:created xsi:type="dcterms:W3CDTF">2022-11-25T20:32:00Z</dcterms:created>
  <dcterms:modified xsi:type="dcterms:W3CDTF">2022-11-25T20:32:00Z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0x0101004C61E08BDE0922499C402CCD8960BEBA</vt:lpwstr>
  </property>
</Properties>
</file>