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785C" w14:textId="4CFECD88" w:rsidR="001315B1" w:rsidRDefault="001315B1" w:rsidP="001315B1">
      <w:pPr>
        <w:autoSpaceDE w:val="0"/>
        <w:autoSpaceDN w:val="0"/>
        <w:adjustRightInd w:val="0"/>
        <w:spacing w:after="120" w:line="283" w:lineRule="auto"/>
        <w:jc w:val="right"/>
        <w:rPr>
          <w:rFonts w:eastAsia="Oswald-Light" w:cstheme="minorHAnsi"/>
        </w:rPr>
      </w:pPr>
      <w:r w:rsidRPr="003D31A0">
        <w:rPr>
          <w:rFonts w:eastAsia="Oswald-Light" w:cstheme="minorHAnsi"/>
        </w:rPr>
        <w:t xml:space="preserve">Warszawa, </w:t>
      </w:r>
      <w:r w:rsidR="00FD6EEA">
        <w:rPr>
          <w:rFonts w:eastAsia="Oswald-Light" w:cstheme="minorHAnsi"/>
        </w:rPr>
        <w:t>1 czerwca</w:t>
      </w:r>
      <w:r w:rsidRPr="003D31A0">
        <w:rPr>
          <w:rFonts w:eastAsia="Oswald-Light" w:cstheme="minorHAnsi"/>
        </w:rPr>
        <w:t xml:space="preserve"> 2022 r.</w:t>
      </w:r>
    </w:p>
    <w:p w14:paraId="27FD0936" w14:textId="77777777" w:rsidR="001315B1" w:rsidRPr="003D31A0" w:rsidRDefault="001315B1" w:rsidP="001315B1">
      <w:pPr>
        <w:autoSpaceDE w:val="0"/>
        <w:autoSpaceDN w:val="0"/>
        <w:adjustRightInd w:val="0"/>
        <w:spacing w:after="120" w:line="283" w:lineRule="auto"/>
        <w:jc w:val="right"/>
        <w:rPr>
          <w:rFonts w:eastAsia="Oswald-Light" w:cstheme="minorHAnsi"/>
        </w:rPr>
      </w:pPr>
    </w:p>
    <w:p w14:paraId="31572167" w14:textId="44F605CC" w:rsidR="001315B1" w:rsidRPr="00666757" w:rsidRDefault="003345D0" w:rsidP="001315B1">
      <w:pPr>
        <w:autoSpaceDE w:val="0"/>
        <w:autoSpaceDN w:val="0"/>
        <w:adjustRightInd w:val="0"/>
        <w:spacing w:after="120" w:line="283" w:lineRule="auto"/>
        <w:jc w:val="center"/>
        <w:rPr>
          <w:rFonts w:eastAsia="Oswald-Light" w:cstheme="minorHAnsi"/>
          <w:b/>
          <w:bCs/>
          <w:sz w:val="28"/>
          <w:szCs w:val="28"/>
        </w:rPr>
      </w:pPr>
      <w:r>
        <w:rPr>
          <w:rFonts w:eastAsia="Oswald-Light" w:cstheme="minorHAnsi"/>
          <w:b/>
          <w:bCs/>
          <w:sz w:val="28"/>
          <w:szCs w:val="28"/>
        </w:rPr>
        <w:t xml:space="preserve">Badania kliniczne ważną częścią innowacyjnej gospodarki </w:t>
      </w:r>
    </w:p>
    <w:p w14:paraId="00790778" w14:textId="77777777" w:rsidR="001271A1" w:rsidRDefault="001271A1" w:rsidP="00E32988">
      <w:pPr>
        <w:spacing w:line="240" w:lineRule="auto"/>
        <w:jc w:val="left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</w:p>
    <w:p w14:paraId="4148729E" w14:textId="65A523DA" w:rsidR="00D728FB" w:rsidRDefault="00A8362D" w:rsidP="00D728FB">
      <w:pPr>
        <w:snapToGrid w:val="0"/>
        <w:spacing w:after="120" w:line="283" w:lineRule="auto"/>
        <w:rPr>
          <w:rFonts w:asciiTheme="minorHAnsi" w:eastAsia="Oswald-Light" w:hAnsiTheme="minorHAnsi" w:cstheme="minorHAnsi"/>
          <w:b/>
          <w:bCs/>
          <w:sz w:val="22"/>
          <w:szCs w:val="22"/>
        </w:rPr>
      </w:pPr>
      <w:r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>Doświadczenia p</w:t>
      </w:r>
      <w:r w:rsidR="001271A1"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>andemi</w:t>
      </w:r>
      <w:r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>i</w:t>
      </w:r>
      <w:r w:rsidR="001271A1"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 xml:space="preserve"> </w:t>
      </w:r>
      <w:r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>COVID</w:t>
      </w:r>
      <w:r w:rsidR="001271A1"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>-19</w:t>
      </w:r>
      <w:r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 xml:space="preserve"> i</w:t>
      </w:r>
      <w:r w:rsidR="001271A1"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 xml:space="preserve"> wojn</w:t>
      </w:r>
      <w:r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>y</w:t>
      </w:r>
      <w:r w:rsidR="001271A1"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 xml:space="preserve"> w Ukrainie</w:t>
      </w:r>
      <w:r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 xml:space="preserve"> przyniosły wiele </w:t>
      </w:r>
      <w:r w:rsidR="001271A1"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>wyzwań również w</w:t>
      </w:r>
      <w:r w:rsidR="00E32988"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> obszarze badań klinicznych</w:t>
      </w:r>
      <w:r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>, który wymaga</w:t>
      </w:r>
      <w:r w:rsidR="00E32988"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 xml:space="preserve"> szybkich i</w:t>
      </w:r>
      <w:r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 xml:space="preserve"> </w:t>
      </w:r>
      <w:r w:rsidR="00E32988"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>nadzwyczajnych rozwiązań w</w:t>
      </w:r>
      <w:r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 xml:space="preserve"> </w:t>
      </w:r>
      <w:r w:rsidR="00E32988"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 xml:space="preserve">zakresie ochrony i bezpieczeństwa </w:t>
      </w:r>
      <w:r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 xml:space="preserve">ich </w:t>
      </w:r>
      <w:r w:rsidR="00E32988"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>uczestników</w:t>
      </w:r>
      <w:r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 xml:space="preserve">. Sytuacje kryzysowe </w:t>
      </w:r>
      <w:r w:rsidR="00E32988"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>wpływa</w:t>
      </w:r>
      <w:r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>ją jednocześnie</w:t>
      </w:r>
      <w:r w:rsidR="00E32988"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 xml:space="preserve"> na sposób planowania, prowadzenia i monitorowania badań klinicznych. </w:t>
      </w:r>
      <w:r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 xml:space="preserve">Przy okazji </w:t>
      </w:r>
      <w:r w:rsidR="001271A1"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 xml:space="preserve">Międzynarodowego Dnia Badań Klinicznych </w:t>
      </w:r>
      <w:r w:rsidR="00E32988"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 xml:space="preserve">eksperci </w:t>
      </w:r>
      <w:r w:rsidR="001271A1"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 xml:space="preserve">środowiska medycznego, naukowego, administracji publicznej oraz przedstawiciele organizacji </w:t>
      </w:r>
      <w:proofErr w:type="spellStart"/>
      <w:r w:rsidR="001271A1"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>pacjenckich</w:t>
      </w:r>
      <w:proofErr w:type="spellEnd"/>
      <w:r w:rsidR="001271A1"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 xml:space="preserve"> </w:t>
      </w:r>
      <w:r w:rsidR="00E32988"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>porusz</w:t>
      </w:r>
      <w:r w:rsidR="001271A1"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>yli</w:t>
      </w:r>
      <w:r w:rsidR="00E32988"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 xml:space="preserve"> zagadnienia związane </w:t>
      </w:r>
      <w:r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>z</w:t>
      </w:r>
      <w:r w:rsidR="00D728FB"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 xml:space="preserve"> </w:t>
      </w:r>
      <w:r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 xml:space="preserve">nową </w:t>
      </w:r>
      <w:r w:rsidR="00E32988"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>rzeczywistością prowadzenia badań klinicznych</w:t>
      </w:r>
      <w:r w:rsidR="00D728FB"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 xml:space="preserve"> w Polsce</w:t>
      </w:r>
      <w:r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 xml:space="preserve"> –</w:t>
      </w:r>
      <w:r w:rsidR="00E32988"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 xml:space="preserve"> wyzwaniami</w:t>
      </w:r>
      <w:r w:rsidR="00D728FB"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 xml:space="preserve">, </w:t>
      </w:r>
      <w:r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>rozwiązania</w:t>
      </w:r>
      <w:r w:rsidR="008E3760"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>mi</w:t>
      </w:r>
      <w:r w:rsidR="00E32988"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 xml:space="preserve"> oraz </w:t>
      </w:r>
      <w:r w:rsidR="00D728FB"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 xml:space="preserve">ich </w:t>
      </w:r>
      <w:r w:rsidR="00E32988"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>przyszłością</w:t>
      </w:r>
      <w:r w:rsidR="00D728FB"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 xml:space="preserve">. </w:t>
      </w:r>
      <w:r w:rsidR="001271A1" w:rsidRPr="00F9661A">
        <w:rPr>
          <w:rFonts w:asciiTheme="minorHAnsi" w:eastAsia="Oswald-Light" w:hAnsiTheme="minorHAnsi" w:cstheme="minorHAnsi"/>
          <w:b/>
          <w:bCs/>
          <w:sz w:val="22"/>
          <w:szCs w:val="22"/>
        </w:rPr>
        <w:t>Konferencję „Badania kliniczne – podążając za zmianą”</w:t>
      </w:r>
      <w:r w:rsidR="001271A1" w:rsidRPr="00A8362D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="001271A1" w:rsidRPr="00A8362D">
        <w:rPr>
          <w:rFonts w:asciiTheme="minorHAnsi" w:eastAsia="Oswald-Light" w:hAnsiTheme="minorHAnsi" w:cstheme="minorHAnsi"/>
          <w:b/>
          <w:bCs/>
          <w:sz w:val="22"/>
          <w:szCs w:val="22"/>
        </w:rPr>
        <w:t xml:space="preserve">zorganizowały </w:t>
      </w:r>
      <w:r w:rsidR="00C671EF" w:rsidRPr="00A8362D">
        <w:rPr>
          <w:rFonts w:asciiTheme="minorHAnsi" w:eastAsia="Oswald-Light" w:hAnsiTheme="minorHAnsi" w:cstheme="minorHAnsi"/>
          <w:b/>
          <w:bCs/>
          <w:sz w:val="22"/>
          <w:szCs w:val="22"/>
        </w:rPr>
        <w:t xml:space="preserve">Związek Pracodawców Innowacyjnych Firm Farmaceutycznych INFARMA, Polski Związek Pracodawców </w:t>
      </w:r>
      <w:r w:rsidR="00D728FB">
        <w:rPr>
          <w:rFonts w:asciiTheme="minorHAnsi" w:eastAsia="Oswald-Light" w:hAnsiTheme="minorHAnsi" w:cstheme="minorHAnsi"/>
          <w:b/>
          <w:bCs/>
          <w:sz w:val="22"/>
          <w:szCs w:val="22"/>
        </w:rPr>
        <w:t>P</w:t>
      </w:r>
      <w:r w:rsidR="00C671EF" w:rsidRPr="00A8362D">
        <w:rPr>
          <w:rFonts w:asciiTheme="minorHAnsi" w:eastAsia="Oswald-Light" w:hAnsiTheme="minorHAnsi" w:cstheme="minorHAnsi"/>
          <w:b/>
          <w:bCs/>
          <w:sz w:val="22"/>
          <w:szCs w:val="22"/>
        </w:rPr>
        <w:t>rowadzących Badani</w:t>
      </w:r>
      <w:r w:rsidR="00D728FB">
        <w:rPr>
          <w:rFonts w:asciiTheme="minorHAnsi" w:eastAsia="Oswald-Light" w:hAnsiTheme="minorHAnsi" w:cstheme="minorHAnsi"/>
          <w:b/>
          <w:bCs/>
          <w:sz w:val="22"/>
          <w:szCs w:val="22"/>
        </w:rPr>
        <w:t>a</w:t>
      </w:r>
      <w:r w:rsidR="00C671EF" w:rsidRPr="00A8362D">
        <w:rPr>
          <w:rFonts w:asciiTheme="minorHAnsi" w:eastAsia="Oswald-Light" w:hAnsiTheme="minorHAnsi" w:cstheme="minorHAnsi"/>
          <w:b/>
          <w:bCs/>
          <w:sz w:val="22"/>
          <w:szCs w:val="22"/>
        </w:rPr>
        <w:t xml:space="preserve"> Kliniczne na Zlecenie POLCRO oraz Stowarzyszenie na rzecz Dobrej Praktyki </w:t>
      </w:r>
      <w:r w:rsidR="007774B7">
        <w:rPr>
          <w:rFonts w:asciiTheme="minorHAnsi" w:eastAsia="Oswald-Light" w:hAnsiTheme="minorHAnsi" w:cstheme="minorHAnsi"/>
          <w:b/>
          <w:bCs/>
          <w:sz w:val="22"/>
          <w:szCs w:val="22"/>
        </w:rPr>
        <w:t xml:space="preserve">Badań </w:t>
      </w:r>
      <w:r w:rsidR="00C671EF" w:rsidRPr="00A8362D">
        <w:rPr>
          <w:rFonts w:asciiTheme="minorHAnsi" w:eastAsia="Oswald-Light" w:hAnsiTheme="minorHAnsi" w:cstheme="minorHAnsi"/>
          <w:b/>
          <w:bCs/>
          <w:sz w:val="22"/>
          <w:szCs w:val="22"/>
        </w:rPr>
        <w:t>Klinicz</w:t>
      </w:r>
      <w:r w:rsidR="007774B7">
        <w:rPr>
          <w:rFonts w:asciiTheme="minorHAnsi" w:eastAsia="Oswald-Light" w:hAnsiTheme="minorHAnsi" w:cstheme="minorHAnsi"/>
          <w:b/>
          <w:bCs/>
          <w:sz w:val="22"/>
          <w:szCs w:val="22"/>
        </w:rPr>
        <w:t xml:space="preserve">nych w Polsce </w:t>
      </w:r>
      <w:proofErr w:type="spellStart"/>
      <w:r w:rsidR="00C671EF" w:rsidRPr="00A8362D">
        <w:rPr>
          <w:rFonts w:asciiTheme="minorHAnsi" w:eastAsia="Oswald-Light" w:hAnsiTheme="minorHAnsi" w:cstheme="minorHAnsi"/>
          <w:b/>
          <w:bCs/>
          <w:sz w:val="22"/>
          <w:szCs w:val="22"/>
        </w:rPr>
        <w:t>GCPpl</w:t>
      </w:r>
      <w:proofErr w:type="spellEnd"/>
      <w:r w:rsidR="00C671EF" w:rsidRPr="00A8362D">
        <w:rPr>
          <w:rFonts w:asciiTheme="minorHAnsi" w:eastAsia="Oswald-Light" w:hAnsiTheme="minorHAnsi" w:cstheme="minorHAnsi"/>
          <w:b/>
          <w:bCs/>
          <w:sz w:val="22"/>
          <w:szCs w:val="22"/>
        </w:rPr>
        <w:t xml:space="preserve">. </w:t>
      </w:r>
    </w:p>
    <w:p w14:paraId="70B086E6" w14:textId="08A84E35" w:rsidR="002830A8" w:rsidRDefault="00BF3D6E" w:rsidP="002830A8">
      <w:pPr>
        <w:spacing w:after="120" w:line="283" w:lineRule="auto"/>
        <w:rPr>
          <w:rFonts w:asciiTheme="minorHAnsi" w:eastAsia="Oswald-Light" w:hAnsiTheme="minorHAnsi" w:cstheme="minorHAnsi"/>
          <w:i/>
          <w:iCs/>
          <w:sz w:val="22"/>
          <w:szCs w:val="22"/>
        </w:rPr>
      </w:pPr>
      <w:r>
        <w:rPr>
          <w:rFonts w:asciiTheme="minorHAnsi" w:eastAsia="Oswald-Light" w:hAnsiTheme="minorHAnsi" w:cstheme="minorHAnsi"/>
          <w:i/>
          <w:iCs/>
          <w:sz w:val="22"/>
          <w:szCs w:val="22"/>
        </w:rPr>
        <w:t>–</w:t>
      </w:r>
      <w:r w:rsidR="002830A8"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 „Podążając za zmianą” to wyjątkowo trafny motyw przewodni konferencji z okazji Międzynarodowego Dnia Badań Klinicznych – </w:t>
      </w:r>
      <w:r w:rsidR="002830A8" w:rsidRPr="002830A8">
        <w:rPr>
          <w:rFonts w:asciiTheme="minorHAnsi" w:eastAsia="Oswald-Light" w:hAnsiTheme="minorHAnsi" w:cstheme="minorHAnsi"/>
          <w:sz w:val="22"/>
          <w:szCs w:val="22"/>
        </w:rPr>
        <w:t>mówi</w:t>
      </w:r>
      <w:r w:rsidR="002830A8"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 </w:t>
      </w:r>
      <w:r w:rsidR="002830A8" w:rsidRPr="002830A8">
        <w:rPr>
          <w:rFonts w:asciiTheme="minorHAnsi" w:eastAsia="Oswald-Light" w:hAnsiTheme="minorHAnsi" w:cstheme="minorHAnsi"/>
          <w:b/>
          <w:bCs/>
          <w:sz w:val="22"/>
          <w:szCs w:val="22"/>
        </w:rPr>
        <w:t>Małgorzata Kudelska, przedstawiciel</w:t>
      </w:r>
      <w:r w:rsidR="00C16123">
        <w:rPr>
          <w:rFonts w:asciiTheme="minorHAnsi" w:eastAsia="Oswald-Light" w:hAnsiTheme="minorHAnsi" w:cstheme="minorHAnsi"/>
          <w:b/>
          <w:bCs/>
          <w:sz w:val="22"/>
          <w:szCs w:val="22"/>
        </w:rPr>
        <w:t>k</w:t>
      </w:r>
      <w:r w:rsidR="002830A8" w:rsidRPr="002830A8">
        <w:rPr>
          <w:rFonts w:asciiTheme="minorHAnsi" w:eastAsia="Oswald-Light" w:hAnsiTheme="minorHAnsi" w:cstheme="minorHAnsi"/>
          <w:b/>
          <w:bCs/>
          <w:sz w:val="22"/>
          <w:szCs w:val="22"/>
        </w:rPr>
        <w:t>a POLCRO</w:t>
      </w:r>
      <w:r w:rsidR="002830A8">
        <w:rPr>
          <w:rFonts w:asciiTheme="minorHAnsi" w:eastAsia="Oswald-Light" w:hAnsiTheme="minorHAnsi" w:cstheme="minorHAnsi"/>
          <w:i/>
          <w:iCs/>
          <w:sz w:val="22"/>
          <w:szCs w:val="22"/>
        </w:rPr>
        <w:t>. – Rzeczywistość ostatnich lat mocno testuj</w:t>
      </w:r>
      <w:r w:rsidR="00287E72">
        <w:rPr>
          <w:rFonts w:asciiTheme="minorHAnsi" w:eastAsia="Oswald-Light" w:hAnsiTheme="minorHAnsi" w:cstheme="minorHAnsi"/>
          <w:i/>
          <w:iCs/>
          <w:sz w:val="22"/>
          <w:szCs w:val="22"/>
        </w:rPr>
        <w:t>e</w:t>
      </w:r>
      <w:r w:rsidR="002830A8"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 naszą akceptację i możliwość dostosowania się do zmieniającego się otoczenia i tego co nam przynosi. </w:t>
      </w:r>
    </w:p>
    <w:p w14:paraId="4B78FD38" w14:textId="7F476B11" w:rsidR="008F6465" w:rsidRPr="00287E72" w:rsidRDefault="008F6465" w:rsidP="008F6465">
      <w:pPr>
        <w:spacing w:after="120" w:line="276" w:lineRule="auto"/>
        <w:rPr>
          <w:rFonts w:asciiTheme="minorHAnsi" w:eastAsia="Oswald-Light" w:hAnsiTheme="minorHAnsi" w:cstheme="minorHAnsi"/>
          <w:sz w:val="22"/>
          <w:szCs w:val="22"/>
        </w:rPr>
      </w:pPr>
      <w:r>
        <w:rPr>
          <w:rFonts w:asciiTheme="minorHAnsi" w:eastAsia="Oswald-Light" w:hAnsiTheme="minorHAnsi" w:cstheme="minorHAnsi"/>
          <w:sz w:val="22"/>
          <w:szCs w:val="22"/>
        </w:rPr>
        <w:t>Jak</w:t>
      </w:r>
      <w:r w:rsidR="00287E72">
        <w:rPr>
          <w:rFonts w:asciiTheme="minorHAnsi" w:eastAsia="Oswald-Light" w:hAnsiTheme="minorHAnsi" w:cstheme="minorHAnsi"/>
          <w:sz w:val="22"/>
          <w:szCs w:val="22"/>
        </w:rPr>
        <w:t xml:space="preserve"> </w:t>
      </w:r>
      <w:r w:rsidR="00C16123">
        <w:rPr>
          <w:rFonts w:asciiTheme="minorHAnsi" w:eastAsia="Oswald-Light" w:hAnsiTheme="minorHAnsi" w:cstheme="minorHAnsi"/>
          <w:sz w:val="22"/>
          <w:szCs w:val="22"/>
        </w:rPr>
        <w:t xml:space="preserve">wynika z </w:t>
      </w:r>
      <w:r>
        <w:rPr>
          <w:rFonts w:asciiTheme="minorHAnsi" w:eastAsia="Oswald-Light" w:hAnsiTheme="minorHAnsi" w:cstheme="minorHAnsi"/>
          <w:sz w:val="22"/>
          <w:szCs w:val="22"/>
        </w:rPr>
        <w:t>raport</w:t>
      </w:r>
      <w:r w:rsidR="00C16123">
        <w:rPr>
          <w:rFonts w:asciiTheme="minorHAnsi" w:eastAsia="Oswald-Light" w:hAnsiTheme="minorHAnsi" w:cstheme="minorHAnsi"/>
          <w:sz w:val="22"/>
          <w:szCs w:val="22"/>
        </w:rPr>
        <w:t>u</w:t>
      </w:r>
      <w:r>
        <w:rPr>
          <w:rFonts w:asciiTheme="minorHAnsi" w:eastAsia="Oswald-Light" w:hAnsiTheme="minorHAnsi" w:cstheme="minorHAnsi"/>
          <w:sz w:val="22"/>
          <w:szCs w:val="22"/>
        </w:rPr>
        <w:t xml:space="preserve"> „Komercyjne Badania Kliniczne w Polsce. Możliwości zwiększenia liczby i zakresu badań klinicznych w Polsce”</w:t>
      </w:r>
      <w:r w:rsidR="00A52888">
        <w:rPr>
          <w:rFonts w:asciiTheme="minorHAnsi" w:eastAsia="Oswald-Light" w:hAnsiTheme="minorHAnsi" w:cstheme="minorHAnsi"/>
          <w:sz w:val="22"/>
          <w:szCs w:val="22"/>
        </w:rPr>
        <w:t>,</w:t>
      </w:r>
      <w:r>
        <w:rPr>
          <w:rFonts w:asciiTheme="minorHAnsi" w:eastAsia="Oswald-Light" w:hAnsiTheme="minorHAnsi" w:cstheme="minorHAnsi"/>
          <w:sz w:val="22"/>
          <w:szCs w:val="22"/>
        </w:rPr>
        <w:t xml:space="preserve"> </w:t>
      </w:r>
      <w:r w:rsidR="00287E72">
        <w:rPr>
          <w:rFonts w:asciiTheme="minorHAnsi" w:eastAsia="Oswald-Light" w:hAnsiTheme="minorHAnsi" w:cstheme="minorHAnsi"/>
          <w:sz w:val="22"/>
          <w:szCs w:val="22"/>
        </w:rPr>
        <w:t>branża dobrze radzi</w:t>
      </w:r>
      <w:r>
        <w:rPr>
          <w:rFonts w:asciiTheme="minorHAnsi" w:eastAsia="Oswald-Light" w:hAnsiTheme="minorHAnsi" w:cstheme="minorHAnsi"/>
          <w:sz w:val="22"/>
          <w:szCs w:val="22"/>
        </w:rPr>
        <w:t xml:space="preserve"> sobie</w:t>
      </w:r>
      <w:r w:rsidR="00287E72">
        <w:rPr>
          <w:rFonts w:asciiTheme="minorHAnsi" w:eastAsia="Oswald-Light" w:hAnsiTheme="minorHAnsi" w:cstheme="minorHAnsi"/>
          <w:sz w:val="22"/>
          <w:szCs w:val="22"/>
        </w:rPr>
        <w:t xml:space="preserve"> z tymi wyzwaniami. </w:t>
      </w:r>
      <w:r w:rsidR="00287E72" w:rsidRPr="00287E72">
        <w:rPr>
          <w:rFonts w:asciiTheme="minorHAnsi" w:eastAsia="Oswald-Light" w:hAnsiTheme="minorHAnsi" w:cstheme="minorHAnsi"/>
          <w:sz w:val="22"/>
          <w:szCs w:val="22"/>
        </w:rPr>
        <w:t xml:space="preserve">W ostatniej dekadzie nasz kraj istotnie awansował wśród najważniejszych </w:t>
      </w:r>
      <w:r w:rsidR="00C16123">
        <w:rPr>
          <w:rFonts w:asciiTheme="minorHAnsi" w:eastAsia="Oswald-Light" w:hAnsiTheme="minorHAnsi" w:cstheme="minorHAnsi"/>
          <w:sz w:val="22"/>
          <w:szCs w:val="22"/>
        </w:rPr>
        <w:t>rynków</w:t>
      </w:r>
      <w:r w:rsidR="00287E72" w:rsidRPr="00287E72">
        <w:rPr>
          <w:rFonts w:asciiTheme="minorHAnsi" w:eastAsia="Oswald-Light" w:hAnsiTheme="minorHAnsi" w:cstheme="minorHAnsi"/>
          <w:sz w:val="22"/>
          <w:szCs w:val="22"/>
        </w:rPr>
        <w:t xml:space="preserve">, zajmując 11. pozycję w światowym rankingu największych rynków komercyjnych badań klinicznych. </w:t>
      </w:r>
      <w:r w:rsidR="009C714E" w:rsidRPr="009C714E">
        <w:rPr>
          <w:rFonts w:asciiTheme="minorHAnsi" w:eastAsia="Oswald-Light" w:hAnsiTheme="minorHAnsi" w:cstheme="minorHAnsi"/>
          <w:sz w:val="22"/>
          <w:szCs w:val="22"/>
        </w:rPr>
        <w:t>Awans ten należał do najszybszych na świecie – Polska zanotowała w tym czasie piąty pod względem wielkości wzrost udziału w światowym rynku, co jest powodem do satysfakcji</w:t>
      </w:r>
      <w:r w:rsidR="009C714E">
        <w:rPr>
          <w:rFonts w:asciiTheme="minorHAnsi" w:eastAsia="Oswald-Light" w:hAnsiTheme="minorHAnsi" w:cstheme="minorHAnsi"/>
          <w:sz w:val="22"/>
          <w:szCs w:val="22"/>
        </w:rPr>
        <w:t>,</w:t>
      </w:r>
      <w:r w:rsidR="009C714E" w:rsidRPr="009C714E">
        <w:rPr>
          <w:rFonts w:asciiTheme="minorHAnsi" w:eastAsia="Oswald-Light" w:hAnsiTheme="minorHAnsi" w:cstheme="minorHAnsi"/>
          <w:sz w:val="22"/>
          <w:szCs w:val="22"/>
        </w:rPr>
        <w:t xml:space="preserve"> a jednocześnie motywatorem do dalszego rozwoju</w:t>
      </w:r>
      <w:r w:rsidR="009C714E">
        <w:rPr>
          <w:rFonts w:asciiTheme="minorHAnsi" w:eastAsia="Oswald-Light" w:hAnsiTheme="minorHAnsi" w:cstheme="minorHAnsi"/>
          <w:sz w:val="22"/>
          <w:szCs w:val="22"/>
        </w:rPr>
        <w:t xml:space="preserve">. </w:t>
      </w:r>
    </w:p>
    <w:p w14:paraId="27493C35" w14:textId="73F76304" w:rsidR="006577A4" w:rsidRPr="001271A1" w:rsidRDefault="00D728FB" w:rsidP="008F6465">
      <w:pPr>
        <w:spacing w:after="120" w:line="276" w:lineRule="auto"/>
        <w:rPr>
          <w:rFonts w:asciiTheme="minorHAnsi" w:eastAsia="Oswald-Light" w:hAnsiTheme="minorHAnsi" w:cstheme="minorHAnsi"/>
          <w:b/>
          <w:bCs/>
          <w:sz w:val="22"/>
          <w:szCs w:val="22"/>
        </w:rPr>
      </w:pPr>
      <w:r w:rsidRPr="00D728FB">
        <w:rPr>
          <w:rFonts w:asciiTheme="minorHAnsi" w:eastAsia="Oswald-Light" w:hAnsiTheme="minorHAnsi" w:cstheme="minorHAnsi"/>
          <w:i/>
          <w:iCs/>
          <w:sz w:val="22"/>
          <w:szCs w:val="22"/>
        </w:rPr>
        <w:t>– O</w:t>
      </w:r>
      <w:r w:rsidR="005C484E" w:rsidRPr="00D728FB">
        <w:rPr>
          <w:rFonts w:asciiTheme="minorHAnsi" w:eastAsia="Oswald-Light" w:hAnsiTheme="minorHAnsi" w:cstheme="minorHAnsi"/>
          <w:i/>
          <w:iCs/>
          <w:sz w:val="22"/>
          <w:szCs w:val="22"/>
        </w:rPr>
        <w:t>statnie</w:t>
      </w:r>
      <w:r w:rsidR="006577A4" w:rsidRPr="00D728FB"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 lata to dobry czas dla badań klinicznych. Jeśli możemy </w:t>
      </w:r>
      <w:r w:rsidR="005C484E" w:rsidRPr="00D728FB">
        <w:rPr>
          <w:rFonts w:asciiTheme="minorHAnsi" w:eastAsia="Oswald-Light" w:hAnsiTheme="minorHAnsi" w:cstheme="minorHAnsi"/>
          <w:i/>
          <w:iCs/>
          <w:sz w:val="22"/>
          <w:szCs w:val="22"/>
        </w:rPr>
        <w:t>mówić</w:t>
      </w:r>
      <w:r w:rsidR="006577A4" w:rsidRPr="00D728FB"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, że pandemia zrobiła coś dobrego, to </w:t>
      </w:r>
      <w:r w:rsidR="005C484E" w:rsidRPr="00D728FB">
        <w:rPr>
          <w:rFonts w:asciiTheme="minorHAnsi" w:eastAsia="Oswald-Light" w:hAnsiTheme="minorHAnsi" w:cstheme="minorHAnsi"/>
          <w:i/>
          <w:iCs/>
          <w:sz w:val="22"/>
          <w:szCs w:val="22"/>
        </w:rPr>
        <w:t>tym dobrym aspektem jest fakt, że udało się zbudować świadomość badań klinicznych w</w:t>
      </w:r>
      <w:r w:rsidRPr="00D728FB">
        <w:rPr>
          <w:rFonts w:asciiTheme="minorHAnsi" w:eastAsia="Oswald-Light" w:hAnsiTheme="minorHAnsi" w:cstheme="minorHAnsi"/>
          <w:i/>
          <w:iCs/>
          <w:sz w:val="22"/>
          <w:szCs w:val="22"/>
        </w:rPr>
        <w:t> </w:t>
      </w:r>
      <w:r w:rsidR="005C484E" w:rsidRPr="00D728FB">
        <w:rPr>
          <w:rFonts w:asciiTheme="minorHAnsi" w:eastAsia="Oswald-Light" w:hAnsiTheme="minorHAnsi" w:cstheme="minorHAnsi"/>
          <w:i/>
          <w:iCs/>
          <w:sz w:val="22"/>
          <w:szCs w:val="22"/>
        </w:rPr>
        <w:t>społeczeństwie</w:t>
      </w:r>
      <w:r w:rsidR="002830A8"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 – </w:t>
      </w:r>
      <w:r w:rsidR="00287E72">
        <w:rPr>
          <w:rFonts w:asciiTheme="minorHAnsi" w:eastAsia="Oswald-Light" w:hAnsiTheme="minorHAnsi" w:cstheme="minorHAnsi"/>
          <w:sz w:val="22"/>
          <w:szCs w:val="22"/>
        </w:rPr>
        <w:t>podkreśla</w:t>
      </w:r>
      <w:r w:rsidR="002830A8"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 </w:t>
      </w:r>
      <w:r w:rsidR="002830A8">
        <w:rPr>
          <w:rFonts w:asciiTheme="minorHAnsi" w:eastAsia="Oswald-Light" w:hAnsiTheme="minorHAnsi" w:cstheme="minorHAnsi"/>
          <w:b/>
          <w:bCs/>
          <w:sz w:val="22"/>
          <w:szCs w:val="22"/>
        </w:rPr>
        <w:t xml:space="preserve">dr hab. n. med. </w:t>
      </w:r>
      <w:r w:rsidR="002830A8" w:rsidRPr="001271A1">
        <w:rPr>
          <w:rFonts w:asciiTheme="minorHAnsi" w:eastAsia="Oswald-Light" w:hAnsiTheme="minorHAnsi" w:cstheme="minorHAnsi"/>
          <w:b/>
          <w:bCs/>
          <w:sz w:val="22"/>
          <w:szCs w:val="22"/>
        </w:rPr>
        <w:t xml:space="preserve">Radosław Sierpiński, prezes Agencji Badań Medycznych. </w:t>
      </w:r>
      <w:r w:rsidR="002830A8">
        <w:rPr>
          <w:rFonts w:asciiTheme="minorHAnsi" w:eastAsia="Oswald-Light" w:hAnsiTheme="minorHAnsi" w:cstheme="minorHAnsi"/>
          <w:b/>
          <w:bCs/>
          <w:sz w:val="22"/>
          <w:szCs w:val="22"/>
        </w:rPr>
        <w:t>–</w:t>
      </w:r>
      <w:r w:rsidR="005C484E" w:rsidRPr="00D728FB"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 Wiele osób zrozumiało, jak ważne są badania kliniczne i jak ważne jest wprowadzanie nowych</w:t>
      </w:r>
      <w:r w:rsidRPr="00D728FB">
        <w:rPr>
          <w:rFonts w:asciiTheme="minorHAnsi" w:eastAsia="Oswald-Light" w:hAnsiTheme="minorHAnsi" w:cstheme="minorHAnsi"/>
          <w:i/>
          <w:iCs/>
          <w:sz w:val="22"/>
          <w:szCs w:val="22"/>
        </w:rPr>
        <w:t>,</w:t>
      </w:r>
      <w:r w:rsidR="005C484E" w:rsidRPr="00D728FB"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 innowacyjnych terapii do codziennego użytku. Pacjenci również mają świadomość</w:t>
      </w:r>
      <w:r w:rsidR="00163C60" w:rsidRPr="00D728FB">
        <w:rPr>
          <w:rFonts w:asciiTheme="minorHAnsi" w:eastAsia="Oswald-Light" w:hAnsiTheme="minorHAnsi" w:cstheme="minorHAnsi"/>
          <w:i/>
          <w:iCs/>
          <w:sz w:val="22"/>
          <w:szCs w:val="22"/>
        </w:rPr>
        <w:t>,</w:t>
      </w:r>
      <w:r w:rsidR="005C484E" w:rsidRPr="00D728FB"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 że badania kliniczne oznaczają szybszy dostęp do terapii</w:t>
      </w:r>
      <w:r w:rsidR="00163C60" w:rsidRPr="00D728FB">
        <w:rPr>
          <w:rFonts w:asciiTheme="minorHAnsi" w:eastAsia="Oswald-Light" w:hAnsiTheme="minorHAnsi" w:cstheme="minorHAnsi"/>
          <w:i/>
          <w:iCs/>
          <w:sz w:val="22"/>
          <w:szCs w:val="22"/>
        </w:rPr>
        <w:t>,</w:t>
      </w:r>
      <w:r w:rsidR="005C484E" w:rsidRPr="00D728FB"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 które dopiero za wiele lat pojawią się na rynku </w:t>
      </w:r>
      <w:r w:rsidR="008F6465">
        <w:rPr>
          <w:rFonts w:asciiTheme="minorHAnsi" w:eastAsia="Oswald-Light" w:hAnsiTheme="minorHAnsi" w:cstheme="minorHAnsi"/>
          <w:i/>
          <w:iCs/>
          <w:sz w:val="22"/>
          <w:szCs w:val="22"/>
        </w:rPr>
        <w:br/>
      </w:r>
      <w:r w:rsidR="005C484E" w:rsidRPr="00D728FB">
        <w:rPr>
          <w:rFonts w:asciiTheme="minorHAnsi" w:eastAsia="Oswald-Light" w:hAnsiTheme="minorHAnsi" w:cstheme="minorHAnsi"/>
          <w:i/>
          <w:iCs/>
          <w:sz w:val="22"/>
          <w:szCs w:val="22"/>
        </w:rPr>
        <w:t>i w systemie refundacyjnym</w:t>
      </w:r>
      <w:r w:rsidR="005C484E" w:rsidRPr="00D728FB">
        <w:rPr>
          <w:rFonts w:asciiTheme="minorHAnsi" w:eastAsia="Oswald-Light" w:hAnsiTheme="minorHAnsi" w:cstheme="minorHAnsi"/>
          <w:sz w:val="22"/>
          <w:szCs w:val="22"/>
        </w:rPr>
        <w:t xml:space="preserve"> –</w:t>
      </w:r>
      <w:r w:rsidR="005C484E" w:rsidRPr="001271A1">
        <w:rPr>
          <w:rFonts w:asciiTheme="minorHAnsi" w:eastAsia="Oswald-Light" w:hAnsiTheme="minorHAnsi" w:cstheme="minorHAnsi"/>
          <w:b/>
          <w:bCs/>
          <w:sz w:val="22"/>
          <w:szCs w:val="22"/>
        </w:rPr>
        <w:t xml:space="preserve"> </w:t>
      </w:r>
      <w:r w:rsidR="00287E72" w:rsidRPr="00287E72">
        <w:rPr>
          <w:rFonts w:asciiTheme="minorHAnsi" w:eastAsia="Oswald-Light" w:hAnsiTheme="minorHAnsi" w:cstheme="minorHAnsi"/>
          <w:sz w:val="22"/>
          <w:szCs w:val="22"/>
        </w:rPr>
        <w:t>mówi</w:t>
      </w:r>
      <w:r w:rsidR="00287E72">
        <w:rPr>
          <w:rFonts w:asciiTheme="minorHAnsi" w:eastAsia="Oswald-Light" w:hAnsiTheme="minorHAnsi" w:cstheme="minorHAnsi"/>
          <w:sz w:val="22"/>
          <w:szCs w:val="22"/>
        </w:rPr>
        <w:t xml:space="preserve">ł podczas konferencji </w:t>
      </w:r>
      <w:r w:rsidR="005C484E" w:rsidRPr="001271A1">
        <w:rPr>
          <w:rFonts w:asciiTheme="minorHAnsi" w:eastAsia="Oswald-Light" w:hAnsiTheme="minorHAnsi" w:cstheme="minorHAnsi"/>
          <w:b/>
          <w:bCs/>
          <w:sz w:val="22"/>
          <w:szCs w:val="22"/>
        </w:rPr>
        <w:t>Sierpiński</w:t>
      </w:r>
      <w:r w:rsidR="002830A8">
        <w:rPr>
          <w:rFonts w:asciiTheme="minorHAnsi" w:eastAsia="Oswald-Light" w:hAnsiTheme="minorHAnsi" w:cstheme="minorHAnsi"/>
          <w:b/>
          <w:bCs/>
          <w:sz w:val="22"/>
          <w:szCs w:val="22"/>
        </w:rPr>
        <w:t>.</w:t>
      </w:r>
    </w:p>
    <w:p w14:paraId="771BEE5C" w14:textId="2CFE5649" w:rsidR="006577A4" w:rsidRPr="001271A1" w:rsidRDefault="005C484E" w:rsidP="001315B1">
      <w:pPr>
        <w:spacing w:after="120" w:line="283" w:lineRule="auto"/>
        <w:rPr>
          <w:rFonts w:asciiTheme="minorHAnsi" w:eastAsia="Oswald-Light" w:hAnsiTheme="minorHAnsi" w:cstheme="minorHAnsi"/>
          <w:sz w:val="22"/>
          <w:szCs w:val="22"/>
        </w:rPr>
      </w:pPr>
      <w:r w:rsidRPr="001271A1">
        <w:rPr>
          <w:rFonts w:asciiTheme="minorHAnsi" w:eastAsia="Oswald-Light" w:hAnsiTheme="minorHAnsi" w:cstheme="minorHAnsi"/>
          <w:sz w:val="22"/>
          <w:szCs w:val="22"/>
        </w:rPr>
        <w:t xml:space="preserve">Badania kliniczne stają się </w:t>
      </w:r>
      <w:r w:rsidR="007331A1" w:rsidRPr="001271A1">
        <w:rPr>
          <w:rFonts w:asciiTheme="minorHAnsi" w:eastAsia="Oswald-Light" w:hAnsiTheme="minorHAnsi" w:cstheme="minorHAnsi"/>
          <w:sz w:val="22"/>
          <w:szCs w:val="22"/>
        </w:rPr>
        <w:t>ważną</w:t>
      </w:r>
      <w:r w:rsidRPr="001271A1">
        <w:rPr>
          <w:rFonts w:asciiTheme="minorHAnsi" w:eastAsia="Oswald-Light" w:hAnsiTheme="minorHAnsi" w:cstheme="minorHAnsi"/>
          <w:sz w:val="22"/>
          <w:szCs w:val="22"/>
        </w:rPr>
        <w:t xml:space="preserve"> </w:t>
      </w:r>
      <w:r w:rsidR="007331A1" w:rsidRPr="001271A1">
        <w:rPr>
          <w:rFonts w:asciiTheme="minorHAnsi" w:eastAsia="Oswald-Light" w:hAnsiTheme="minorHAnsi" w:cstheme="minorHAnsi"/>
          <w:sz w:val="22"/>
          <w:szCs w:val="22"/>
        </w:rPr>
        <w:t>częścią</w:t>
      </w:r>
      <w:r w:rsidRPr="001271A1">
        <w:rPr>
          <w:rFonts w:asciiTheme="minorHAnsi" w:eastAsia="Oswald-Light" w:hAnsiTheme="minorHAnsi" w:cstheme="minorHAnsi"/>
          <w:sz w:val="22"/>
          <w:szCs w:val="22"/>
        </w:rPr>
        <w:t xml:space="preserve"> innowacyjnej gospodarki </w:t>
      </w:r>
      <w:r w:rsidR="007331A1" w:rsidRPr="001271A1">
        <w:rPr>
          <w:rFonts w:asciiTheme="minorHAnsi" w:eastAsia="Oswald-Light" w:hAnsiTheme="minorHAnsi" w:cstheme="minorHAnsi"/>
          <w:sz w:val="22"/>
          <w:szCs w:val="22"/>
        </w:rPr>
        <w:t>„</w:t>
      </w:r>
      <w:r w:rsidRPr="001271A1">
        <w:rPr>
          <w:rFonts w:asciiTheme="minorHAnsi" w:eastAsia="Oswald-Light" w:hAnsiTheme="minorHAnsi" w:cstheme="minorHAnsi"/>
          <w:sz w:val="22"/>
          <w:szCs w:val="22"/>
        </w:rPr>
        <w:t>smart</w:t>
      </w:r>
      <w:r w:rsidR="007331A1" w:rsidRPr="001271A1">
        <w:rPr>
          <w:rFonts w:asciiTheme="minorHAnsi" w:eastAsia="Oswald-Light" w:hAnsiTheme="minorHAnsi" w:cstheme="minorHAnsi"/>
          <w:sz w:val="22"/>
          <w:szCs w:val="22"/>
        </w:rPr>
        <w:t xml:space="preserve">”, która dziś jest </w:t>
      </w:r>
      <w:r w:rsidR="002830A8">
        <w:rPr>
          <w:rFonts w:asciiTheme="minorHAnsi" w:eastAsia="Oswald-Light" w:hAnsiTheme="minorHAnsi" w:cstheme="minorHAnsi"/>
          <w:sz w:val="22"/>
          <w:szCs w:val="22"/>
        </w:rPr>
        <w:t>bodźcem dla</w:t>
      </w:r>
      <w:r w:rsidR="007331A1" w:rsidRPr="001271A1">
        <w:rPr>
          <w:rFonts w:asciiTheme="minorHAnsi" w:eastAsia="Oswald-Light" w:hAnsiTheme="minorHAnsi" w:cstheme="minorHAnsi"/>
          <w:sz w:val="22"/>
          <w:szCs w:val="22"/>
        </w:rPr>
        <w:t xml:space="preserve"> rozwoju i wzrostu zamożności społeczeństw. </w:t>
      </w:r>
      <w:r w:rsidR="000214A5" w:rsidRPr="001271A1">
        <w:rPr>
          <w:rFonts w:asciiTheme="minorHAnsi" w:eastAsia="Oswald-Light" w:hAnsiTheme="minorHAnsi" w:cstheme="minorHAnsi"/>
          <w:sz w:val="22"/>
          <w:szCs w:val="22"/>
        </w:rPr>
        <w:t xml:space="preserve">W Polsce ten sektor dynamicznie rośnie. Eksperci podkreślają jednak wagę dalszych inwestycji oraz niezbędnych regulacji prawnych umożliwiających dalszy rozwój tej branży. </w:t>
      </w:r>
    </w:p>
    <w:p w14:paraId="09D06C2C" w14:textId="1F77E36C" w:rsidR="009851C3" w:rsidRDefault="00D728FB" w:rsidP="00342377">
      <w:pPr>
        <w:spacing w:after="120" w:line="283" w:lineRule="auto"/>
        <w:rPr>
          <w:rFonts w:asciiTheme="minorHAnsi" w:eastAsia="Oswald-Light" w:hAnsiTheme="minorHAnsi" w:cstheme="minorHAnsi"/>
          <w:b/>
          <w:bCs/>
          <w:sz w:val="22"/>
          <w:szCs w:val="22"/>
        </w:rPr>
      </w:pPr>
      <w:r>
        <w:rPr>
          <w:rFonts w:asciiTheme="minorHAnsi" w:eastAsia="Oswald-Light" w:hAnsiTheme="minorHAnsi" w:cstheme="minorHAnsi"/>
          <w:i/>
          <w:iCs/>
          <w:sz w:val="22"/>
          <w:szCs w:val="22"/>
        </w:rPr>
        <w:t>–</w:t>
      </w:r>
      <w:r w:rsidR="00240D2E"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 Czekamy na ustawę o badaniach klinicznych, która wydaje się być kluczowym elementem</w:t>
      </w:r>
      <w:r w:rsidR="001E104B"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 do tego,</w:t>
      </w:r>
      <w:r w:rsidR="00240D2E"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 abyśmy w zmieniającej się sytuacji geopolitycznej jako kraj, jako </w:t>
      </w:r>
      <w:r w:rsidR="001E104B">
        <w:rPr>
          <w:rFonts w:asciiTheme="minorHAnsi" w:eastAsia="Oswald-Light" w:hAnsiTheme="minorHAnsi" w:cstheme="minorHAnsi"/>
          <w:i/>
          <w:iCs/>
          <w:sz w:val="22"/>
          <w:szCs w:val="22"/>
        </w:rPr>
        <w:t>uczestnik</w:t>
      </w:r>
      <w:r w:rsidR="00FD6EEA"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 </w:t>
      </w:r>
      <w:r w:rsidR="00240D2E">
        <w:rPr>
          <w:rFonts w:asciiTheme="minorHAnsi" w:eastAsia="Oswald-Light" w:hAnsiTheme="minorHAnsi" w:cstheme="minorHAnsi"/>
          <w:i/>
          <w:iCs/>
          <w:sz w:val="22"/>
          <w:szCs w:val="22"/>
        </w:rPr>
        <w:t>światowe</w:t>
      </w:r>
      <w:r w:rsidR="008E7C4B">
        <w:rPr>
          <w:rFonts w:asciiTheme="minorHAnsi" w:eastAsia="Oswald-Light" w:hAnsiTheme="minorHAnsi" w:cstheme="minorHAnsi"/>
          <w:i/>
          <w:iCs/>
          <w:sz w:val="22"/>
          <w:szCs w:val="22"/>
        </w:rPr>
        <w:t>go rynku badań klinicznych</w:t>
      </w:r>
      <w:r w:rsidR="00240D2E"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 odegrali jeszcze większą rolę niż do tej pory </w:t>
      </w:r>
      <w:r w:rsidR="00BF3D6E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–</w:t>
      </w:r>
      <w:r w:rsidR="00974C09" w:rsidRPr="001271A1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 mówi</w:t>
      </w:r>
      <w:r w:rsidR="00974C09" w:rsidRPr="001271A1">
        <w:rPr>
          <w:rFonts w:asciiTheme="minorHAnsi" w:hAnsiTheme="minorHAnsi" w:cstheme="minorHAnsi"/>
          <w:sz w:val="22"/>
          <w:szCs w:val="22"/>
        </w:rPr>
        <w:t xml:space="preserve"> </w:t>
      </w:r>
      <w:r w:rsidR="00240D2E">
        <w:rPr>
          <w:rFonts w:asciiTheme="minorHAnsi" w:hAnsiTheme="minorHAnsi" w:cstheme="minorHAnsi"/>
          <w:b/>
          <w:bCs/>
          <w:sz w:val="22"/>
          <w:szCs w:val="22"/>
        </w:rPr>
        <w:t>Michał Byliniak</w:t>
      </w:r>
      <w:r w:rsidR="00974C09" w:rsidRPr="001271A1">
        <w:rPr>
          <w:rFonts w:asciiTheme="minorHAnsi" w:eastAsia="Oswald-Light" w:hAnsiTheme="minorHAnsi" w:cstheme="minorHAnsi"/>
          <w:b/>
          <w:bCs/>
          <w:sz w:val="22"/>
          <w:szCs w:val="22"/>
        </w:rPr>
        <w:t>, </w:t>
      </w:r>
      <w:r w:rsidR="00240D2E">
        <w:rPr>
          <w:rFonts w:asciiTheme="minorHAnsi" w:eastAsia="Oswald-Light" w:hAnsiTheme="minorHAnsi" w:cstheme="minorHAnsi"/>
          <w:b/>
          <w:bCs/>
          <w:sz w:val="22"/>
          <w:szCs w:val="22"/>
        </w:rPr>
        <w:t>dyrektor generalny Związku Pracodawców Innowacyjnych Firm Farmaceutycznych</w:t>
      </w:r>
      <w:r w:rsidR="00974C09" w:rsidRPr="001271A1">
        <w:rPr>
          <w:rFonts w:asciiTheme="minorHAnsi" w:eastAsia="Oswald-Light" w:hAnsiTheme="minorHAnsi" w:cstheme="minorHAnsi"/>
          <w:b/>
          <w:bCs/>
          <w:sz w:val="22"/>
          <w:szCs w:val="22"/>
        </w:rPr>
        <w:t xml:space="preserve"> INFARMA.</w:t>
      </w:r>
    </w:p>
    <w:p w14:paraId="6C778258" w14:textId="3FD066BA" w:rsidR="00FD6EEA" w:rsidRDefault="00FD6EEA" w:rsidP="00342377">
      <w:pPr>
        <w:spacing w:after="120" w:line="283" w:lineRule="auto"/>
        <w:rPr>
          <w:rFonts w:asciiTheme="minorHAnsi" w:eastAsia="Oswald-Light" w:hAnsiTheme="minorHAnsi" w:cstheme="minorHAnsi"/>
          <w:b/>
          <w:bCs/>
          <w:sz w:val="22"/>
          <w:szCs w:val="22"/>
        </w:rPr>
      </w:pPr>
    </w:p>
    <w:p w14:paraId="3901B1AE" w14:textId="77777777" w:rsidR="00FD6EEA" w:rsidRPr="003E5854" w:rsidRDefault="00FD6EEA" w:rsidP="00342377">
      <w:pPr>
        <w:spacing w:after="120" w:line="283" w:lineRule="auto"/>
        <w:rPr>
          <w:rFonts w:asciiTheme="minorHAnsi" w:eastAsia="Oswald-Light" w:hAnsiTheme="minorHAnsi" w:cstheme="minorHAnsi"/>
          <w:b/>
          <w:bCs/>
          <w:sz w:val="22"/>
          <w:szCs w:val="22"/>
        </w:rPr>
      </w:pPr>
    </w:p>
    <w:p w14:paraId="76C609FC" w14:textId="20491E32" w:rsidR="009851C3" w:rsidRPr="001271A1" w:rsidRDefault="009851C3" w:rsidP="00342377">
      <w:pPr>
        <w:spacing w:after="120" w:line="283" w:lineRule="auto"/>
        <w:rPr>
          <w:rFonts w:asciiTheme="minorHAnsi" w:eastAsia="Oswald-Light" w:hAnsiTheme="minorHAnsi" w:cstheme="minorHAnsi"/>
          <w:b/>
          <w:bCs/>
          <w:sz w:val="22"/>
          <w:szCs w:val="22"/>
        </w:rPr>
      </w:pPr>
      <w:r w:rsidRPr="001271A1">
        <w:rPr>
          <w:rFonts w:asciiTheme="minorHAnsi" w:eastAsia="Oswald-Light" w:hAnsiTheme="minorHAnsi" w:cstheme="minorHAnsi"/>
          <w:b/>
          <w:bCs/>
          <w:sz w:val="22"/>
          <w:szCs w:val="22"/>
        </w:rPr>
        <w:lastRenderedPageBreak/>
        <w:t>Regulacje prawne, na które czeka branża</w:t>
      </w:r>
    </w:p>
    <w:p w14:paraId="146DB853" w14:textId="32170B3B" w:rsidR="00342377" w:rsidRPr="001271A1" w:rsidRDefault="00342377" w:rsidP="00342377">
      <w:pPr>
        <w:spacing w:after="120" w:line="283" w:lineRule="auto"/>
        <w:rPr>
          <w:rFonts w:asciiTheme="minorHAnsi" w:hAnsiTheme="minorHAnsi" w:cstheme="minorHAnsi"/>
          <w:sz w:val="22"/>
          <w:szCs w:val="22"/>
        </w:rPr>
      </w:pPr>
      <w:r w:rsidRPr="001271A1">
        <w:rPr>
          <w:rFonts w:asciiTheme="minorHAnsi" w:eastAsia="Oswald-Light" w:hAnsiTheme="minorHAnsi" w:cstheme="minorHAnsi"/>
          <w:sz w:val="22"/>
          <w:szCs w:val="22"/>
        </w:rPr>
        <w:t xml:space="preserve">Podczas konferencji </w:t>
      </w:r>
      <w:r w:rsidR="00A46569">
        <w:rPr>
          <w:rFonts w:asciiTheme="minorHAnsi" w:eastAsia="Oswald-Light" w:hAnsiTheme="minorHAnsi" w:cstheme="minorHAnsi"/>
          <w:sz w:val="22"/>
          <w:szCs w:val="22"/>
        </w:rPr>
        <w:t>dyskutowano</w:t>
      </w:r>
      <w:r w:rsidRPr="001271A1">
        <w:rPr>
          <w:rFonts w:asciiTheme="minorHAnsi" w:eastAsia="Oswald-Light" w:hAnsiTheme="minorHAnsi" w:cstheme="minorHAnsi"/>
          <w:sz w:val="22"/>
          <w:szCs w:val="22"/>
        </w:rPr>
        <w:t xml:space="preserve"> o </w:t>
      </w:r>
      <w:r w:rsidR="00857B34">
        <w:rPr>
          <w:rFonts w:asciiTheme="minorHAnsi" w:eastAsia="Oswald-Light" w:hAnsiTheme="minorHAnsi" w:cstheme="minorHAnsi"/>
          <w:sz w:val="22"/>
          <w:szCs w:val="22"/>
        </w:rPr>
        <w:t>konsekwencjach</w:t>
      </w:r>
      <w:r w:rsidR="00857B34" w:rsidRPr="001271A1">
        <w:rPr>
          <w:rFonts w:asciiTheme="minorHAnsi" w:eastAsia="Oswald-Light" w:hAnsiTheme="minorHAnsi" w:cstheme="minorHAnsi"/>
          <w:sz w:val="22"/>
          <w:szCs w:val="22"/>
        </w:rPr>
        <w:t xml:space="preserve"> </w:t>
      </w:r>
      <w:r w:rsidRPr="001271A1">
        <w:rPr>
          <w:rFonts w:asciiTheme="minorHAnsi" w:eastAsia="Oswald-Light" w:hAnsiTheme="minorHAnsi" w:cstheme="minorHAnsi"/>
          <w:sz w:val="22"/>
          <w:szCs w:val="22"/>
        </w:rPr>
        <w:t xml:space="preserve">wynikających z </w:t>
      </w:r>
      <w:r w:rsidR="00055B7D">
        <w:rPr>
          <w:rFonts w:asciiTheme="minorHAnsi" w:eastAsia="Oswald-Light" w:hAnsiTheme="minorHAnsi" w:cstheme="minorHAnsi"/>
          <w:sz w:val="22"/>
          <w:szCs w:val="22"/>
        </w:rPr>
        <w:t xml:space="preserve">nowych </w:t>
      </w:r>
      <w:r w:rsidRPr="001271A1">
        <w:rPr>
          <w:rFonts w:asciiTheme="minorHAnsi" w:eastAsia="Oswald-Light" w:hAnsiTheme="minorHAnsi" w:cstheme="minorHAnsi"/>
          <w:sz w:val="22"/>
          <w:szCs w:val="22"/>
        </w:rPr>
        <w:t xml:space="preserve">regulacji prawnych. </w:t>
      </w:r>
      <w:r w:rsidR="00857B34">
        <w:rPr>
          <w:rFonts w:asciiTheme="minorHAnsi" w:hAnsiTheme="minorHAnsi" w:cstheme="minorHAnsi"/>
          <w:sz w:val="22"/>
          <w:szCs w:val="22"/>
        </w:rPr>
        <w:t>Od</w:t>
      </w:r>
      <w:r w:rsidR="00857B34" w:rsidRPr="001271A1">
        <w:rPr>
          <w:rFonts w:asciiTheme="minorHAnsi" w:hAnsiTheme="minorHAnsi" w:cstheme="minorHAnsi"/>
          <w:sz w:val="22"/>
          <w:szCs w:val="22"/>
        </w:rPr>
        <w:t xml:space="preserve"> końca stycznia </w:t>
      </w:r>
      <w:r w:rsidR="00857B34">
        <w:rPr>
          <w:rFonts w:asciiTheme="minorHAnsi" w:hAnsiTheme="minorHAnsi" w:cstheme="minorHAnsi"/>
          <w:sz w:val="22"/>
          <w:szCs w:val="22"/>
        </w:rPr>
        <w:t xml:space="preserve">2022 roku </w:t>
      </w:r>
      <w:r w:rsidR="00857B34" w:rsidRPr="001271A1">
        <w:rPr>
          <w:rFonts w:asciiTheme="minorHAnsi" w:hAnsiTheme="minorHAnsi" w:cstheme="minorHAnsi"/>
          <w:sz w:val="22"/>
          <w:szCs w:val="22"/>
        </w:rPr>
        <w:t>obowiązuje rozporządzenie unijne</w:t>
      </w:r>
      <w:r w:rsidR="00622C8B">
        <w:rPr>
          <w:rFonts w:asciiTheme="minorHAnsi" w:hAnsiTheme="minorHAnsi" w:cstheme="minorHAnsi"/>
          <w:sz w:val="22"/>
          <w:szCs w:val="22"/>
        </w:rPr>
        <w:t xml:space="preserve"> 536/2014</w:t>
      </w:r>
      <w:r w:rsidR="00857B34" w:rsidRPr="001271A1">
        <w:rPr>
          <w:rFonts w:asciiTheme="minorHAnsi" w:hAnsiTheme="minorHAnsi" w:cstheme="minorHAnsi"/>
          <w:sz w:val="22"/>
          <w:szCs w:val="22"/>
        </w:rPr>
        <w:t>, wprowadzające</w:t>
      </w:r>
      <w:r w:rsidR="00857B34">
        <w:rPr>
          <w:rFonts w:asciiTheme="minorHAnsi" w:hAnsiTheme="minorHAnsi" w:cstheme="minorHAnsi"/>
          <w:sz w:val="22"/>
          <w:szCs w:val="22"/>
        </w:rPr>
        <w:t xml:space="preserve"> </w:t>
      </w:r>
      <w:r w:rsidR="00857B34" w:rsidRPr="001271A1">
        <w:rPr>
          <w:rFonts w:asciiTheme="minorHAnsi" w:hAnsiTheme="minorHAnsi" w:cstheme="minorHAnsi"/>
          <w:sz w:val="22"/>
          <w:szCs w:val="22"/>
        </w:rPr>
        <w:t xml:space="preserve">– europejski system CTIS (Clinical Trial Information System). </w:t>
      </w:r>
      <w:r w:rsidR="00857B34" w:rsidRPr="00FC15AE">
        <w:rPr>
          <w:rFonts w:asciiTheme="minorHAnsi" w:hAnsiTheme="minorHAnsi" w:cstheme="minorHAnsi"/>
          <w:sz w:val="22"/>
          <w:szCs w:val="22"/>
        </w:rPr>
        <w:t>Europejski rejestr badań klinicznych</w:t>
      </w:r>
      <w:r w:rsidR="00FD6EEA" w:rsidRPr="00FC15AE">
        <w:rPr>
          <w:rFonts w:asciiTheme="minorHAnsi" w:hAnsiTheme="minorHAnsi" w:cstheme="minorHAnsi"/>
          <w:sz w:val="22"/>
          <w:szCs w:val="22"/>
        </w:rPr>
        <w:t xml:space="preserve"> </w:t>
      </w:r>
      <w:r w:rsidR="00857B34" w:rsidRPr="00FC15AE">
        <w:rPr>
          <w:rFonts w:asciiTheme="minorHAnsi" w:hAnsiTheme="minorHAnsi" w:cstheme="minorHAnsi"/>
          <w:sz w:val="22"/>
          <w:szCs w:val="22"/>
        </w:rPr>
        <w:t xml:space="preserve">to element </w:t>
      </w:r>
      <w:r w:rsidR="00A52888" w:rsidRPr="00FC15AE">
        <w:rPr>
          <w:rFonts w:asciiTheme="minorHAnsi" w:hAnsiTheme="minorHAnsi" w:cstheme="minorHAnsi"/>
          <w:sz w:val="22"/>
          <w:szCs w:val="22"/>
        </w:rPr>
        <w:t>umożliwiający</w:t>
      </w:r>
      <w:r w:rsidR="00857B34" w:rsidRPr="00FC15AE">
        <w:rPr>
          <w:rFonts w:asciiTheme="minorHAnsi" w:hAnsiTheme="minorHAnsi" w:cstheme="minorHAnsi"/>
          <w:sz w:val="22"/>
          <w:szCs w:val="22"/>
        </w:rPr>
        <w:t xml:space="preserve"> </w:t>
      </w:r>
      <w:r w:rsidR="00A52888" w:rsidRPr="00FC15AE">
        <w:rPr>
          <w:rFonts w:asciiTheme="minorHAnsi" w:hAnsiTheme="minorHAnsi" w:cstheme="minorHAnsi"/>
          <w:sz w:val="22"/>
          <w:szCs w:val="22"/>
        </w:rPr>
        <w:t xml:space="preserve">większą </w:t>
      </w:r>
      <w:r w:rsidR="00857B34" w:rsidRPr="00FC15AE">
        <w:rPr>
          <w:rFonts w:asciiTheme="minorHAnsi" w:hAnsiTheme="minorHAnsi" w:cstheme="minorHAnsi"/>
          <w:sz w:val="22"/>
          <w:szCs w:val="22"/>
        </w:rPr>
        <w:t>integracj</w:t>
      </w:r>
      <w:r w:rsidR="00BF3D6E">
        <w:rPr>
          <w:rFonts w:asciiTheme="minorHAnsi" w:hAnsiTheme="minorHAnsi" w:cstheme="minorHAnsi"/>
          <w:sz w:val="22"/>
          <w:szCs w:val="22"/>
        </w:rPr>
        <w:t>ę</w:t>
      </w:r>
      <w:r w:rsidR="00857B34" w:rsidRPr="00FC15AE">
        <w:rPr>
          <w:rFonts w:asciiTheme="minorHAnsi" w:hAnsiTheme="minorHAnsi" w:cstheme="minorHAnsi"/>
          <w:sz w:val="22"/>
          <w:szCs w:val="22"/>
        </w:rPr>
        <w:t xml:space="preserve"> branży</w:t>
      </w:r>
      <w:r w:rsidR="00A52888" w:rsidRPr="00FC15AE">
        <w:rPr>
          <w:rFonts w:asciiTheme="minorHAnsi" w:hAnsiTheme="minorHAnsi" w:cstheme="minorHAnsi"/>
          <w:sz w:val="22"/>
          <w:szCs w:val="22"/>
        </w:rPr>
        <w:t>,</w:t>
      </w:r>
      <w:r w:rsidR="00857B34" w:rsidRPr="00FC15AE">
        <w:rPr>
          <w:rFonts w:asciiTheme="minorHAnsi" w:hAnsiTheme="minorHAnsi" w:cstheme="minorHAnsi"/>
          <w:sz w:val="22"/>
          <w:szCs w:val="22"/>
        </w:rPr>
        <w:t xml:space="preserve"> niezwykle ważny dla efektywnego zarządzania procesem badań klinicznych prowadzonych na poziomie międzynarodowym i poprawy konkurencyjności badań w Europie.</w:t>
      </w:r>
      <w:r w:rsidR="00857B34">
        <w:rPr>
          <w:rFonts w:asciiTheme="minorHAnsi" w:hAnsiTheme="minorHAnsi" w:cstheme="minorHAnsi"/>
          <w:sz w:val="22"/>
          <w:szCs w:val="22"/>
        </w:rPr>
        <w:t xml:space="preserve"> W tym kontekście </w:t>
      </w:r>
      <w:r w:rsidR="00A52888">
        <w:rPr>
          <w:rFonts w:asciiTheme="minorHAnsi" w:eastAsia="Oswald-Light" w:hAnsiTheme="minorHAnsi" w:cstheme="minorHAnsi"/>
          <w:sz w:val="22"/>
          <w:szCs w:val="22"/>
        </w:rPr>
        <w:t xml:space="preserve">najważniejszą </w:t>
      </w:r>
      <w:r w:rsidR="00857B34">
        <w:rPr>
          <w:rFonts w:asciiTheme="minorHAnsi" w:eastAsia="Oswald-Light" w:hAnsiTheme="minorHAnsi" w:cstheme="minorHAnsi"/>
          <w:sz w:val="22"/>
          <w:szCs w:val="22"/>
        </w:rPr>
        <w:t>z</w:t>
      </w:r>
      <w:r w:rsidR="008E3760" w:rsidRPr="001271A1">
        <w:rPr>
          <w:rFonts w:asciiTheme="minorHAnsi" w:eastAsia="Oswald-Light" w:hAnsiTheme="minorHAnsi" w:cstheme="minorHAnsi"/>
          <w:sz w:val="22"/>
          <w:szCs w:val="22"/>
        </w:rPr>
        <w:t>mian</w:t>
      </w:r>
      <w:r w:rsidR="008E3760">
        <w:rPr>
          <w:rFonts w:asciiTheme="minorHAnsi" w:eastAsia="Oswald-Light" w:hAnsiTheme="minorHAnsi" w:cstheme="minorHAnsi"/>
          <w:sz w:val="22"/>
          <w:szCs w:val="22"/>
        </w:rPr>
        <w:t>ą</w:t>
      </w:r>
      <w:r w:rsidR="000214A5" w:rsidRPr="001271A1">
        <w:rPr>
          <w:rFonts w:asciiTheme="minorHAnsi" w:eastAsia="Oswald-Light" w:hAnsiTheme="minorHAnsi" w:cstheme="minorHAnsi"/>
          <w:sz w:val="22"/>
          <w:szCs w:val="22"/>
        </w:rPr>
        <w:t xml:space="preserve">, </w:t>
      </w:r>
      <w:r w:rsidR="008E3760">
        <w:rPr>
          <w:rFonts w:asciiTheme="minorHAnsi" w:eastAsia="Oswald-Light" w:hAnsiTheme="minorHAnsi" w:cstheme="minorHAnsi"/>
          <w:sz w:val="22"/>
          <w:szCs w:val="22"/>
        </w:rPr>
        <w:t>na którą czeka</w:t>
      </w:r>
      <w:r w:rsidR="00C16123">
        <w:rPr>
          <w:rFonts w:asciiTheme="minorHAnsi" w:eastAsia="Oswald-Light" w:hAnsiTheme="minorHAnsi" w:cstheme="minorHAnsi"/>
          <w:sz w:val="22"/>
          <w:szCs w:val="22"/>
        </w:rPr>
        <w:t xml:space="preserve"> branża</w:t>
      </w:r>
      <w:r w:rsidR="000214A5" w:rsidRPr="001271A1">
        <w:rPr>
          <w:rFonts w:asciiTheme="minorHAnsi" w:eastAsia="Oswald-Light" w:hAnsiTheme="minorHAnsi" w:cstheme="minorHAnsi"/>
          <w:sz w:val="22"/>
          <w:szCs w:val="22"/>
        </w:rPr>
        <w:t xml:space="preserve">, </w:t>
      </w:r>
      <w:r w:rsidR="003E5854">
        <w:rPr>
          <w:rFonts w:asciiTheme="minorHAnsi" w:eastAsia="Oswald-Light" w:hAnsiTheme="minorHAnsi" w:cstheme="minorHAnsi"/>
          <w:sz w:val="22"/>
          <w:szCs w:val="22"/>
        </w:rPr>
        <w:t>jest</w:t>
      </w:r>
      <w:r w:rsidR="000214A5" w:rsidRPr="001271A1">
        <w:rPr>
          <w:rFonts w:asciiTheme="minorHAnsi" w:eastAsia="Oswald-Light" w:hAnsiTheme="minorHAnsi" w:cstheme="minorHAnsi"/>
          <w:sz w:val="22"/>
          <w:szCs w:val="22"/>
        </w:rPr>
        <w:t xml:space="preserve"> ustawa o badaniach klinicznych, </w:t>
      </w:r>
      <w:r w:rsidR="00622C8B">
        <w:rPr>
          <w:rFonts w:asciiTheme="minorHAnsi" w:eastAsia="Oswald-Light" w:hAnsiTheme="minorHAnsi" w:cstheme="minorHAnsi"/>
          <w:sz w:val="22"/>
          <w:szCs w:val="22"/>
        </w:rPr>
        <w:t>ma</w:t>
      </w:r>
      <w:r w:rsidR="00A52888">
        <w:rPr>
          <w:rFonts w:asciiTheme="minorHAnsi" w:eastAsia="Oswald-Light" w:hAnsiTheme="minorHAnsi" w:cstheme="minorHAnsi"/>
          <w:sz w:val="22"/>
          <w:szCs w:val="22"/>
        </w:rPr>
        <w:t>jąca</w:t>
      </w:r>
      <w:r w:rsidR="00622C8B">
        <w:rPr>
          <w:rFonts w:asciiTheme="minorHAnsi" w:eastAsia="Oswald-Light" w:hAnsiTheme="minorHAnsi" w:cstheme="minorHAnsi"/>
          <w:sz w:val="22"/>
          <w:szCs w:val="22"/>
        </w:rPr>
        <w:t xml:space="preserve"> u</w:t>
      </w:r>
      <w:r w:rsidR="00622C8B" w:rsidRPr="00622C8B">
        <w:rPr>
          <w:rFonts w:asciiTheme="minorHAnsi" w:eastAsia="Oswald-Light" w:hAnsiTheme="minorHAnsi" w:cstheme="minorHAnsi"/>
          <w:sz w:val="22"/>
          <w:szCs w:val="22"/>
        </w:rPr>
        <w:t>regulowa</w:t>
      </w:r>
      <w:r w:rsidR="00622C8B">
        <w:rPr>
          <w:rFonts w:asciiTheme="minorHAnsi" w:eastAsia="Oswald-Light" w:hAnsiTheme="minorHAnsi" w:cstheme="minorHAnsi"/>
          <w:sz w:val="22"/>
          <w:szCs w:val="22"/>
        </w:rPr>
        <w:t xml:space="preserve">ć te rozwiązania w zakresie badań klinicznych, jakie pozostają </w:t>
      </w:r>
      <w:r w:rsidR="00FC15AE">
        <w:rPr>
          <w:rFonts w:asciiTheme="minorHAnsi" w:eastAsia="Oswald-Light" w:hAnsiTheme="minorHAnsi" w:cstheme="minorHAnsi"/>
          <w:sz w:val="22"/>
          <w:szCs w:val="22"/>
        </w:rPr>
        <w:br/>
      </w:r>
      <w:r w:rsidR="00622C8B">
        <w:rPr>
          <w:rFonts w:asciiTheme="minorHAnsi" w:eastAsia="Oswald-Light" w:hAnsiTheme="minorHAnsi" w:cstheme="minorHAnsi"/>
          <w:sz w:val="22"/>
          <w:szCs w:val="22"/>
        </w:rPr>
        <w:t>w k</w:t>
      </w:r>
      <w:r w:rsidR="00622C8B" w:rsidRPr="00622C8B">
        <w:rPr>
          <w:rFonts w:asciiTheme="minorHAnsi" w:eastAsia="Oswald-Light" w:hAnsiTheme="minorHAnsi" w:cstheme="minorHAnsi"/>
          <w:sz w:val="22"/>
          <w:szCs w:val="22"/>
        </w:rPr>
        <w:t xml:space="preserve">ompetencjach </w:t>
      </w:r>
      <w:r w:rsidR="00622C8B">
        <w:rPr>
          <w:rFonts w:asciiTheme="minorHAnsi" w:eastAsia="Oswald-Light" w:hAnsiTheme="minorHAnsi" w:cstheme="minorHAnsi"/>
          <w:sz w:val="22"/>
          <w:szCs w:val="22"/>
        </w:rPr>
        <w:t>krajowych. Zwrócono uwagę</w:t>
      </w:r>
      <w:r w:rsidR="00622C8B" w:rsidRPr="00622C8B">
        <w:rPr>
          <w:rFonts w:asciiTheme="minorHAnsi" w:eastAsia="Oswald-Light" w:hAnsiTheme="minorHAnsi" w:cstheme="minorHAnsi"/>
          <w:sz w:val="22"/>
          <w:szCs w:val="22"/>
        </w:rPr>
        <w:t xml:space="preserve"> na potrzebę uwzględnienia</w:t>
      </w:r>
      <w:r w:rsidR="00622C8B">
        <w:rPr>
          <w:rFonts w:asciiTheme="minorHAnsi" w:eastAsia="Oswald-Light" w:hAnsiTheme="minorHAnsi" w:cstheme="minorHAnsi"/>
          <w:sz w:val="22"/>
          <w:szCs w:val="22"/>
        </w:rPr>
        <w:t xml:space="preserve"> w ustawie </w:t>
      </w:r>
      <w:r w:rsidR="00622C8B" w:rsidRPr="00622C8B">
        <w:rPr>
          <w:rFonts w:asciiTheme="minorHAnsi" w:eastAsia="Oswald-Light" w:hAnsiTheme="minorHAnsi" w:cstheme="minorHAnsi"/>
          <w:sz w:val="22"/>
          <w:szCs w:val="22"/>
        </w:rPr>
        <w:t>rozwiązań związanych z procesem digitalizacji prowadzenia badań klinicznych, co może wpłynąć na poprawę efektywności prowadzenia badań w Polsce.</w:t>
      </w:r>
      <w:r w:rsidR="00622C8B">
        <w:rPr>
          <w:rFonts w:asciiTheme="minorHAnsi" w:eastAsia="Oswald-Light" w:hAnsiTheme="minorHAnsi" w:cstheme="minorHAnsi"/>
          <w:sz w:val="22"/>
          <w:szCs w:val="22"/>
        </w:rPr>
        <w:t xml:space="preserve"> </w:t>
      </w:r>
      <w:r w:rsidR="00483D77">
        <w:rPr>
          <w:rFonts w:asciiTheme="minorHAnsi" w:eastAsia="Oswald-Light" w:hAnsiTheme="minorHAnsi" w:cstheme="minorHAnsi"/>
          <w:sz w:val="22"/>
          <w:szCs w:val="22"/>
        </w:rPr>
        <w:t>Najważniejszą kwesti</w:t>
      </w:r>
      <w:r w:rsidR="00A52888">
        <w:rPr>
          <w:rFonts w:asciiTheme="minorHAnsi" w:eastAsia="Oswald-Light" w:hAnsiTheme="minorHAnsi" w:cstheme="minorHAnsi"/>
          <w:sz w:val="22"/>
          <w:szCs w:val="22"/>
        </w:rPr>
        <w:t>ą</w:t>
      </w:r>
      <w:r w:rsidR="00483D77">
        <w:rPr>
          <w:rFonts w:asciiTheme="minorHAnsi" w:eastAsia="Oswald-Light" w:hAnsiTheme="minorHAnsi" w:cstheme="minorHAnsi"/>
          <w:sz w:val="22"/>
          <w:szCs w:val="22"/>
        </w:rPr>
        <w:t xml:space="preserve"> jest jednak pilne wejście w życie ustawy, która umożliwi pełne stosowanie nowych regulacji na poziomie krajowym i uwzględnienie Polski jako miejsca realizacji badań klinicznych</w:t>
      </w:r>
      <w:r w:rsidR="00A52888">
        <w:rPr>
          <w:rFonts w:asciiTheme="minorHAnsi" w:eastAsia="Oswald-Light" w:hAnsiTheme="minorHAnsi" w:cstheme="minorHAnsi"/>
          <w:sz w:val="22"/>
          <w:szCs w:val="22"/>
        </w:rPr>
        <w:t xml:space="preserve"> zgodnie z nowym rozporządzeniem unijnym 536/2014</w:t>
      </w:r>
      <w:r w:rsidR="00483D77">
        <w:rPr>
          <w:rFonts w:asciiTheme="minorHAnsi" w:eastAsia="Oswald-Light" w:hAnsiTheme="minorHAnsi" w:cstheme="minorHAnsi"/>
          <w:sz w:val="22"/>
          <w:szCs w:val="22"/>
        </w:rPr>
        <w:t xml:space="preserve">. </w:t>
      </w:r>
    </w:p>
    <w:p w14:paraId="0B8216CE" w14:textId="48EB2954" w:rsidR="006577A4" w:rsidRPr="001271A1" w:rsidRDefault="002F3229" w:rsidP="001315B1">
      <w:pPr>
        <w:spacing w:after="120" w:line="283" w:lineRule="auto"/>
        <w:rPr>
          <w:rFonts w:asciiTheme="minorHAnsi" w:hAnsiTheme="minorHAnsi" w:cstheme="minorHAnsi"/>
          <w:sz w:val="22"/>
          <w:szCs w:val="22"/>
        </w:rPr>
      </w:pPr>
      <w:r w:rsidRPr="001271A1">
        <w:rPr>
          <w:rFonts w:asciiTheme="minorHAnsi" w:hAnsiTheme="minorHAnsi" w:cstheme="minorHAnsi"/>
          <w:sz w:val="22"/>
          <w:szCs w:val="22"/>
        </w:rPr>
        <w:t xml:space="preserve">26 maja </w:t>
      </w:r>
      <w:r w:rsidR="00055B7D">
        <w:rPr>
          <w:rFonts w:asciiTheme="minorHAnsi" w:hAnsiTheme="minorHAnsi" w:cstheme="minorHAnsi"/>
          <w:sz w:val="22"/>
          <w:szCs w:val="22"/>
        </w:rPr>
        <w:t xml:space="preserve">2022 r. </w:t>
      </w:r>
      <w:r w:rsidRPr="001271A1">
        <w:rPr>
          <w:rFonts w:asciiTheme="minorHAnsi" w:hAnsiTheme="minorHAnsi" w:cstheme="minorHAnsi"/>
          <w:sz w:val="22"/>
          <w:szCs w:val="22"/>
        </w:rPr>
        <w:t>w</w:t>
      </w:r>
      <w:r w:rsidR="00055B7D">
        <w:rPr>
          <w:rFonts w:asciiTheme="minorHAnsi" w:hAnsiTheme="minorHAnsi" w:cstheme="minorHAnsi"/>
          <w:sz w:val="22"/>
          <w:szCs w:val="22"/>
        </w:rPr>
        <w:t>eszła</w:t>
      </w:r>
      <w:r w:rsidRPr="001271A1">
        <w:rPr>
          <w:rFonts w:asciiTheme="minorHAnsi" w:hAnsiTheme="minorHAnsi" w:cstheme="minorHAnsi"/>
          <w:sz w:val="22"/>
          <w:szCs w:val="22"/>
        </w:rPr>
        <w:t xml:space="preserve"> w życie </w:t>
      </w:r>
      <w:r w:rsidR="009851C3" w:rsidRPr="001271A1">
        <w:rPr>
          <w:rFonts w:asciiTheme="minorHAnsi" w:hAnsiTheme="minorHAnsi" w:cstheme="minorHAnsi"/>
          <w:sz w:val="22"/>
          <w:szCs w:val="22"/>
        </w:rPr>
        <w:t>ustawa</w:t>
      </w:r>
      <w:r w:rsidRPr="001271A1">
        <w:rPr>
          <w:rFonts w:asciiTheme="minorHAnsi" w:hAnsiTheme="minorHAnsi" w:cstheme="minorHAnsi"/>
          <w:sz w:val="22"/>
          <w:szCs w:val="22"/>
        </w:rPr>
        <w:t xml:space="preserve"> o wyrobach medycznych</w:t>
      </w:r>
      <w:r w:rsidR="0059673C" w:rsidRPr="001271A1">
        <w:rPr>
          <w:rFonts w:asciiTheme="minorHAnsi" w:hAnsiTheme="minorHAnsi" w:cstheme="minorHAnsi"/>
          <w:sz w:val="22"/>
          <w:szCs w:val="22"/>
        </w:rPr>
        <w:t>, dostosowująca polskie prawo do</w:t>
      </w:r>
      <w:r w:rsidR="009C318F">
        <w:rPr>
          <w:rFonts w:asciiTheme="minorHAnsi" w:hAnsiTheme="minorHAnsi" w:cstheme="minorHAnsi"/>
          <w:sz w:val="22"/>
          <w:szCs w:val="22"/>
        </w:rPr>
        <w:t> </w:t>
      </w:r>
      <w:r w:rsidR="0059673C" w:rsidRPr="001271A1">
        <w:rPr>
          <w:rFonts w:asciiTheme="minorHAnsi" w:hAnsiTheme="minorHAnsi" w:cstheme="minorHAnsi"/>
          <w:sz w:val="22"/>
          <w:szCs w:val="22"/>
        </w:rPr>
        <w:t>unijnego rozporządzenia 2017/745</w:t>
      </w:r>
      <w:r w:rsidR="0059673C" w:rsidRPr="001271A1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9851C3" w:rsidRPr="001271A1">
        <w:rPr>
          <w:rFonts w:asciiTheme="minorHAnsi" w:hAnsiTheme="minorHAnsi" w:cstheme="minorHAnsi"/>
          <w:sz w:val="22"/>
          <w:szCs w:val="22"/>
        </w:rPr>
        <w:t xml:space="preserve">Rolę regulacji dla producentów wyrobów medycznych, rozwoju tego sektora, a w konsekwencji dla całych społeczeństw, podkreślał mec. Oskar Luty, ekspert prawa farmaceutycznego. </w:t>
      </w:r>
    </w:p>
    <w:p w14:paraId="5C348A16" w14:textId="4ECDCE55" w:rsidR="003345D0" w:rsidRPr="009C318F" w:rsidRDefault="009C318F" w:rsidP="003345D0">
      <w:pPr>
        <w:spacing w:after="120" w:line="283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eastAsia="Oswald-Light" w:hAnsiTheme="minorHAnsi" w:cstheme="minorHAnsi"/>
          <w:i/>
          <w:iCs/>
          <w:sz w:val="22"/>
          <w:szCs w:val="22"/>
        </w:rPr>
        <w:t>– P</w:t>
      </w:r>
      <w:r w:rsidR="009851C3" w:rsidRPr="001271A1">
        <w:rPr>
          <w:rFonts w:asciiTheme="minorHAnsi" w:eastAsia="Oswald-Light" w:hAnsiTheme="minorHAnsi" w:cstheme="minorHAnsi"/>
          <w:i/>
          <w:iCs/>
          <w:sz w:val="22"/>
          <w:szCs w:val="22"/>
        </w:rPr>
        <w:t>rodukcja wyrobów medycznych to dziś branż</w:t>
      </w:r>
      <w:r>
        <w:rPr>
          <w:rFonts w:asciiTheme="minorHAnsi" w:eastAsia="Oswald-Light" w:hAnsiTheme="minorHAnsi" w:cstheme="minorHAnsi"/>
          <w:i/>
          <w:iCs/>
          <w:sz w:val="22"/>
          <w:szCs w:val="22"/>
        </w:rPr>
        <w:t>a</w:t>
      </w:r>
      <w:r w:rsidR="009851C3" w:rsidRPr="001271A1"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 nieprawdopodobnie innowacyjn</w:t>
      </w:r>
      <w:r>
        <w:rPr>
          <w:rFonts w:asciiTheme="minorHAnsi" w:eastAsia="Oswald-Light" w:hAnsiTheme="minorHAnsi" w:cstheme="minorHAnsi"/>
          <w:i/>
          <w:iCs/>
          <w:sz w:val="22"/>
          <w:szCs w:val="22"/>
        </w:rPr>
        <w:t>a</w:t>
      </w:r>
      <w:r w:rsidR="009851C3" w:rsidRPr="001271A1"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. Technologie wchodzą w nasze życie </w:t>
      </w:r>
      <w:r>
        <w:rPr>
          <w:rFonts w:asciiTheme="minorHAnsi" w:eastAsia="Oswald-Light" w:hAnsiTheme="minorHAnsi" w:cstheme="minorHAnsi"/>
          <w:i/>
          <w:iCs/>
          <w:sz w:val="22"/>
          <w:szCs w:val="22"/>
        </w:rPr>
        <w:t>w</w:t>
      </w:r>
      <w:r w:rsidR="009851C3" w:rsidRPr="001271A1"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 olbrzymim temp</w:t>
      </w:r>
      <w:r>
        <w:rPr>
          <w:rFonts w:asciiTheme="minorHAnsi" w:eastAsia="Oswald-Light" w:hAnsiTheme="minorHAnsi" w:cstheme="minorHAnsi"/>
          <w:i/>
          <w:iCs/>
          <w:sz w:val="22"/>
          <w:szCs w:val="22"/>
        </w:rPr>
        <w:t>ie</w:t>
      </w:r>
      <w:r w:rsidR="009851C3" w:rsidRPr="001271A1">
        <w:rPr>
          <w:rFonts w:asciiTheme="minorHAnsi" w:eastAsia="Oswald-Light" w:hAnsiTheme="minorHAnsi" w:cstheme="minorHAnsi"/>
          <w:i/>
          <w:iCs/>
          <w:sz w:val="22"/>
          <w:szCs w:val="22"/>
        </w:rPr>
        <w:t>. To m.in. neuromodulatory, techniki implantacyjne wszelkiego rodzaju</w:t>
      </w:r>
      <w:r w:rsidR="00163C60"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 </w:t>
      </w:r>
      <w:r w:rsidR="009851C3" w:rsidRPr="001271A1">
        <w:rPr>
          <w:rFonts w:asciiTheme="minorHAnsi" w:eastAsia="Oswald-Light" w:hAnsiTheme="minorHAnsi" w:cstheme="minorHAnsi"/>
          <w:i/>
          <w:iCs/>
          <w:sz w:val="22"/>
          <w:szCs w:val="22"/>
        </w:rPr>
        <w:t>systemy predykcyjne</w:t>
      </w:r>
      <w:r w:rsidR="0059673C" w:rsidRPr="001271A1">
        <w:rPr>
          <w:rFonts w:asciiTheme="minorHAnsi" w:eastAsia="Oswald-Light" w:hAnsiTheme="minorHAnsi" w:cstheme="minorHAnsi"/>
          <w:i/>
          <w:iCs/>
          <w:sz w:val="22"/>
          <w:szCs w:val="22"/>
        </w:rPr>
        <w:t>,</w:t>
      </w:r>
      <w:r w:rsidR="009851C3" w:rsidRPr="001271A1"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 czyli sztuczna inteligencja, pomagająca podejmować decyzje diagnostyczne i terapeutyczne. Technologie</w:t>
      </w:r>
      <w:r w:rsidR="00163C60">
        <w:rPr>
          <w:rFonts w:asciiTheme="minorHAnsi" w:eastAsia="Oswald-Light" w:hAnsiTheme="minorHAnsi" w:cstheme="minorHAnsi"/>
          <w:i/>
          <w:iCs/>
          <w:sz w:val="22"/>
          <w:szCs w:val="22"/>
        </w:rPr>
        <w:t>,</w:t>
      </w:r>
      <w:r w:rsidR="009851C3" w:rsidRPr="001271A1"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 które teraz wchodzą w życie, za dziesięć lat będą nam towarzyszyć na każdym kroku. Bardzo dobrze, że wyroby medyczne mają już strategiczną regulację. Regulacja jest bardzo restrykcyjna dla branży,</w:t>
      </w:r>
      <w:r w:rsidR="0059673C" w:rsidRPr="001271A1"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eastAsia="Oswald-Light" w:hAnsiTheme="minorHAnsi" w:cstheme="minorHAnsi"/>
          <w:i/>
          <w:iCs/>
          <w:sz w:val="22"/>
          <w:szCs w:val="22"/>
        </w:rPr>
        <w:t>co dodatkowo wzmacniają</w:t>
      </w:r>
      <w:r w:rsidR="009851C3" w:rsidRPr="001271A1"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 okresy przejściowe</w:t>
      </w:r>
      <w:r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, </w:t>
      </w:r>
      <w:r w:rsidR="009851C3" w:rsidRPr="001271A1"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w ciągu których producenci uzyskują </w:t>
      </w:r>
      <w:proofErr w:type="spellStart"/>
      <w:r w:rsidR="009851C3" w:rsidRPr="001271A1">
        <w:rPr>
          <w:rFonts w:asciiTheme="minorHAnsi" w:eastAsia="Oswald-Light" w:hAnsiTheme="minorHAnsi" w:cstheme="minorHAnsi"/>
          <w:i/>
          <w:iCs/>
          <w:sz w:val="22"/>
          <w:szCs w:val="22"/>
        </w:rPr>
        <w:t>recertyfikacje</w:t>
      </w:r>
      <w:proofErr w:type="spellEnd"/>
      <w:r w:rsidR="0059673C" w:rsidRPr="001271A1"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 dla swoich produktów</w:t>
      </w:r>
      <w:r w:rsidR="009851C3" w:rsidRPr="001271A1">
        <w:rPr>
          <w:rFonts w:asciiTheme="minorHAnsi" w:eastAsia="Oswald-Light" w:hAnsiTheme="minorHAnsi" w:cstheme="minorHAnsi"/>
          <w:i/>
          <w:iCs/>
          <w:sz w:val="22"/>
          <w:szCs w:val="22"/>
        </w:rPr>
        <w:t>.</w:t>
      </w:r>
      <w:r w:rsidR="00654FD2" w:rsidRPr="001271A1"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 Oznacza to dla nas zasadniczą zmianę: n</w:t>
      </w:r>
      <w:r w:rsidR="009851C3" w:rsidRPr="001271A1"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acisk na standard kliniczny </w:t>
      </w:r>
      <w:r w:rsidR="0059673C" w:rsidRPr="001271A1"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w produkcji wyrobów medycznych </w:t>
      </w:r>
      <w:r w:rsidR="009851C3" w:rsidRPr="001271A1"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nigdy nie był tak silny </w:t>
      </w:r>
      <w:r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– </w:t>
      </w:r>
      <w:r w:rsidR="009851C3" w:rsidRPr="001271A1">
        <w:rPr>
          <w:rFonts w:asciiTheme="minorHAnsi" w:hAnsiTheme="minorHAnsi" w:cstheme="minorHAnsi"/>
          <w:sz w:val="22"/>
          <w:szCs w:val="22"/>
        </w:rPr>
        <w:t xml:space="preserve">mówi </w:t>
      </w:r>
      <w:r w:rsidR="009851C3" w:rsidRPr="001271A1">
        <w:rPr>
          <w:rFonts w:asciiTheme="minorHAnsi" w:hAnsiTheme="minorHAnsi" w:cstheme="minorHAnsi"/>
          <w:b/>
          <w:bCs/>
          <w:sz w:val="22"/>
          <w:szCs w:val="22"/>
        </w:rPr>
        <w:t>mec</w:t>
      </w:r>
      <w:r w:rsidR="00A7160A">
        <w:rPr>
          <w:rFonts w:asciiTheme="minorHAnsi" w:hAnsiTheme="minorHAnsi" w:cstheme="minorHAnsi"/>
          <w:b/>
          <w:bCs/>
          <w:sz w:val="22"/>
          <w:szCs w:val="22"/>
        </w:rPr>
        <w:t>enas</w:t>
      </w:r>
      <w:r w:rsidR="009851C3" w:rsidRPr="001271A1">
        <w:rPr>
          <w:rFonts w:asciiTheme="minorHAnsi" w:hAnsiTheme="minorHAnsi" w:cstheme="minorHAnsi"/>
          <w:b/>
          <w:bCs/>
          <w:sz w:val="22"/>
          <w:szCs w:val="22"/>
        </w:rPr>
        <w:t xml:space="preserve"> Oskar Luty. </w:t>
      </w:r>
    </w:p>
    <w:p w14:paraId="7BDECBD7" w14:textId="521FEDE1" w:rsidR="007A13B0" w:rsidRPr="001271A1" w:rsidRDefault="007A13B0" w:rsidP="003345D0">
      <w:pPr>
        <w:spacing w:after="120" w:line="283" w:lineRule="auto"/>
        <w:rPr>
          <w:rFonts w:asciiTheme="minorHAnsi" w:eastAsia="Oswald-Light" w:hAnsiTheme="minorHAnsi" w:cstheme="minorHAnsi"/>
          <w:b/>
          <w:bCs/>
          <w:sz w:val="22"/>
          <w:szCs w:val="22"/>
        </w:rPr>
      </w:pPr>
      <w:r w:rsidRPr="001271A1">
        <w:rPr>
          <w:rFonts w:asciiTheme="minorHAnsi" w:eastAsia="Oswald-Light" w:hAnsiTheme="minorHAnsi" w:cstheme="minorHAnsi"/>
          <w:b/>
          <w:bCs/>
          <w:sz w:val="22"/>
          <w:szCs w:val="22"/>
        </w:rPr>
        <w:t xml:space="preserve">Digitalizacja – impuls dla rozwoju badań klinicznych </w:t>
      </w:r>
    </w:p>
    <w:p w14:paraId="47A9C54C" w14:textId="140AA0D5" w:rsidR="00FD1811" w:rsidRPr="001271A1" w:rsidRDefault="007A13B0" w:rsidP="003345D0">
      <w:pPr>
        <w:spacing w:after="120" w:line="283" w:lineRule="auto"/>
        <w:rPr>
          <w:rFonts w:asciiTheme="minorHAnsi" w:eastAsia="Oswald-Light" w:hAnsiTheme="minorHAnsi" w:cstheme="minorHAnsi"/>
          <w:sz w:val="22"/>
          <w:szCs w:val="22"/>
        </w:rPr>
      </w:pPr>
      <w:r w:rsidRPr="001271A1">
        <w:rPr>
          <w:rFonts w:asciiTheme="minorHAnsi" w:eastAsia="Oswald-Light" w:hAnsiTheme="minorHAnsi" w:cstheme="minorHAnsi"/>
          <w:sz w:val="22"/>
          <w:szCs w:val="22"/>
        </w:rPr>
        <w:t xml:space="preserve">Cyfryzacja w badaniach klinicznych oznacza oszczędności czasu i </w:t>
      </w:r>
      <w:r w:rsidR="00483D77">
        <w:rPr>
          <w:rFonts w:asciiTheme="minorHAnsi" w:eastAsia="Oswald-Light" w:hAnsiTheme="minorHAnsi" w:cstheme="minorHAnsi"/>
          <w:sz w:val="22"/>
          <w:szCs w:val="22"/>
        </w:rPr>
        <w:t>środków</w:t>
      </w:r>
      <w:r w:rsidRPr="001271A1">
        <w:rPr>
          <w:rFonts w:asciiTheme="minorHAnsi" w:eastAsia="Oswald-Light" w:hAnsiTheme="minorHAnsi" w:cstheme="minorHAnsi"/>
          <w:sz w:val="22"/>
          <w:szCs w:val="22"/>
        </w:rPr>
        <w:t xml:space="preserve">. </w:t>
      </w:r>
      <w:r w:rsidR="00483D77" w:rsidRPr="00483D77">
        <w:rPr>
          <w:rFonts w:asciiTheme="minorHAnsi" w:eastAsia="Oswald-Light" w:hAnsiTheme="minorHAnsi" w:cstheme="minorHAnsi"/>
          <w:sz w:val="22"/>
          <w:szCs w:val="22"/>
        </w:rPr>
        <w:t xml:space="preserve">Cyfryzacja w badaniach klinicznych przynosi szereg korzyści – eliminację błędów ludzkich, oszczędność czasu przeznaczanego na administrowanie danymi i projektem, co przekłada się również na oszczędności budżetowe, a także większą koncentrację na indywidualnych potrzebach pacjenta. </w:t>
      </w:r>
      <w:r w:rsidRPr="001271A1">
        <w:rPr>
          <w:rFonts w:asciiTheme="minorHAnsi" w:eastAsia="Oswald-Light" w:hAnsiTheme="minorHAnsi" w:cstheme="minorHAnsi"/>
          <w:sz w:val="22"/>
          <w:szCs w:val="22"/>
        </w:rPr>
        <w:t xml:space="preserve">Eksperci </w:t>
      </w:r>
      <w:r w:rsidR="009C318F">
        <w:rPr>
          <w:rFonts w:asciiTheme="minorHAnsi" w:eastAsia="Oswald-Light" w:hAnsiTheme="minorHAnsi" w:cstheme="minorHAnsi"/>
          <w:sz w:val="22"/>
          <w:szCs w:val="22"/>
        </w:rPr>
        <w:t>uczestniczący w </w:t>
      </w:r>
      <w:r w:rsidRPr="001271A1">
        <w:rPr>
          <w:rFonts w:asciiTheme="minorHAnsi" w:eastAsia="Oswald-Light" w:hAnsiTheme="minorHAnsi" w:cstheme="minorHAnsi"/>
          <w:sz w:val="22"/>
          <w:szCs w:val="22"/>
        </w:rPr>
        <w:t>konferencji podkreślali, że w okresie pandemi</w:t>
      </w:r>
      <w:r w:rsidR="00483D77">
        <w:rPr>
          <w:rFonts w:asciiTheme="minorHAnsi" w:eastAsia="Oswald-Light" w:hAnsiTheme="minorHAnsi" w:cstheme="minorHAnsi"/>
          <w:sz w:val="22"/>
          <w:szCs w:val="22"/>
        </w:rPr>
        <w:t>i</w:t>
      </w:r>
      <w:r w:rsidRPr="001271A1">
        <w:rPr>
          <w:rFonts w:asciiTheme="minorHAnsi" w:eastAsia="Oswald-Light" w:hAnsiTheme="minorHAnsi" w:cstheme="minorHAnsi"/>
          <w:sz w:val="22"/>
          <w:szCs w:val="22"/>
        </w:rPr>
        <w:t xml:space="preserve"> rozwiązania cyfrowe często umożliwiały w</w:t>
      </w:r>
      <w:r w:rsidR="009C318F">
        <w:rPr>
          <w:rFonts w:asciiTheme="minorHAnsi" w:eastAsia="Oswald-Light" w:hAnsiTheme="minorHAnsi" w:cstheme="minorHAnsi"/>
          <w:sz w:val="22"/>
          <w:szCs w:val="22"/>
        </w:rPr>
        <w:t> </w:t>
      </w:r>
      <w:r w:rsidRPr="001271A1">
        <w:rPr>
          <w:rFonts w:asciiTheme="minorHAnsi" w:eastAsia="Oswald-Light" w:hAnsiTheme="minorHAnsi" w:cstheme="minorHAnsi"/>
          <w:sz w:val="22"/>
          <w:szCs w:val="22"/>
        </w:rPr>
        <w:t>ogóle prowadzenie</w:t>
      </w:r>
      <w:r w:rsidR="006879D3" w:rsidRPr="001271A1">
        <w:rPr>
          <w:rFonts w:asciiTheme="minorHAnsi" w:eastAsia="Oswald-Light" w:hAnsiTheme="minorHAnsi" w:cstheme="minorHAnsi"/>
          <w:sz w:val="22"/>
          <w:szCs w:val="22"/>
        </w:rPr>
        <w:t xml:space="preserve"> </w:t>
      </w:r>
      <w:r w:rsidR="00FC15AE">
        <w:rPr>
          <w:rFonts w:asciiTheme="minorHAnsi" w:eastAsia="Oswald-Light" w:hAnsiTheme="minorHAnsi" w:cstheme="minorHAnsi"/>
          <w:sz w:val="22"/>
          <w:szCs w:val="22"/>
        </w:rPr>
        <w:br/>
      </w:r>
      <w:r w:rsidR="006879D3" w:rsidRPr="001271A1">
        <w:rPr>
          <w:rFonts w:asciiTheme="minorHAnsi" w:eastAsia="Oswald-Light" w:hAnsiTheme="minorHAnsi" w:cstheme="minorHAnsi"/>
          <w:sz w:val="22"/>
          <w:szCs w:val="22"/>
        </w:rPr>
        <w:t>i kontynuowanie rozpoczętych badań klinicznych. Dotyczyło to m.in. zdalnego monitoringu, dzięki któremu w warunkach lockdownu pacjenci nie musieli</w:t>
      </w:r>
      <w:r w:rsidR="00FD1811" w:rsidRPr="001271A1">
        <w:rPr>
          <w:rFonts w:asciiTheme="minorHAnsi" w:eastAsia="Oswald-Light" w:hAnsiTheme="minorHAnsi" w:cstheme="minorHAnsi"/>
          <w:sz w:val="22"/>
          <w:szCs w:val="22"/>
        </w:rPr>
        <w:t xml:space="preserve"> mieć fizycznego kontaktu z lekarzem. </w:t>
      </w:r>
    </w:p>
    <w:p w14:paraId="327B27DE" w14:textId="250C8C9F" w:rsidR="0048017B" w:rsidRDefault="002F5155" w:rsidP="003345D0">
      <w:pPr>
        <w:spacing w:after="120" w:line="283" w:lineRule="auto"/>
        <w:rPr>
          <w:rFonts w:asciiTheme="minorHAnsi" w:eastAsia="Oswald-Light" w:hAnsiTheme="minorHAnsi" w:cstheme="minorHAnsi"/>
          <w:i/>
          <w:iCs/>
          <w:sz w:val="22"/>
          <w:szCs w:val="22"/>
        </w:rPr>
      </w:pPr>
      <w:r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– </w:t>
      </w:r>
      <w:r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 </w:t>
      </w:r>
      <w:r w:rsidR="002C0C89"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Ostatnie trzy lata </w:t>
      </w:r>
      <w:r w:rsidR="00BB5A8A">
        <w:rPr>
          <w:rFonts w:asciiTheme="minorHAnsi" w:eastAsia="Oswald-Light" w:hAnsiTheme="minorHAnsi" w:cstheme="minorHAnsi"/>
          <w:i/>
          <w:iCs/>
          <w:sz w:val="22"/>
          <w:szCs w:val="22"/>
        </w:rPr>
        <w:t>były</w:t>
      </w:r>
      <w:r w:rsidR="002C0C89"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 trudne dla </w:t>
      </w:r>
      <w:r w:rsidR="00BB5A8A">
        <w:rPr>
          <w:rFonts w:asciiTheme="minorHAnsi" w:eastAsia="Oswald-Light" w:hAnsiTheme="minorHAnsi" w:cstheme="minorHAnsi"/>
          <w:i/>
          <w:iCs/>
          <w:sz w:val="22"/>
          <w:szCs w:val="22"/>
        </w:rPr>
        <w:t>badań klinicznych</w:t>
      </w:r>
      <w:r w:rsidR="002C0C89"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, ale i niezwykle inspirujące. Pandemia </w:t>
      </w:r>
      <w:r w:rsidR="00BB5A8A">
        <w:rPr>
          <w:rFonts w:asciiTheme="minorHAnsi" w:eastAsia="Oswald-Light" w:hAnsiTheme="minorHAnsi" w:cstheme="minorHAnsi"/>
          <w:i/>
          <w:iCs/>
          <w:sz w:val="22"/>
          <w:szCs w:val="22"/>
        </w:rPr>
        <w:t>ułatwiła</w:t>
      </w:r>
      <w:r w:rsidR="00A7160A"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 oraz</w:t>
      </w:r>
      <w:r w:rsidR="00BB5A8A"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 </w:t>
      </w:r>
      <w:r w:rsidR="002C0C89"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przyspieszyła wprowadzanie wielu </w:t>
      </w:r>
      <w:r w:rsidR="00BB5A8A"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procesów i </w:t>
      </w:r>
      <w:r w:rsidR="002C0C89"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rozwiązań. </w:t>
      </w:r>
      <w:r w:rsidR="00BB5A8A">
        <w:rPr>
          <w:rFonts w:asciiTheme="minorHAnsi" w:eastAsia="Oswald-Light" w:hAnsiTheme="minorHAnsi" w:cstheme="minorHAnsi"/>
          <w:i/>
          <w:iCs/>
          <w:sz w:val="22"/>
          <w:szCs w:val="22"/>
        </w:rPr>
        <w:t>Wprowadzaliśmy nowe platformy technologiczne i możliwości decentralizacji prowadzenia badań klinicznych, dzięki temu</w:t>
      </w:r>
      <w:r w:rsidR="006164E8"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 </w:t>
      </w:r>
      <w:r w:rsidR="008A67DA"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jesteśmy bliżej pacjenta. </w:t>
      </w:r>
      <w:r w:rsidR="002C0C89"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Również wiele z tych rozwiązań jest obecnie </w:t>
      </w:r>
      <w:r w:rsidR="00BB5A8A">
        <w:rPr>
          <w:rFonts w:asciiTheme="minorHAnsi" w:eastAsia="Oswald-Light" w:hAnsiTheme="minorHAnsi" w:cstheme="minorHAnsi"/>
          <w:i/>
          <w:iCs/>
          <w:sz w:val="22"/>
          <w:szCs w:val="22"/>
        </w:rPr>
        <w:t>wykorzystywanych</w:t>
      </w:r>
      <w:r w:rsidR="002C0C89"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 </w:t>
      </w:r>
      <w:r w:rsidR="00BB5A8A"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na objętej wojną Ukrainie, jak i w Polsce, do której trafiło ostatnio wielu pacjentów z Ukrainy </w:t>
      </w:r>
      <w:r>
        <w:rPr>
          <w:rFonts w:asciiTheme="minorHAnsi" w:eastAsia="Oswald-Light" w:hAnsiTheme="minorHAnsi" w:cstheme="minorHAnsi"/>
          <w:i/>
          <w:iCs/>
          <w:sz w:val="22"/>
          <w:szCs w:val="22"/>
        </w:rPr>
        <w:t>–</w:t>
      </w:r>
      <w:r w:rsidR="00BB5A8A"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 </w:t>
      </w:r>
      <w:r w:rsidR="002C0C89" w:rsidRPr="00BB5A8A">
        <w:rPr>
          <w:rFonts w:asciiTheme="minorHAnsi" w:eastAsia="Oswald-Light" w:hAnsiTheme="minorHAnsi" w:cstheme="minorHAnsi"/>
          <w:sz w:val="22"/>
          <w:szCs w:val="22"/>
        </w:rPr>
        <w:t xml:space="preserve">mówi </w:t>
      </w:r>
      <w:r w:rsidR="002C0C89" w:rsidRPr="00BB5A8A">
        <w:rPr>
          <w:rFonts w:asciiTheme="minorHAnsi" w:eastAsia="Oswald-Light" w:hAnsiTheme="minorHAnsi" w:cstheme="minorHAnsi"/>
          <w:b/>
          <w:bCs/>
          <w:sz w:val="22"/>
          <w:szCs w:val="22"/>
        </w:rPr>
        <w:t xml:space="preserve">Antoni Jędrzejewski, prezes </w:t>
      </w:r>
      <w:r w:rsidR="002830A8" w:rsidRPr="00A8362D">
        <w:rPr>
          <w:rFonts w:asciiTheme="minorHAnsi" w:eastAsia="Oswald-Light" w:hAnsiTheme="minorHAnsi" w:cstheme="minorHAnsi"/>
          <w:b/>
          <w:bCs/>
          <w:sz w:val="22"/>
          <w:szCs w:val="22"/>
        </w:rPr>
        <w:t>Stowarzyszeni</w:t>
      </w:r>
      <w:r w:rsidR="002830A8">
        <w:rPr>
          <w:rFonts w:asciiTheme="minorHAnsi" w:eastAsia="Oswald-Light" w:hAnsiTheme="minorHAnsi" w:cstheme="minorHAnsi"/>
          <w:b/>
          <w:bCs/>
          <w:sz w:val="22"/>
          <w:szCs w:val="22"/>
        </w:rPr>
        <w:t>a</w:t>
      </w:r>
      <w:r w:rsidR="002830A8" w:rsidRPr="00A8362D">
        <w:rPr>
          <w:rFonts w:asciiTheme="minorHAnsi" w:eastAsia="Oswald-Light" w:hAnsiTheme="minorHAnsi" w:cstheme="minorHAnsi"/>
          <w:b/>
          <w:bCs/>
          <w:sz w:val="22"/>
          <w:szCs w:val="22"/>
        </w:rPr>
        <w:t xml:space="preserve"> na rzecz Dobrej Praktyki </w:t>
      </w:r>
      <w:r w:rsidR="006D1963">
        <w:rPr>
          <w:rFonts w:asciiTheme="minorHAnsi" w:eastAsia="Oswald-Light" w:hAnsiTheme="minorHAnsi" w:cstheme="minorHAnsi"/>
          <w:b/>
          <w:bCs/>
          <w:sz w:val="22"/>
          <w:szCs w:val="22"/>
        </w:rPr>
        <w:t xml:space="preserve">Badań </w:t>
      </w:r>
      <w:r w:rsidR="002830A8" w:rsidRPr="00A8362D">
        <w:rPr>
          <w:rFonts w:asciiTheme="minorHAnsi" w:eastAsia="Oswald-Light" w:hAnsiTheme="minorHAnsi" w:cstheme="minorHAnsi"/>
          <w:b/>
          <w:bCs/>
          <w:sz w:val="22"/>
          <w:szCs w:val="22"/>
        </w:rPr>
        <w:t>Kliniczn</w:t>
      </w:r>
      <w:r w:rsidR="006D1963">
        <w:rPr>
          <w:rFonts w:asciiTheme="minorHAnsi" w:eastAsia="Oswald-Light" w:hAnsiTheme="minorHAnsi" w:cstheme="minorHAnsi"/>
          <w:b/>
          <w:bCs/>
          <w:sz w:val="22"/>
          <w:szCs w:val="22"/>
        </w:rPr>
        <w:t xml:space="preserve">ych w Polsce </w:t>
      </w:r>
      <w:proofErr w:type="spellStart"/>
      <w:r w:rsidR="002C0C89" w:rsidRPr="00BB5A8A">
        <w:rPr>
          <w:rFonts w:asciiTheme="minorHAnsi" w:eastAsia="Oswald-Light" w:hAnsiTheme="minorHAnsi" w:cstheme="minorHAnsi"/>
          <w:b/>
          <w:bCs/>
          <w:sz w:val="22"/>
          <w:szCs w:val="22"/>
        </w:rPr>
        <w:t>GCPpl</w:t>
      </w:r>
      <w:proofErr w:type="spellEnd"/>
      <w:r w:rsidR="002C0C89">
        <w:rPr>
          <w:rFonts w:asciiTheme="minorHAnsi" w:eastAsia="Oswald-Light" w:hAnsiTheme="minorHAnsi" w:cstheme="minorHAnsi"/>
          <w:i/>
          <w:iCs/>
          <w:sz w:val="22"/>
          <w:szCs w:val="22"/>
        </w:rPr>
        <w:t xml:space="preserve">. </w:t>
      </w:r>
    </w:p>
    <w:p w14:paraId="6D83605F" w14:textId="64150183" w:rsidR="00A7160A" w:rsidRDefault="00A7160A" w:rsidP="003345D0">
      <w:pPr>
        <w:spacing w:after="120" w:line="283" w:lineRule="auto"/>
        <w:rPr>
          <w:rFonts w:asciiTheme="minorHAnsi" w:eastAsia="Oswald-Light" w:hAnsiTheme="minorHAnsi" w:cstheme="minorHAnsi"/>
          <w:i/>
          <w:iCs/>
          <w:sz w:val="22"/>
          <w:szCs w:val="22"/>
        </w:rPr>
      </w:pPr>
    </w:p>
    <w:p w14:paraId="14E7F91A" w14:textId="77777777" w:rsidR="00A7160A" w:rsidRDefault="00A7160A" w:rsidP="003345D0">
      <w:pPr>
        <w:spacing w:after="120" w:line="283" w:lineRule="auto"/>
        <w:rPr>
          <w:rFonts w:asciiTheme="minorHAnsi" w:eastAsia="Oswald-Light" w:hAnsiTheme="minorHAnsi" w:cstheme="minorHAnsi"/>
          <w:i/>
          <w:iCs/>
          <w:sz w:val="22"/>
          <w:szCs w:val="22"/>
        </w:rPr>
      </w:pPr>
    </w:p>
    <w:p w14:paraId="5D798C05" w14:textId="18EB521E" w:rsidR="001315B1" w:rsidRPr="00163C60" w:rsidRDefault="001315B1" w:rsidP="003345D0">
      <w:pPr>
        <w:spacing w:after="120" w:line="283" w:lineRule="auto"/>
        <w:jc w:val="center"/>
        <w:rPr>
          <w:rFonts w:asciiTheme="minorHAnsi" w:hAnsiTheme="minorHAnsi" w:cstheme="minorHAnsi"/>
          <w:szCs w:val="20"/>
        </w:rPr>
      </w:pPr>
      <w:r w:rsidRPr="00163C60">
        <w:rPr>
          <w:rFonts w:asciiTheme="minorHAnsi" w:hAnsiTheme="minorHAnsi" w:cstheme="minorHAnsi"/>
          <w:szCs w:val="20"/>
        </w:rPr>
        <w:lastRenderedPageBreak/>
        <w:t>***</w:t>
      </w:r>
    </w:p>
    <w:p w14:paraId="41950906" w14:textId="7755BD5E" w:rsidR="001D4141" w:rsidRPr="00163C60" w:rsidRDefault="00C13974" w:rsidP="001315B1">
      <w:pPr>
        <w:rPr>
          <w:rFonts w:asciiTheme="minorHAnsi" w:hAnsiTheme="minorHAnsi" w:cstheme="minorHAnsi"/>
          <w:szCs w:val="20"/>
        </w:rPr>
      </w:pPr>
      <w:bookmarkStart w:id="0" w:name="_Hlk94286001"/>
      <w:r w:rsidRPr="00163C60">
        <w:rPr>
          <w:rFonts w:asciiTheme="minorHAnsi" w:hAnsiTheme="minorHAnsi" w:cstheme="minorHAnsi"/>
          <w:b/>
          <w:bCs/>
          <w:szCs w:val="20"/>
        </w:rPr>
        <w:t>Związek Pracodawców Innowacyjnych Firm Farmaceutycznych</w:t>
      </w:r>
      <w:r w:rsidRPr="00163C60">
        <w:rPr>
          <w:rFonts w:asciiTheme="minorHAnsi" w:hAnsiTheme="minorHAnsi" w:cstheme="minorHAnsi"/>
          <w:szCs w:val="20"/>
        </w:rPr>
        <w:t xml:space="preserve"> </w:t>
      </w:r>
      <w:r w:rsidRPr="00163C60">
        <w:rPr>
          <w:rFonts w:asciiTheme="minorHAnsi" w:hAnsiTheme="minorHAnsi" w:cstheme="minorHAnsi"/>
          <w:b/>
          <w:bCs/>
          <w:szCs w:val="20"/>
        </w:rPr>
        <w:t>INFARMA</w:t>
      </w:r>
      <w:r w:rsidRPr="00163C60">
        <w:rPr>
          <w:rFonts w:asciiTheme="minorHAnsi" w:hAnsiTheme="minorHAnsi" w:cstheme="minorHAnsi"/>
          <w:szCs w:val="20"/>
        </w:rPr>
        <w:t xml:space="preserve"> reprezentuje 25 działających w Polsce wiodących firm sektora farmaceutycznego, prowadzących działalność badawczo-rozwojową i produkujących leki innowacyjne. INFARMA jest członkiem międzynarodowych organizacji zrzeszających innowacyjną branżę farmaceutyczną (EFPIA), a także Pracodawców RP oraz Krajowej Izby Gospodarczej. </w:t>
      </w:r>
    </w:p>
    <w:p w14:paraId="0DBCB361" w14:textId="77777777" w:rsidR="005008F6" w:rsidRPr="001271A1" w:rsidRDefault="005008F6" w:rsidP="005008F6">
      <w:pPr>
        <w:spacing w:after="120" w:line="28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271A1">
        <w:rPr>
          <w:rFonts w:asciiTheme="minorHAnsi" w:hAnsiTheme="minorHAnsi" w:cstheme="minorHAnsi"/>
          <w:sz w:val="22"/>
          <w:szCs w:val="22"/>
        </w:rPr>
        <w:t>***</w:t>
      </w:r>
    </w:p>
    <w:p w14:paraId="1B3A3BC6" w14:textId="1AD93774" w:rsidR="005008F6" w:rsidRPr="00163C60" w:rsidRDefault="005008F6" w:rsidP="005008F6">
      <w:pPr>
        <w:rPr>
          <w:rFonts w:asciiTheme="minorHAnsi" w:hAnsiTheme="minorHAnsi" w:cstheme="minorHAnsi"/>
          <w:szCs w:val="20"/>
        </w:rPr>
      </w:pPr>
      <w:r w:rsidRPr="00163C60">
        <w:rPr>
          <w:rFonts w:asciiTheme="minorHAnsi" w:hAnsiTheme="minorHAnsi" w:cstheme="minorHAnsi"/>
          <w:b/>
          <w:bCs/>
          <w:szCs w:val="20"/>
          <w:shd w:val="clear" w:color="auto" w:fill="FFFFFF"/>
        </w:rPr>
        <w:t>POLCRO </w:t>
      </w:r>
      <w:r w:rsidR="00163C60" w:rsidRPr="00163C60">
        <w:rPr>
          <w:rFonts w:asciiTheme="minorHAnsi" w:hAnsiTheme="minorHAnsi" w:cstheme="minorHAnsi"/>
          <w:b/>
          <w:bCs/>
          <w:szCs w:val="20"/>
          <w:shd w:val="clear" w:color="auto" w:fill="FFFFFF"/>
        </w:rPr>
        <w:t>– </w:t>
      </w:r>
      <w:r w:rsidRPr="00163C60">
        <w:rPr>
          <w:rFonts w:asciiTheme="minorHAnsi" w:hAnsiTheme="minorHAnsi" w:cstheme="minorHAnsi"/>
          <w:b/>
          <w:bCs/>
          <w:szCs w:val="20"/>
          <w:shd w:val="clear" w:color="auto" w:fill="FFFFFF"/>
        </w:rPr>
        <w:t>Polski Związek Pracodawców Firm Prowadzących Badania Kliniczne na Zlecenie (</w:t>
      </w:r>
      <w:proofErr w:type="spellStart"/>
      <w:r w:rsidRPr="00163C60">
        <w:rPr>
          <w:rFonts w:asciiTheme="minorHAnsi" w:hAnsiTheme="minorHAnsi" w:cstheme="minorHAnsi"/>
          <w:b/>
          <w:bCs/>
          <w:szCs w:val="20"/>
          <w:shd w:val="clear" w:color="auto" w:fill="FFFFFF"/>
        </w:rPr>
        <w:t>Clinical</w:t>
      </w:r>
      <w:proofErr w:type="spellEnd"/>
      <w:r w:rsidRPr="00163C60">
        <w:rPr>
          <w:rFonts w:asciiTheme="minorHAnsi" w:hAnsiTheme="minorHAnsi" w:cstheme="minorHAnsi"/>
          <w:b/>
          <w:bCs/>
          <w:szCs w:val="20"/>
          <w:shd w:val="clear" w:color="auto" w:fill="FFFFFF"/>
        </w:rPr>
        <w:t xml:space="preserve"> </w:t>
      </w:r>
      <w:proofErr w:type="spellStart"/>
      <w:r w:rsidRPr="00163C60">
        <w:rPr>
          <w:rFonts w:asciiTheme="minorHAnsi" w:hAnsiTheme="minorHAnsi" w:cstheme="minorHAnsi"/>
          <w:b/>
          <w:bCs/>
          <w:szCs w:val="20"/>
          <w:shd w:val="clear" w:color="auto" w:fill="FFFFFF"/>
        </w:rPr>
        <w:t>Research</w:t>
      </w:r>
      <w:proofErr w:type="spellEnd"/>
      <w:r w:rsidRPr="00163C60">
        <w:rPr>
          <w:rFonts w:asciiTheme="minorHAnsi" w:hAnsiTheme="minorHAnsi" w:cstheme="minorHAnsi"/>
          <w:b/>
          <w:bCs/>
          <w:szCs w:val="20"/>
          <w:shd w:val="clear" w:color="auto" w:fill="FFFFFF"/>
        </w:rPr>
        <w:t xml:space="preserve"> </w:t>
      </w:r>
      <w:proofErr w:type="spellStart"/>
      <w:r w:rsidRPr="00163C60">
        <w:rPr>
          <w:rFonts w:asciiTheme="minorHAnsi" w:hAnsiTheme="minorHAnsi" w:cstheme="minorHAnsi"/>
          <w:b/>
          <w:bCs/>
          <w:szCs w:val="20"/>
          <w:shd w:val="clear" w:color="auto" w:fill="FFFFFF"/>
        </w:rPr>
        <w:t>Organizations</w:t>
      </w:r>
      <w:proofErr w:type="spellEnd"/>
      <w:r w:rsidRPr="00163C60">
        <w:rPr>
          <w:rFonts w:asciiTheme="minorHAnsi" w:hAnsiTheme="minorHAnsi" w:cstheme="minorHAnsi"/>
          <w:b/>
          <w:bCs/>
          <w:szCs w:val="20"/>
          <w:shd w:val="clear" w:color="auto" w:fill="FFFFFF"/>
        </w:rPr>
        <w:t>)</w:t>
      </w:r>
      <w:r w:rsidRPr="00163C60">
        <w:rPr>
          <w:rFonts w:asciiTheme="minorHAnsi" w:hAnsiTheme="minorHAnsi" w:cstheme="minorHAnsi"/>
          <w:szCs w:val="20"/>
          <w:shd w:val="clear" w:color="auto" w:fill="FFFFFF"/>
        </w:rPr>
        <w:t xml:space="preserve"> jest organizacją zrzeszającą firmy </w:t>
      </w:r>
      <w:r w:rsidRPr="00163C60">
        <w:rPr>
          <w:rFonts w:asciiTheme="minorHAnsi" w:hAnsiTheme="minorHAnsi" w:cstheme="minorHAnsi"/>
          <w:szCs w:val="20"/>
        </w:rPr>
        <w:t>zaangażowane</w:t>
      </w:r>
      <w:r w:rsidRPr="00163C60">
        <w:rPr>
          <w:rFonts w:asciiTheme="minorHAnsi" w:hAnsiTheme="minorHAnsi" w:cstheme="minorHAnsi"/>
          <w:szCs w:val="20"/>
          <w:shd w:val="clear" w:color="auto" w:fill="FFFFFF"/>
        </w:rPr>
        <w:t xml:space="preserve"> na terytorium Rzeczpospolitej Polskiej </w:t>
      </w:r>
      <w:r w:rsidR="008B5FE5">
        <w:rPr>
          <w:rFonts w:asciiTheme="minorHAnsi" w:hAnsiTheme="minorHAnsi" w:cstheme="minorHAnsi"/>
          <w:szCs w:val="20"/>
          <w:shd w:val="clear" w:color="auto" w:fill="FFFFFF"/>
        </w:rPr>
        <w:br/>
      </w:r>
      <w:r w:rsidRPr="00163C60">
        <w:rPr>
          <w:rFonts w:asciiTheme="minorHAnsi" w:hAnsiTheme="minorHAnsi" w:cstheme="minorHAnsi"/>
          <w:szCs w:val="20"/>
          <w:shd w:val="clear" w:color="auto" w:fill="FFFFFF"/>
        </w:rPr>
        <w:t>w działalność gospodarczą w zakresie zarządzania i monitorowania badań klinicznych na zlecenie sponsorów – firm farmaceutycznych i biotechnologicznych. Aktualnie POLCRO zrzesza 15 firm członkowskich.</w:t>
      </w:r>
    </w:p>
    <w:p w14:paraId="31832807" w14:textId="77777777" w:rsidR="00163C60" w:rsidRPr="001271A1" w:rsidRDefault="00163C60" w:rsidP="00163C60">
      <w:pPr>
        <w:spacing w:after="120" w:line="28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271A1">
        <w:rPr>
          <w:rFonts w:asciiTheme="minorHAnsi" w:hAnsiTheme="minorHAnsi" w:cstheme="minorHAnsi"/>
          <w:sz w:val="22"/>
          <w:szCs w:val="22"/>
        </w:rPr>
        <w:t>***</w:t>
      </w:r>
    </w:p>
    <w:bookmarkEnd w:id="0"/>
    <w:p w14:paraId="7213A955" w14:textId="224C0D40" w:rsidR="007C468E" w:rsidRPr="007C468E" w:rsidRDefault="007C468E" w:rsidP="007C468E">
      <w:pPr>
        <w:rPr>
          <w:rFonts w:asciiTheme="minorHAnsi" w:hAnsiTheme="minorHAnsi" w:cstheme="minorHAnsi"/>
          <w:szCs w:val="20"/>
          <w:shd w:val="clear" w:color="auto" w:fill="FFFFFF"/>
        </w:rPr>
      </w:pPr>
      <w:r w:rsidRPr="007C468E">
        <w:rPr>
          <w:rFonts w:asciiTheme="minorHAnsi" w:hAnsiTheme="minorHAnsi" w:cstheme="minorHAnsi"/>
          <w:b/>
          <w:bCs/>
          <w:szCs w:val="20"/>
          <w:shd w:val="clear" w:color="auto" w:fill="FFFFFF"/>
        </w:rPr>
        <w:t>Stowarzyszenie na Rzecz Dobrej Praktyki Badań Klinicznych w Polsce (GCPpl)</w:t>
      </w:r>
      <w:r w:rsidRPr="007C468E">
        <w:rPr>
          <w:rFonts w:asciiTheme="minorHAnsi" w:hAnsiTheme="minorHAnsi" w:cstheme="minorHAnsi"/>
          <w:szCs w:val="20"/>
          <w:shd w:val="clear" w:color="auto" w:fill="FFFFFF"/>
        </w:rPr>
        <w:t xml:space="preserve"> powstało w roku 1997, odgrywa istotną rolę w środowisku badań klinicznych w Polsce poprzez działalność edukacyjno-szkoleniową, tworzenie </w:t>
      </w:r>
      <w:r w:rsidR="00A7160A">
        <w:rPr>
          <w:rFonts w:asciiTheme="minorHAnsi" w:hAnsiTheme="minorHAnsi" w:cstheme="minorHAnsi"/>
          <w:szCs w:val="20"/>
          <w:shd w:val="clear" w:color="auto" w:fill="FFFFFF"/>
        </w:rPr>
        <w:br/>
      </w:r>
      <w:r w:rsidRPr="007C468E">
        <w:rPr>
          <w:rFonts w:asciiTheme="minorHAnsi" w:hAnsiTheme="minorHAnsi" w:cstheme="minorHAnsi"/>
          <w:szCs w:val="20"/>
          <w:shd w:val="clear" w:color="auto" w:fill="FFFFFF"/>
        </w:rPr>
        <w:t xml:space="preserve">i propagowanie standardów, udział w konsultacjach społecznych nowych regulacji prawnych oraz promowanie pozytywnego wizerunku badań klinicznych w oczach opinii publicznej. </w:t>
      </w:r>
    </w:p>
    <w:p w14:paraId="6293717F" w14:textId="7754157D" w:rsidR="00C13974" w:rsidRPr="00163C60" w:rsidRDefault="00C13974" w:rsidP="007C468E">
      <w:pPr>
        <w:spacing w:after="120" w:line="283" w:lineRule="auto"/>
        <w:rPr>
          <w:rFonts w:asciiTheme="minorHAnsi" w:hAnsiTheme="minorHAnsi" w:cstheme="minorHAnsi"/>
          <w:szCs w:val="20"/>
        </w:rPr>
      </w:pPr>
    </w:p>
    <w:p w14:paraId="7B0D4A05" w14:textId="3DCF1F3A" w:rsidR="00C13974" w:rsidRPr="00163C60" w:rsidRDefault="00C13974" w:rsidP="001315B1">
      <w:pPr>
        <w:rPr>
          <w:rFonts w:cs="Arial"/>
          <w:szCs w:val="20"/>
        </w:rPr>
      </w:pPr>
    </w:p>
    <w:sectPr w:rsidR="00C13974" w:rsidRPr="00163C60" w:rsidSect="00C05FCA">
      <w:headerReference w:type="even" r:id="rId12"/>
      <w:headerReference w:type="default" r:id="rId13"/>
      <w:footerReference w:type="even" r:id="rId14"/>
      <w:pgSz w:w="11906" w:h="16838"/>
      <w:pgMar w:top="1985" w:right="1134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A5282" w14:textId="77777777" w:rsidR="002E1F24" w:rsidRDefault="002E1F24">
      <w:r>
        <w:separator/>
      </w:r>
    </w:p>
    <w:p w14:paraId="2EEC2CEE" w14:textId="77777777" w:rsidR="002E1F24" w:rsidRDefault="002E1F24"/>
    <w:p w14:paraId="358468EC" w14:textId="77777777" w:rsidR="002E1F24" w:rsidRDefault="002E1F24"/>
  </w:endnote>
  <w:endnote w:type="continuationSeparator" w:id="0">
    <w:p w14:paraId="02381473" w14:textId="77777777" w:rsidR="002E1F24" w:rsidRDefault="002E1F24">
      <w:r>
        <w:continuationSeparator/>
      </w:r>
    </w:p>
    <w:p w14:paraId="3C7525D7" w14:textId="77777777" w:rsidR="002E1F24" w:rsidRDefault="002E1F24"/>
    <w:p w14:paraId="75398D6F" w14:textId="77777777" w:rsidR="002E1F24" w:rsidRDefault="002E1F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swald-Ligh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E90A8" w14:textId="77777777" w:rsidR="001E27B8" w:rsidRDefault="001E27B8">
    <w:pPr>
      <w:pStyle w:val="Stopka"/>
    </w:pPr>
  </w:p>
  <w:p w14:paraId="6DB05C7D" w14:textId="77777777" w:rsidR="00A4178E" w:rsidRDefault="00A4178E"/>
  <w:p w14:paraId="21D910FC" w14:textId="77777777" w:rsidR="00A4178E" w:rsidRDefault="00A417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75F72" w14:textId="77777777" w:rsidR="002E1F24" w:rsidRDefault="002E1F24">
      <w:r>
        <w:separator/>
      </w:r>
    </w:p>
    <w:p w14:paraId="0E157853" w14:textId="77777777" w:rsidR="002E1F24" w:rsidRDefault="002E1F24"/>
    <w:p w14:paraId="68B5CECF" w14:textId="77777777" w:rsidR="002E1F24" w:rsidRDefault="002E1F24"/>
  </w:footnote>
  <w:footnote w:type="continuationSeparator" w:id="0">
    <w:p w14:paraId="20939F4C" w14:textId="77777777" w:rsidR="002E1F24" w:rsidRDefault="002E1F24">
      <w:r>
        <w:continuationSeparator/>
      </w:r>
    </w:p>
    <w:p w14:paraId="5A52E1A7" w14:textId="77777777" w:rsidR="002E1F24" w:rsidRDefault="002E1F24"/>
    <w:p w14:paraId="38A7A29A" w14:textId="77777777" w:rsidR="002E1F24" w:rsidRDefault="002E1F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FFFD9" w14:textId="77777777" w:rsidR="001E27B8" w:rsidRDefault="001E27B8">
    <w:pPr>
      <w:pStyle w:val="Nagwek"/>
    </w:pPr>
  </w:p>
  <w:p w14:paraId="30D714DB" w14:textId="77777777" w:rsidR="00A4178E" w:rsidRDefault="00A4178E"/>
  <w:p w14:paraId="4647D420" w14:textId="77777777" w:rsidR="00A4178E" w:rsidRDefault="00A4178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941C1" w14:textId="3A5A36F9" w:rsidR="001F77F9" w:rsidRDefault="00272CF4" w:rsidP="00317C8D">
    <w:pPr>
      <w:pStyle w:val="Nagwek"/>
      <w:ind w:left="-851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047653" wp14:editId="1D1230EC">
              <wp:simplePos x="0" y="0"/>
              <wp:positionH relativeFrom="column">
                <wp:posOffset>4261485</wp:posOffset>
              </wp:positionH>
              <wp:positionV relativeFrom="paragraph">
                <wp:posOffset>10160</wp:posOffset>
              </wp:positionV>
              <wp:extent cx="1943100" cy="685800"/>
              <wp:effectExtent l="0" t="63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3C928F" w14:textId="77777777" w:rsidR="001F77F9" w:rsidRDefault="001F77F9" w:rsidP="001F77F9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0476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35.55pt;margin-top:.8pt;width:153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" filled="f" stroked="f">
              <v:textbox inset=",7.2pt,,7.2pt">
                <w:txbxContent>
                  <w:p w14:paraId="4E3C928F" w14:textId="77777777" w:rsidR="001F77F9" w:rsidRDefault="001F77F9" w:rsidP="001F77F9"/>
                </w:txbxContent>
              </v:textbox>
              <w10:wrap type="through"/>
            </v:shape>
          </w:pict>
        </mc:Fallback>
      </mc:AlternateContent>
    </w:r>
    <w:r>
      <w:rPr>
        <w:rStyle w:val="brand"/>
        <w:rFonts w:cs="Arial"/>
        <w:noProof/>
        <w:color w:val="555555"/>
        <w:sz w:val="18"/>
        <w:szCs w:val="18"/>
      </w:rPr>
      <w:drawing>
        <wp:inline distT="0" distB="0" distL="0" distR="0" wp14:anchorId="4D3C0FA4" wp14:editId="6167AA80">
          <wp:extent cx="1638300" cy="5410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6004">
      <w:rPr>
        <w:rStyle w:val="brand"/>
        <w:rFonts w:cs="Arial"/>
        <w:color w:val="555555"/>
        <w:sz w:val="18"/>
        <w:szCs w:val="18"/>
      </w:rPr>
      <w:t xml:space="preserve">   </w:t>
    </w:r>
    <w:r w:rsidR="005B3886">
      <w:rPr>
        <w:rStyle w:val="brand"/>
        <w:rFonts w:cs="Arial"/>
        <w:color w:val="555555"/>
        <w:sz w:val="18"/>
        <w:szCs w:val="18"/>
      </w:rPr>
      <w:tab/>
    </w:r>
    <w:r w:rsidR="00BD6ED6" w:rsidRPr="00BD6ED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12FA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B1EA7"/>
    <w:multiLevelType w:val="hybridMultilevel"/>
    <w:tmpl w:val="4CBC4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64178"/>
    <w:multiLevelType w:val="hybridMultilevel"/>
    <w:tmpl w:val="989296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3B2F92"/>
    <w:multiLevelType w:val="hybridMultilevel"/>
    <w:tmpl w:val="65BA2E98"/>
    <w:lvl w:ilvl="0" w:tplc="779E66D6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31C2F"/>
    <w:multiLevelType w:val="hybridMultilevel"/>
    <w:tmpl w:val="4E5C6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D40631"/>
    <w:multiLevelType w:val="hybridMultilevel"/>
    <w:tmpl w:val="6486EDD6"/>
    <w:lvl w:ilvl="0" w:tplc="0415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6" w15:restartNumberingAfterBreak="0">
    <w:nsid w:val="2ECA300A"/>
    <w:multiLevelType w:val="hybridMultilevel"/>
    <w:tmpl w:val="72AA4C82"/>
    <w:lvl w:ilvl="0" w:tplc="96A26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10440DA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077A78"/>
    <w:multiLevelType w:val="hybridMultilevel"/>
    <w:tmpl w:val="54F6C81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BD591F"/>
    <w:multiLevelType w:val="hybridMultilevel"/>
    <w:tmpl w:val="5E58D454"/>
    <w:lvl w:ilvl="0" w:tplc="A70AB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36DC9"/>
    <w:multiLevelType w:val="hybridMultilevel"/>
    <w:tmpl w:val="0B1A3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97008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95330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10443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0759775">
    <w:abstractNumId w:val="0"/>
  </w:num>
  <w:num w:numId="5" w16cid:durableId="1456872052">
    <w:abstractNumId w:val="7"/>
  </w:num>
  <w:num w:numId="6" w16cid:durableId="1860702960">
    <w:abstractNumId w:val="4"/>
  </w:num>
  <w:num w:numId="7" w16cid:durableId="105468205">
    <w:abstractNumId w:val="1"/>
  </w:num>
  <w:num w:numId="8" w16cid:durableId="406198209">
    <w:abstractNumId w:val="6"/>
  </w:num>
  <w:num w:numId="9" w16cid:durableId="1726292107">
    <w:abstractNumId w:val="5"/>
  </w:num>
  <w:num w:numId="10" w16cid:durableId="672218467">
    <w:abstractNumId w:val="2"/>
  </w:num>
  <w:num w:numId="11" w16cid:durableId="2070766878">
    <w:abstractNumId w:val="3"/>
  </w:num>
  <w:num w:numId="12" w16cid:durableId="903295462">
    <w:abstractNumId w:val="8"/>
  </w:num>
  <w:num w:numId="13" w16cid:durableId="13732694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2C"/>
    <w:rsid w:val="00000FD1"/>
    <w:rsid w:val="000173E8"/>
    <w:rsid w:val="00017695"/>
    <w:rsid w:val="00017DFB"/>
    <w:rsid w:val="000214A5"/>
    <w:rsid w:val="00024186"/>
    <w:rsid w:val="00037393"/>
    <w:rsid w:val="00055B7D"/>
    <w:rsid w:val="00062400"/>
    <w:rsid w:val="00066955"/>
    <w:rsid w:val="0007638C"/>
    <w:rsid w:val="00080917"/>
    <w:rsid w:val="00087186"/>
    <w:rsid w:val="000876A5"/>
    <w:rsid w:val="000A04FA"/>
    <w:rsid w:val="000A3A62"/>
    <w:rsid w:val="000B3CBF"/>
    <w:rsid w:val="000C3ADD"/>
    <w:rsid w:val="000C5717"/>
    <w:rsid w:val="000E475C"/>
    <w:rsid w:val="000E54B1"/>
    <w:rsid w:val="001243AC"/>
    <w:rsid w:val="00126E08"/>
    <w:rsid w:val="001271A1"/>
    <w:rsid w:val="001315B1"/>
    <w:rsid w:val="00133879"/>
    <w:rsid w:val="0015071D"/>
    <w:rsid w:val="00156A55"/>
    <w:rsid w:val="00163C60"/>
    <w:rsid w:val="00174E10"/>
    <w:rsid w:val="00177C88"/>
    <w:rsid w:val="001927A7"/>
    <w:rsid w:val="00195C45"/>
    <w:rsid w:val="001A6AED"/>
    <w:rsid w:val="001A6F59"/>
    <w:rsid w:val="001C2B29"/>
    <w:rsid w:val="001C4F5B"/>
    <w:rsid w:val="001C7249"/>
    <w:rsid w:val="001C79A4"/>
    <w:rsid w:val="001D4141"/>
    <w:rsid w:val="001D6657"/>
    <w:rsid w:val="001E104B"/>
    <w:rsid w:val="001E2538"/>
    <w:rsid w:val="001E27B8"/>
    <w:rsid w:val="001F0EF7"/>
    <w:rsid w:val="001F77F9"/>
    <w:rsid w:val="0021254D"/>
    <w:rsid w:val="00234B21"/>
    <w:rsid w:val="002359C5"/>
    <w:rsid w:val="00240D2E"/>
    <w:rsid w:val="0027230D"/>
    <w:rsid w:val="00272CF4"/>
    <w:rsid w:val="00277A10"/>
    <w:rsid w:val="002830A8"/>
    <w:rsid w:val="00287E72"/>
    <w:rsid w:val="00291ABF"/>
    <w:rsid w:val="00292927"/>
    <w:rsid w:val="002947E3"/>
    <w:rsid w:val="00297FDB"/>
    <w:rsid w:val="002B0AA3"/>
    <w:rsid w:val="002B4B86"/>
    <w:rsid w:val="002C0C89"/>
    <w:rsid w:val="002C13A4"/>
    <w:rsid w:val="002E1F24"/>
    <w:rsid w:val="002E53E1"/>
    <w:rsid w:val="002E6B15"/>
    <w:rsid w:val="002F3229"/>
    <w:rsid w:val="002F5155"/>
    <w:rsid w:val="0030597F"/>
    <w:rsid w:val="00305D8F"/>
    <w:rsid w:val="00315465"/>
    <w:rsid w:val="00317C8D"/>
    <w:rsid w:val="003345D0"/>
    <w:rsid w:val="00337810"/>
    <w:rsid w:val="00342377"/>
    <w:rsid w:val="003463C2"/>
    <w:rsid w:val="00352DB9"/>
    <w:rsid w:val="00365E8B"/>
    <w:rsid w:val="003703D1"/>
    <w:rsid w:val="00374C86"/>
    <w:rsid w:val="003827B5"/>
    <w:rsid w:val="00393A9E"/>
    <w:rsid w:val="003C5914"/>
    <w:rsid w:val="003E5854"/>
    <w:rsid w:val="003F175F"/>
    <w:rsid w:val="003F60B7"/>
    <w:rsid w:val="00402F7A"/>
    <w:rsid w:val="00422A28"/>
    <w:rsid w:val="00443D43"/>
    <w:rsid w:val="00445412"/>
    <w:rsid w:val="004627A1"/>
    <w:rsid w:val="00463CE9"/>
    <w:rsid w:val="00467E0F"/>
    <w:rsid w:val="0048017B"/>
    <w:rsid w:val="00482629"/>
    <w:rsid w:val="00483D77"/>
    <w:rsid w:val="00492813"/>
    <w:rsid w:val="004B51B7"/>
    <w:rsid w:val="004D0E74"/>
    <w:rsid w:val="004E3D80"/>
    <w:rsid w:val="005008F6"/>
    <w:rsid w:val="00506BFB"/>
    <w:rsid w:val="00520D31"/>
    <w:rsid w:val="00523DBF"/>
    <w:rsid w:val="005513B8"/>
    <w:rsid w:val="005566C0"/>
    <w:rsid w:val="00562847"/>
    <w:rsid w:val="0056430D"/>
    <w:rsid w:val="00565291"/>
    <w:rsid w:val="0058351E"/>
    <w:rsid w:val="005844FB"/>
    <w:rsid w:val="005957D3"/>
    <w:rsid w:val="00595A60"/>
    <w:rsid w:val="0059673C"/>
    <w:rsid w:val="005A5385"/>
    <w:rsid w:val="005A6DF3"/>
    <w:rsid w:val="005B3886"/>
    <w:rsid w:val="005B6848"/>
    <w:rsid w:val="005C0C3F"/>
    <w:rsid w:val="005C24EB"/>
    <w:rsid w:val="005C484E"/>
    <w:rsid w:val="005C7A38"/>
    <w:rsid w:val="005D14A1"/>
    <w:rsid w:val="005D5114"/>
    <w:rsid w:val="005F0C5E"/>
    <w:rsid w:val="005F5936"/>
    <w:rsid w:val="00601DC8"/>
    <w:rsid w:val="00602274"/>
    <w:rsid w:val="006070FB"/>
    <w:rsid w:val="00607614"/>
    <w:rsid w:val="00611335"/>
    <w:rsid w:val="006164E8"/>
    <w:rsid w:val="00622C8B"/>
    <w:rsid w:val="0062383B"/>
    <w:rsid w:val="00634FEF"/>
    <w:rsid w:val="00637A02"/>
    <w:rsid w:val="00645360"/>
    <w:rsid w:val="00654FD2"/>
    <w:rsid w:val="00656A8C"/>
    <w:rsid w:val="006577A4"/>
    <w:rsid w:val="0066329B"/>
    <w:rsid w:val="00664DEB"/>
    <w:rsid w:val="0067360C"/>
    <w:rsid w:val="006750B2"/>
    <w:rsid w:val="00675D09"/>
    <w:rsid w:val="00681707"/>
    <w:rsid w:val="00687322"/>
    <w:rsid w:val="006879D3"/>
    <w:rsid w:val="006979FF"/>
    <w:rsid w:val="006A2E80"/>
    <w:rsid w:val="006B1FC1"/>
    <w:rsid w:val="006B6A80"/>
    <w:rsid w:val="006B7ED2"/>
    <w:rsid w:val="006C137E"/>
    <w:rsid w:val="006C4F37"/>
    <w:rsid w:val="006C52FC"/>
    <w:rsid w:val="006D06A7"/>
    <w:rsid w:val="006D0DA1"/>
    <w:rsid w:val="006D1963"/>
    <w:rsid w:val="006D532A"/>
    <w:rsid w:val="006E660D"/>
    <w:rsid w:val="006F2B8A"/>
    <w:rsid w:val="00703C01"/>
    <w:rsid w:val="00707E30"/>
    <w:rsid w:val="007115F6"/>
    <w:rsid w:val="007331A1"/>
    <w:rsid w:val="007374C8"/>
    <w:rsid w:val="007413FD"/>
    <w:rsid w:val="00741D6D"/>
    <w:rsid w:val="0074503F"/>
    <w:rsid w:val="0075146E"/>
    <w:rsid w:val="007557BA"/>
    <w:rsid w:val="00770F26"/>
    <w:rsid w:val="00776C50"/>
    <w:rsid w:val="007774B7"/>
    <w:rsid w:val="0078783D"/>
    <w:rsid w:val="007908C8"/>
    <w:rsid w:val="00791BD8"/>
    <w:rsid w:val="007941E8"/>
    <w:rsid w:val="007A13B0"/>
    <w:rsid w:val="007C468E"/>
    <w:rsid w:val="007C70A9"/>
    <w:rsid w:val="007D197D"/>
    <w:rsid w:val="007D68FD"/>
    <w:rsid w:val="007E0CAD"/>
    <w:rsid w:val="007E1A05"/>
    <w:rsid w:val="007E2E08"/>
    <w:rsid w:val="007E6FA3"/>
    <w:rsid w:val="007F27DC"/>
    <w:rsid w:val="007F3921"/>
    <w:rsid w:val="00803776"/>
    <w:rsid w:val="00815482"/>
    <w:rsid w:val="00824C5C"/>
    <w:rsid w:val="00832835"/>
    <w:rsid w:val="00836952"/>
    <w:rsid w:val="00843BDE"/>
    <w:rsid w:val="00846610"/>
    <w:rsid w:val="00853D30"/>
    <w:rsid w:val="00857B34"/>
    <w:rsid w:val="00867D8E"/>
    <w:rsid w:val="008740E3"/>
    <w:rsid w:val="0087752A"/>
    <w:rsid w:val="00877AEF"/>
    <w:rsid w:val="00877FFE"/>
    <w:rsid w:val="00880AD6"/>
    <w:rsid w:val="00897A72"/>
    <w:rsid w:val="008A67DA"/>
    <w:rsid w:val="008A7A33"/>
    <w:rsid w:val="008B06DA"/>
    <w:rsid w:val="008B5FE5"/>
    <w:rsid w:val="008C13B6"/>
    <w:rsid w:val="008E322E"/>
    <w:rsid w:val="008E3760"/>
    <w:rsid w:val="008E4404"/>
    <w:rsid w:val="008E7C4B"/>
    <w:rsid w:val="008F6465"/>
    <w:rsid w:val="00900B12"/>
    <w:rsid w:val="00911E6B"/>
    <w:rsid w:val="00913FAB"/>
    <w:rsid w:val="009222D9"/>
    <w:rsid w:val="00923C50"/>
    <w:rsid w:val="00924593"/>
    <w:rsid w:val="009361ED"/>
    <w:rsid w:val="00952B42"/>
    <w:rsid w:val="00957560"/>
    <w:rsid w:val="00965C2C"/>
    <w:rsid w:val="00971D0D"/>
    <w:rsid w:val="00972F5C"/>
    <w:rsid w:val="0097347A"/>
    <w:rsid w:val="00974C09"/>
    <w:rsid w:val="00975ED5"/>
    <w:rsid w:val="009851C3"/>
    <w:rsid w:val="009A11ED"/>
    <w:rsid w:val="009C318F"/>
    <w:rsid w:val="009C714E"/>
    <w:rsid w:val="009C72D9"/>
    <w:rsid w:val="009E3F1A"/>
    <w:rsid w:val="009F3DAD"/>
    <w:rsid w:val="009F5F8B"/>
    <w:rsid w:val="009F6D81"/>
    <w:rsid w:val="00A01DC1"/>
    <w:rsid w:val="00A04E9F"/>
    <w:rsid w:val="00A131A7"/>
    <w:rsid w:val="00A140A2"/>
    <w:rsid w:val="00A16CB1"/>
    <w:rsid w:val="00A22BB4"/>
    <w:rsid w:val="00A369BB"/>
    <w:rsid w:val="00A4178E"/>
    <w:rsid w:val="00A46569"/>
    <w:rsid w:val="00A52888"/>
    <w:rsid w:val="00A66E2F"/>
    <w:rsid w:val="00A67103"/>
    <w:rsid w:val="00A7160A"/>
    <w:rsid w:val="00A8362D"/>
    <w:rsid w:val="00A8776A"/>
    <w:rsid w:val="00AD52BF"/>
    <w:rsid w:val="00AD5E53"/>
    <w:rsid w:val="00AD7148"/>
    <w:rsid w:val="00AE2533"/>
    <w:rsid w:val="00AF1018"/>
    <w:rsid w:val="00AF49F7"/>
    <w:rsid w:val="00B04340"/>
    <w:rsid w:val="00B1005C"/>
    <w:rsid w:val="00B21F29"/>
    <w:rsid w:val="00B223F6"/>
    <w:rsid w:val="00B26004"/>
    <w:rsid w:val="00B303C9"/>
    <w:rsid w:val="00B35683"/>
    <w:rsid w:val="00B37F70"/>
    <w:rsid w:val="00B549F6"/>
    <w:rsid w:val="00B67777"/>
    <w:rsid w:val="00B77617"/>
    <w:rsid w:val="00B80E5F"/>
    <w:rsid w:val="00BB5A8A"/>
    <w:rsid w:val="00BC7231"/>
    <w:rsid w:val="00BD6ED6"/>
    <w:rsid w:val="00BE0E2C"/>
    <w:rsid w:val="00BF0F29"/>
    <w:rsid w:val="00BF3D6E"/>
    <w:rsid w:val="00BF7B31"/>
    <w:rsid w:val="00BF7DD7"/>
    <w:rsid w:val="00C00B84"/>
    <w:rsid w:val="00C05FCA"/>
    <w:rsid w:val="00C133FE"/>
    <w:rsid w:val="00C13974"/>
    <w:rsid w:val="00C16123"/>
    <w:rsid w:val="00C22096"/>
    <w:rsid w:val="00C53B65"/>
    <w:rsid w:val="00C64A64"/>
    <w:rsid w:val="00C66A35"/>
    <w:rsid w:val="00C671EF"/>
    <w:rsid w:val="00C74D16"/>
    <w:rsid w:val="00C93319"/>
    <w:rsid w:val="00CA44DB"/>
    <w:rsid w:val="00CB14F3"/>
    <w:rsid w:val="00CB345F"/>
    <w:rsid w:val="00CC4676"/>
    <w:rsid w:val="00CD0319"/>
    <w:rsid w:val="00CD23AC"/>
    <w:rsid w:val="00CD249C"/>
    <w:rsid w:val="00CD2ED9"/>
    <w:rsid w:val="00CD79B0"/>
    <w:rsid w:val="00CE147A"/>
    <w:rsid w:val="00CF2A50"/>
    <w:rsid w:val="00CF3219"/>
    <w:rsid w:val="00CF59BC"/>
    <w:rsid w:val="00D010F9"/>
    <w:rsid w:val="00D01472"/>
    <w:rsid w:val="00D1037D"/>
    <w:rsid w:val="00D212A3"/>
    <w:rsid w:val="00D30400"/>
    <w:rsid w:val="00D33091"/>
    <w:rsid w:val="00D375FD"/>
    <w:rsid w:val="00D52620"/>
    <w:rsid w:val="00D55ADC"/>
    <w:rsid w:val="00D63EB3"/>
    <w:rsid w:val="00D728FB"/>
    <w:rsid w:val="00D75E2E"/>
    <w:rsid w:val="00D848E1"/>
    <w:rsid w:val="00D84D0D"/>
    <w:rsid w:val="00D872C7"/>
    <w:rsid w:val="00D90620"/>
    <w:rsid w:val="00D95472"/>
    <w:rsid w:val="00D97BC5"/>
    <w:rsid w:val="00DA01B0"/>
    <w:rsid w:val="00DB63DD"/>
    <w:rsid w:val="00DC225C"/>
    <w:rsid w:val="00DC3C10"/>
    <w:rsid w:val="00DF04E8"/>
    <w:rsid w:val="00DF6471"/>
    <w:rsid w:val="00E115C6"/>
    <w:rsid w:val="00E32988"/>
    <w:rsid w:val="00E3395D"/>
    <w:rsid w:val="00E37A93"/>
    <w:rsid w:val="00E47D2A"/>
    <w:rsid w:val="00E573C3"/>
    <w:rsid w:val="00E73DA3"/>
    <w:rsid w:val="00E821C5"/>
    <w:rsid w:val="00E83391"/>
    <w:rsid w:val="00E86640"/>
    <w:rsid w:val="00EA29CA"/>
    <w:rsid w:val="00EB1992"/>
    <w:rsid w:val="00EC256C"/>
    <w:rsid w:val="00EC2F83"/>
    <w:rsid w:val="00EC515B"/>
    <w:rsid w:val="00ED09C7"/>
    <w:rsid w:val="00ED1E38"/>
    <w:rsid w:val="00EE303D"/>
    <w:rsid w:val="00EE5D42"/>
    <w:rsid w:val="00EF0B0E"/>
    <w:rsid w:val="00F10326"/>
    <w:rsid w:val="00F1678B"/>
    <w:rsid w:val="00F344E6"/>
    <w:rsid w:val="00F41061"/>
    <w:rsid w:val="00F578A4"/>
    <w:rsid w:val="00F83CE2"/>
    <w:rsid w:val="00F9661A"/>
    <w:rsid w:val="00FA71FD"/>
    <w:rsid w:val="00FC00C7"/>
    <w:rsid w:val="00FC0E6D"/>
    <w:rsid w:val="00FC15AE"/>
    <w:rsid w:val="00FC48D2"/>
    <w:rsid w:val="00FD1811"/>
    <w:rsid w:val="00FD6EEA"/>
    <w:rsid w:val="00FE0A1C"/>
    <w:rsid w:val="00FE29E7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E5CD19"/>
  <w15:chartTrackingRefBased/>
  <w15:docId w15:val="{C6991556-16C5-4DF3-BC94-A7E4240B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0E2C"/>
    <w:pPr>
      <w:spacing w:line="360" w:lineRule="auto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E0E2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E0E2C"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uiPriority w:val="34"/>
    <w:qFormat/>
    <w:rsid w:val="005844F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redniecieniowanie1akcent11">
    <w:name w:val="Średnie cieniowanie 1 — akcent 11"/>
    <w:uiPriority w:val="99"/>
    <w:qFormat/>
    <w:rsid w:val="00E47D2A"/>
    <w:pPr>
      <w:jc w:val="both"/>
    </w:pPr>
    <w:rPr>
      <w:rFonts w:ascii="Arial" w:hAnsi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5F8B"/>
    <w:pPr>
      <w:spacing w:line="240" w:lineRule="auto"/>
      <w:jc w:val="left"/>
    </w:pPr>
    <w:rPr>
      <w:rFonts w:ascii="Calibri" w:eastAsia="Calibri" w:hAnsi="Calibri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9F5F8B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unhideWhenUsed/>
    <w:rsid w:val="009F5F8B"/>
    <w:rPr>
      <w:vertAlign w:val="superscript"/>
    </w:rPr>
  </w:style>
  <w:style w:type="character" w:styleId="Hipercze">
    <w:name w:val="Hyperlink"/>
    <w:uiPriority w:val="99"/>
    <w:unhideWhenUsed/>
    <w:rsid w:val="009F5F8B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913F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13FAB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F10326"/>
    <w:pPr>
      <w:spacing w:line="240" w:lineRule="auto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F10326"/>
    <w:rPr>
      <w:rFonts w:ascii="Consolas" w:eastAsia="Calibri" w:hAnsi="Consolas"/>
      <w:sz w:val="21"/>
      <w:szCs w:val="21"/>
      <w:lang w:eastAsia="en-US"/>
    </w:rPr>
  </w:style>
  <w:style w:type="character" w:styleId="Odwoaniedokomentarza">
    <w:name w:val="annotation reference"/>
    <w:rsid w:val="00C66A3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66A35"/>
    <w:rPr>
      <w:szCs w:val="20"/>
    </w:rPr>
  </w:style>
  <w:style w:type="character" w:customStyle="1" w:styleId="TekstkomentarzaZnak">
    <w:name w:val="Tekst komentarza Znak"/>
    <w:link w:val="Tekstkomentarza"/>
    <w:rsid w:val="00C66A3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C66A35"/>
    <w:rPr>
      <w:b/>
      <w:bCs/>
    </w:rPr>
  </w:style>
  <w:style w:type="character" w:customStyle="1" w:styleId="TematkomentarzaZnak">
    <w:name w:val="Temat komentarza Znak"/>
    <w:link w:val="Tematkomentarza"/>
    <w:rsid w:val="00C66A35"/>
    <w:rPr>
      <w:rFonts w:ascii="Arial" w:hAnsi="Arial"/>
      <w:b/>
      <w:bCs/>
    </w:rPr>
  </w:style>
  <w:style w:type="paragraph" w:customStyle="1" w:styleId="rednialista2akcent21">
    <w:name w:val="Średnia lista 2 — akcent 21"/>
    <w:hidden/>
    <w:uiPriority w:val="99"/>
    <w:semiHidden/>
    <w:rsid w:val="00C66A35"/>
    <w:rPr>
      <w:rFonts w:ascii="Arial" w:hAnsi="Arial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CD2ED9"/>
    <w:pPr>
      <w:spacing w:line="240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Lista2">
    <w:name w:val="List 2"/>
    <w:basedOn w:val="Normalny"/>
    <w:rsid w:val="00CD2ED9"/>
    <w:pPr>
      <w:ind w:left="566" w:hanging="283"/>
      <w:contextualSpacing/>
    </w:pPr>
  </w:style>
  <w:style w:type="paragraph" w:styleId="Zwrotgrzecznociowy">
    <w:name w:val="Salutation"/>
    <w:basedOn w:val="Normalny"/>
    <w:next w:val="Normalny"/>
    <w:link w:val="ZwrotgrzecznociowyZnak"/>
    <w:rsid w:val="00CD2ED9"/>
  </w:style>
  <w:style w:type="character" w:customStyle="1" w:styleId="ZwrotgrzecznociowyZnak">
    <w:name w:val="Zwrot grzecznościowy Znak"/>
    <w:link w:val="Zwrotgrzecznociowy"/>
    <w:rsid w:val="00CD2ED9"/>
    <w:rPr>
      <w:rFonts w:ascii="Arial" w:hAnsi="Arial"/>
      <w:szCs w:val="24"/>
    </w:rPr>
  </w:style>
  <w:style w:type="paragraph" w:styleId="Zwrotpoegnalny">
    <w:name w:val="Closing"/>
    <w:basedOn w:val="Normalny"/>
    <w:link w:val="ZwrotpoegnalnyZnak"/>
    <w:rsid w:val="00CD2ED9"/>
    <w:pPr>
      <w:ind w:left="4252"/>
    </w:pPr>
  </w:style>
  <w:style w:type="character" w:customStyle="1" w:styleId="ZwrotpoegnalnyZnak">
    <w:name w:val="Zwrot pożegnalny Znak"/>
    <w:link w:val="Zwrotpoegnalny"/>
    <w:rsid w:val="00CD2ED9"/>
    <w:rPr>
      <w:rFonts w:ascii="Arial" w:hAnsi="Arial"/>
      <w:szCs w:val="24"/>
    </w:rPr>
  </w:style>
  <w:style w:type="paragraph" w:styleId="Tekstpodstawowy">
    <w:name w:val="Body Text"/>
    <w:basedOn w:val="Normalny"/>
    <w:link w:val="TekstpodstawowyZnak"/>
    <w:rsid w:val="00CD2ED9"/>
    <w:pPr>
      <w:spacing w:after="120"/>
    </w:pPr>
  </w:style>
  <w:style w:type="character" w:customStyle="1" w:styleId="TekstpodstawowyZnak">
    <w:name w:val="Tekst podstawowy Znak"/>
    <w:link w:val="Tekstpodstawowy"/>
    <w:rsid w:val="00CD2ED9"/>
    <w:rPr>
      <w:rFonts w:ascii="Arial" w:hAnsi="Arial"/>
      <w:szCs w:val="24"/>
    </w:rPr>
  </w:style>
  <w:style w:type="paragraph" w:styleId="Tekstpodstawowywcity">
    <w:name w:val="Body Text Indent"/>
    <w:basedOn w:val="Normalny"/>
    <w:link w:val="TekstpodstawowywcityZnak"/>
    <w:rsid w:val="00CD2ED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D2ED9"/>
    <w:rPr>
      <w:rFonts w:ascii="Arial" w:hAnsi="Arial"/>
      <w:szCs w:val="24"/>
    </w:rPr>
  </w:style>
  <w:style w:type="paragraph" w:styleId="Tekstpodstawowyzwciciem">
    <w:name w:val="Body Text First Indent"/>
    <w:basedOn w:val="Tekstpodstawowy"/>
    <w:link w:val="TekstpodstawowyzwciciemZnak"/>
    <w:rsid w:val="00CD2ED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CD2ED9"/>
    <w:rPr>
      <w:rFonts w:ascii="Arial" w:hAnsi="Arial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CD2ED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D2ED9"/>
    <w:rPr>
      <w:rFonts w:ascii="Arial" w:hAnsi="Arial"/>
      <w:szCs w:val="24"/>
    </w:rPr>
  </w:style>
  <w:style w:type="character" w:customStyle="1" w:styleId="StopkaZnak">
    <w:name w:val="Stopka Znak"/>
    <w:link w:val="Stopka"/>
    <w:uiPriority w:val="99"/>
    <w:rsid w:val="002E53E1"/>
    <w:rPr>
      <w:rFonts w:ascii="Arial" w:hAnsi="Arial"/>
      <w:szCs w:val="24"/>
    </w:rPr>
  </w:style>
  <w:style w:type="character" w:customStyle="1" w:styleId="brand">
    <w:name w:val="brand"/>
    <w:rsid w:val="00B26004"/>
  </w:style>
  <w:style w:type="table" w:styleId="Tabela-Siatka">
    <w:name w:val="Table Grid"/>
    <w:basedOn w:val="Standardowy"/>
    <w:rsid w:val="00B22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3DBF"/>
    <w:rPr>
      <w:rFonts w:ascii="Arial" w:hAnsi="Arial"/>
      <w:szCs w:val="24"/>
    </w:rPr>
  </w:style>
  <w:style w:type="character" w:styleId="Pogrubienie">
    <w:name w:val="Strong"/>
    <w:basedOn w:val="Domylnaczcionkaakapitu"/>
    <w:uiPriority w:val="22"/>
    <w:qFormat/>
    <w:rsid w:val="008F64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8514c33-91dc-4c97-ac20-2a583a7261dd" xsi:nil="true"/>
    <TaxCatchAll xmlns="408c9692-8832-49c4-b90f-81225ff21b65" xsi:nil="true"/>
    <lcf76f155ced4ddcb4097134ff3c332f xmlns="28514c33-91dc-4c97-ac20-2a583a7261d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61E08BDE0922499C402CCD8960BEBA" ma:contentTypeVersion="18" ma:contentTypeDescription="Utwórz nowy dokument." ma:contentTypeScope="" ma:versionID="3146f11f0c29bddd47756910671bef01">
  <xsd:schema xmlns:xsd="http://www.w3.org/2001/XMLSchema" xmlns:xs="http://www.w3.org/2001/XMLSchema" xmlns:p="http://schemas.microsoft.com/office/2006/metadata/properties" xmlns:ns2="28514c33-91dc-4c97-ac20-2a583a7261dd" xmlns:ns3="408c9692-8832-49c4-b90f-81225ff21b65" targetNamespace="http://schemas.microsoft.com/office/2006/metadata/properties" ma:root="true" ma:fieldsID="69d9216fb57e4a30474ec7bff769fc6b" ns2:_="" ns3:_="">
    <xsd:import namespace="28514c33-91dc-4c97-ac20-2a583a7261dd"/>
    <xsd:import namespace="408c9692-8832-49c4-b90f-81225ff21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14c33-91dc-4c97-ac20-2a583a726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tan zatwierdzenia" ma:internalName="Stan_x0020_zatwierdzenia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6da6aaa5-771f-48d8-b32e-b5112a0761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c9692-8832-49c4-b90f-81225ff21b6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cf0be1d-d569-40aa-ad70-6eb128bbca68}" ma:internalName="TaxCatchAll" ma:showField="CatchAllData" ma:web="408c9692-8832-49c4-b90f-81225ff21b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D43FD75-3DB0-4479-90E3-EEB109096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2904D1-D0D4-427A-AE8C-ECEBC4FCD9F3}">
  <ds:schemaRefs>
    <ds:schemaRef ds:uri="http://schemas.microsoft.com/office/2006/metadata/properties"/>
    <ds:schemaRef ds:uri="http://schemas.microsoft.com/office/infopath/2007/PartnerControls"/>
    <ds:schemaRef ds:uri="28514c33-91dc-4c97-ac20-2a583a7261dd"/>
    <ds:schemaRef ds:uri="408c9692-8832-49c4-b90f-81225ff21b65"/>
  </ds:schemaRefs>
</ds:datastoreItem>
</file>

<file path=customXml/itemProps3.xml><?xml version="1.0" encoding="utf-8"?>
<ds:datastoreItem xmlns:ds="http://schemas.openxmlformats.org/officeDocument/2006/customXml" ds:itemID="{5A751536-FBC2-4F54-88D7-F2A650D7C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14c33-91dc-4c97-ac20-2a583a7261dd"/>
    <ds:schemaRef ds:uri="408c9692-8832-49c4-b90f-81225ff21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BD7A53-1D99-4900-9B7A-9B933DE83DD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42A4752-0061-4193-A250-8E992AFA797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993</Words>
  <Characters>6985</Characters>
  <Application>Microsoft Office Word</Application>
  <DocSecurity>4</DocSecurity>
  <Lines>58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Johnson &amp; Johnson</Company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Kowalski</dc:creator>
  <cp:keywords/>
  <cp:lastModifiedBy>Magdalena Romanowicz</cp:lastModifiedBy>
  <cp:revision>2</cp:revision>
  <cp:lastPrinted>2017-06-05T08:25:00Z</cp:lastPrinted>
  <dcterms:created xsi:type="dcterms:W3CDTF">2022-06-02T09:24:00Z</dcterms:created>
  <dcterms:modified xsi:type="dcterms:W3CDTF">2022-06-02T09:24:00Z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Anna Kacprzyk</vt:lpwstr>
  </property>
  <property fmtid="{D5CDD505-2E9C-101B-9397-08002B2CF9AE}" pid="3" name="Order">
    <vt:lpwstr>2160200.00000000</vt:lpwstr>
  </property>
  <property fmtid="{D5CDD505-2E9C-101B-9397-08002B2CF9AE}" pid="4" name="display_urn:schemas-microsoft-com:office:office#Author">
    <vt:lpwstr>Anna Kacprzyk</vt:lpwstr>
  </property>
  <property fmtid="{D5CDD505-2E9C-101B-9397-08002B2CF9AE}" pid="5" name="ContentTypeId">
    <vt:lpwstr>0x0101004C61E08BDE0922499C402CCD8960BEBA</vt:lpwstr>
  </property>
</Properties>
</file>