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A6AE" w14:textId="1BA156D4" w:rsidR="0030604F" w:rsidRPr="00520BB8" w:rsidRDefault="00497677" w:rsidP="0030604F">
      <w:pPr>
        <w:spacing w:after="200" w:line="276" w:lineRule="auto"/>
        <w:jc w:val="right"/>
        <w:rPr>
          <w:rFonts w:asciiTheme="minorHAnsi" w:eastAsia="MS Mincho" w:hAnsiTheme="minorHAnsi" w:cstheme="minorHAnsi"/>
          <w:sz w:val="22"/>
          <w:szCs w:val="22"/>
        </w:rPr>
      </w:pPr>
      <w:r>
        <w:rPr>
          <w:rFonts w:asciiTheme="minorHAnsi" w:eastAsia="MS Mincho" w:hAnsiTheme="minorHAnsi" w:cstheme="minorHAnsi"/>
          <w:sz w:val="22"/>
          <w:szCs w:val="22"/>
        </w:rPr>
        <w:t>ZPIFF/ 2022/71/ KPO</w:t>
      </w:r>
      <w:r>
        <w:rPr>
          <w:rFonts w:asciiTheme="minorHAnsi" w:eastAsia="MS Mincho" w:hAnsiTheme="minorHAnsi" w:cstheme="minorHAnsi"/>
          <w:sz w:val="22"/>
          <w:szCs w:val="22"/>
        </w:rPr>
        <w:tab/>
      </w:r>
      <w:r>
        <w:rPr>
          <w:rFonts w:asciiTheme="minorHAnsi" w:eastAsia="MS Mincho" w:hAnsiTheme="minorHAnsi" w:cstheme="minorHAnsi"/>
          <w:sz w:val="22"/>
          <w:szCs w:val="22"/>
        </w:rPr>
        <w:tab/>
      </w:r>
      <w:r w:rsidRPr="00520BB8">
        <w:rPr>
          <w:rFonts w:asciiTheme="minorHAnsi" w:eastAsia="MS Mincho" w:hAnsiTheme="minorHAnsi" w:cstheme="minorHAnsi"/>
          <w:sz w:val="22"/>
          <w:szCs w:val="22"/>
        </w:rPr>
        <w:tab/>
      </w:r>
      <w:r w:rsidRPr="00520BB8">
        <w:rPr>
          <w:rFonts w:asciiTheme="minorHAnsi" w:eastAsia="MS Mincho" w:hAnsiTheme="minorHAnsi" w:cstheme="minorHAnsi"/>
          <w:sz w:val="22"/>
          <w:szCs w:val="22"/>
        </w:rPr>
        <w:tab/>
      </w:r>
      <w:r w:rsidRPr="00520BB8">
        <w:rPr>
          <w:rFonts w:asciiTheme="minorHAnsi" w:eastAsia="MS Mincho" w:hAnsiTheme="minorHAnsi" w:cstheme="minorHAnsi"/>
          <w:sz w:val="22"/>
          <w:szCs w:val="22"/>
        </w:rPr>
        <w:tab/>
      </w:r>
      <w:r w:rsidRPr="00520BB8">
        <w:rPr>
          <w:rFonts w:asciiTheme="minorHAnsi" w:eastAsia="MS Mincho" w:hAnsiTheme="minorHAnsi" w:cstheme="minorHAnsi"/>
          <w:sz w:val="22"/>
          <w:szCs w:val="22"/>
        </w:rPr>
        <w:tab/>
      </w:r>
      <w:r w:rsidR="0030604F" w:rsidRPr="00520BB8">
        <w:rPr>
          <w:rFonts w:asciiTheme="minorHAnsi" w:eastAsia="MS Mincho" w:hAnsiTheme="minorHAnsi" w:cstheme="minorHAnsi"/>
          <w:sz w:val="22"/>
          <w:szCs w:val="22"/>
        </w:rPr>
        <w:t xml:space="preserve">Warszawa, dnia </w:t>
      </w:r>
      <w:r w:rsidR="001C71C6" w:rsidRPr="00520BB8">
        <w:rPr>
          <w:rFonts w:asciiTheme="minorHAnsi" w:eastAsia="MS Mincho" w:hAnsiTheme="minorHAnsi" w:cstheme="minorHAnsi"/>
          <w:sz w:val="22"/>
          <w:szCs w:val="22"/>
        </w:rPr>
        <w:t>25</w:t>
      </w:r>
      <w:r w:rsidR="0030604F" w:rsidRPr="00520BB8">
        <w:rPr>
          <w:rFonts w:asciiTheme="minorHAnsi" w:eastAsia="MS Mincho" w:hAnsiTheme="minorHAnsi" w:cstheme="minorHAnsi"/>
          <w:sz w:val="22"/>
          <w:szCs w:val="22"/>
        </w:rPr>
        <w:t xml:space="preserve"> </w:t>
      </w:r>
      <w:r w:rsidR="00A512F4" w:rsidRPr="00520BB8">
        <w:rPr>
          <w:rFonts w:asciiTheme="minorHAnsi" w:eastAsia="MS Mincho" w:hAnsiTheme="minorHAnsi" w:cstheme="minorHAnsi"/>
          <w:sz w:val="22"/>
          <w:szCs w:val="22"/>
        </w:rPr>
        <w:t>listopada</w:t>
      </w:r>
      <w:r w:rsidR="0030604F" w:rsidRPr="00520BB8">
        <w:rPr>
          <w:rFonts w:asciiTheme="minorHAnsi" w:eastAsia="MS Mincho" w:hAnsiTheme="minorHAnsi" w:cstheme="minorHAnsi"/>
          <w:sz w:val="22"/>
          <w:szCs w:val="22"/>
        </w:rPr>
        <w:t xml:space="preserve"> 2022 r</w:t>
      </w:r>
      <w:r w:rsidR="007D3C4E" w:rsidRPr="00520BB8">
        <w:rPr>
          <w:rFonts w:asciiTheme="minorHAnsi" w:eastAsia="MS Mincho" w:hAnsiTheme="minorHAnsi" w:cstheme="minorHAnsi"/>
          <w:sz w:val="22"/>
          <w:szCs w:val="22"/>
        </w:rPr>
        <w:t>.</w:t>
      </w:r>
    </w:p>
    <w:p w14:paraId="0C919930" w14:textId="77777777" w:rsidR="0030604F" w:rsidRPr="00520BB8" w:rsidRDefault="0030604F" w:rsidP="0030604F">
      <w:pPr>
        <w:spacing w:after="200" w:line="276" w:lineRule="auto"/>
        <w:jc w:val="right"/>
        <w:rPr>
          <w:rFonts w:asciiTheme="minorHAnsi" w:hAnsiTheme="minorHAnsi" w:cstheme="minorHAnsi"/>
        </w:rPr>
      </w:pPr>
    </w:p>
    <w:p w14:paraId="2423AC9D" w14:textId="04CE424A" w:rsidR="00416DCC" w:rsidRPr="00520BB8" w:rsidRDefault="00416DCC" w:rsidP="00416DCC">
      <w:pPr>
        <w:spacing w:after="200" w:line="276" w:lineRule="auto"/>
        <w:jc w:val="right"/>
        <w:rPr>
          <w:rFonts w:asciiTheme="minorHAnsi" w:eastAsia="MS Mincho" w:hAnsiTheme="minorHAnsi" w:cstheme="minorHAnsi"/>
          <w:sz w:val="22"/>
          <w:szCs w:val="22"/>
        </w:rPr>
      </w:pPr>
      <w:r w:rsidRPr="00520BB8">
        <w:rPr>
          <w:rFonts w:asciiTheme="minorHAnsi" w:eastAsia="MS Mincho" w:hAnsiTheme="minorHAnsi" w:cstheme="minorHAnsi"/>
          <w:sz w:val="22"/>
          <w:szCs w:val="22"/>
        </w:rPr>
        <w:t>Minister Zdrowia</w:t>
      </w:r>
    </w:p>
    <w:p w14:paraId="51557BCA" w14:textId="29FC2DA7" w:rsidR="00416DCC" w:rsidRPr="00520BB8" w:rsidRDefault="00416DCC" w:rsidP="00416DCC">
      <w:pPr>
        <w:spacing w:after="200" w:line="276" w:lineRule="auto"/>
        <w:jc w:val="right"/>
        <w:rPr>
          <w:rFonts w:asciiTheme="minorHAnsi" w:eastAsia="MS Mincho" w:hAnsiTheme="minorHAnsi" w:cstheme="minorHAnsi"/>
          <w:sz w:val="22"/>
          <w:szCs w:val="22"/>
        </w:rPr>
      </w:pPr>
      <w:r w:rsidRPr="00520BB8">
        <w:rPr>
          <w:rFonts w:asciiTheme="minorHAnsi" w:eastAsia="MS Mincho" w:hAnsiTheme="minorHAnsi" w:cstheme="minorHAnsi"/>
          <w:sz w:val="22"/>
          <w:szCs w:val="22"/>
        </w:rPr>
        <w:t>Pan Adam Niedzielski</w:t>
      </w:r>
    </w:p>
    <w:p w14:paraId="2829C2E7" w14:textId="7913D2F8" w:rsidR="0036343C" w:rsidRPr="00520BB8" w:rsidRDefault="0030604F" w:rsidP="00416DCC">
      <w:pPr>
        <w:spacing w:after="200" w:line="276" w:lineRule="auto"/>
        <w:jc w:val="right"/>
        <w:rPr>
          <w:rFonts w:asciiTheme="minorHAnsi" w:eastAsia="MS Mincho" w:hAnsiTheme="minorHAnsi" w:cstheme="minorHAnsi"/>
          <w:sz w:val="22"/>
          <w:szCs w:val="22"/>
        </w:rPr>
      </w:pPr>
      <w:r w:rsidRPr="00520BB8">
        <w:rPr>
          <w:rFonts w:asciiTheme="minorHAnsi" w:eastAsia="MS Mincho" w:hAnsiTheme="minorHAnsi" w:cstheme="minorHAnsi"/>
          <w:sz w:val="22"/>
          <w:szCs w:val="22"/>
        </w:rPr>
        <w:t>Główny Inspektor Farmaceutyczny</w:t>
      </w:r>
    </w:p>
    <w:p w14:paraId="7178CA75" w14:textId="70A76134" w:rsidR="0030604F" w:rsidRPr="00520BB8" w:rsidRDefault="00416DCC" w:rsidP="00416DCC">
      <w:pPr>
        <w:spacing w:after="200" w:line="276" w:lineRule="auto"/>
        <w:jc w:val="right"/>
        <w:rPr>
          <w:rFonts w:asciiTheme="minorHAnsi" w:eastAsia="MS Mincho" w:hAnsiTheme="minorHAnsi" w:cstheme="minorHAnsi"/>
          <w:sz w:val="22"/>
          <w:szCs w:val="22"/>
        </w:rPr>
      </w:pPr>
      <w:r w:rsidRPr="00520BB8">
        <w:rPr>
          <w:rFonts w:asciiTheme="minorHAnsi" w:eastAsia="MS Mincho" w:hAnsiTheme="minorHAnsi" w:cstheme="minorHAnsi"/>
          <w:sz w:val="22"/>
          <w:szCs w:val="22"/>
        </w:rPr>
        <w:t xml:space="preserve">Pani </w:t>
      </w:r>
      <w:r w:rsidR="0030604F" w:rsidRPr="00520BB8">
        <w:rPr>
          <w:rFonts w:asciiTheme="minorHAnsi" w:eastAsia="MS Mincho" w:hAnsiTheme="minorHAnsi" w:cstheme="minorHAnsi"/>
          <w:sz w:val="22"/>
          <w:szCs w:val="22"/>
        </w:rPr>
        <w:t>Ewa Krajewska</w:t>
      </w:r>
    </w:p>
    <w:p w14:paraId="251C5561" w14:textId="77777777" w:rsidR="00E679CA" w:rsidRPr="00520BB8" w:rsidRDefault="00E679CA" w:rsidP="0030604F">
      <w:pPr>
        <w:spacing w:after="200" w:line="276" w:lineRule="auto"/>
        <w:jc w:val="right"/>
        <w:rPr>
          <w:rFonts w:asciiTheme="minorHAnsi" w:hAnsiTheme="minorHAnsi" w:cstheme="minorHAnsi"/>
        </w:rPr>
      </w:pPr>
    </w:p>
    <w:p w14:paraId="42C17A8A" w14:textId="1386C79E" w:rsidR="0030604F" w:rsidRPr="00520BB8" w:rsidRDefault="0030604F" w:rsidP="0030604F">
      <w:pPr>
        <w:spacing w:after="200" w:line="276" w:lineRule="auto"/>
        <w:rPr>
          <w:rFonts w:asciiTheme="minorHAnsi" w:hAnsiTheme="minorHAnsi" w:cstheme="minorHAnsi"/>
        </w:rPr>
      </w:pPr>
    </w:p>
    <w:p w14:paraId="2E062F2B" w14:textId="27A7A7BE" w:rsidR="0030604F" w:rsidRPr="00520BB8" w:rsidRDefault="0030604F" w:rsidP="00D747AA">
      <w:pPr>
        <w:spacing w:after="200" w:line="276" w:lineRule="auto"/>
        <w:rPr>
          <w:rFonts w:asciiTheme="minorHAnsi" w:eastAsia="MS Mincho" w:hAnsiTheme="minorHAnsi" w:cstheme="minorHAnsi"/>
          <w:sz w:val="22"/>
          <w:szCs w:val="22"/>
        </w:rPr>
      </w:pPr>
      <w:r w:rsidRPr="00520BB8">
        <w:rPr>
          <w:rFonts w:asciiTheme="minorHAnsi" w:eastAsia="MS Mincho" w:hAnsiTheme="minorHAnsi" w:cstheme="minorHAnsi"/>
          <w:b/>
          <w:bCs/>
          <w:sz w:val="22"/>
          <w:szCs w:val="22"/>
        </w:rPr>
        <w:t>dot.</w:t>
      </w:r>
      <w:r w:rsidRPr="00520BB8">
        <w:rPr>
          <w:rFonts w:asciiTheme="minorHAnsi" w:eastAsia="MS Mincho" w:hAnsiTheme="minorHAnsi" w:cstheme="minorHAnsi"/>
          <w:sz w:val="22"/>
          <w:szCs w:val="22"/>
        </w:rPr>
        <w:t xml:space="preserve"> projektu </w:t>
      </w:r>
      <w:r w:rsidR="00D747AA" w:rsidRPr="00520BB8">
        <w:rPr>
          <w:rFonts w:asciiTheme="minorHAnsi" w:eastAsia="MS Mincho" w:hAnsiTheme="minorHAnsi" w:cstheme="minorHAnsi"/>
          <w:sz w:val="22"/>
          <w:szCs w:val="22"/>
        </w:rPr>
        <w:t>ustawy o zmianie ustawy – Prawo farmaceutyczne oraz niektórych innych ustaw</w:t>
      </w:r>
      <w:r w:rsidR="00D747AA" w:rsidRPr="00520BB8">
        <w:rPr>
          <w:rFonts w:asciiTheme="minorHAnsi" w:hAnsiTheme="minorHAnsi" w:cstheme="minorHAnsi"/>
          <w:sz w:val="22"/>
          <w:szCs w:val="22"/>
        </w:rPr>
        <w:t xml:space="preserve"> (UD</w:t>
      </w:r>
      <w:r w:rsidR="007952EA" w:rsidRPr="00520BB8">
        <w:rPr>
          <w:rFonts w:asciiTheme="minorHAnsi" w:hAnsiTheme="minorHAnsi" w:cstheme="minorHAnsi"/>
          <w:sz w:val="22"/>
          <w:szCs w:val="22"/>
        </w:rPr>
        <w:t xml:space="preserve"> </w:t>
      </w:r>
      <w:r w:rsidR="00D747AA" w:rsidRPr="00520BB8">
        <w:rPr>
          <w:rFonts w:asciiTheme="minorHAnsi" w:hAnsiTheme="minorHAnsi" w:cstheme="minorHAnsi"/>
          <w:sz w:val="22"/>
          <w:szCs w:val="22"/>
        </w:rPr>
        <w:t>442</w:t>
      </w:r>
      <w:r w:rsidR="00D747AA" w:rsidRPr="00520BB8">
        <w:rPr>
          <w:rFonts w:asciiTheme="minorHAnsi" w:eastAsia="MS Mincho" w:hAnsiTheme="minorHAnsi" w:cstheme="minorHAnsi"/>
          <w:sz w:val="22"/>
          <w:szCs w:val="22"/>
        </w:rPr>
        <w:t>)</w:t>
      </w:r>
    </w:p>
    <w:p w14:paraId="34A4B6D1" w14:textId="7313072E" w:rsidR="0030604F" w:rsidRPr="00520BB8" w:rsidRDefault="0030604F" w:rsidP="0030604F">
      <w:pPr>
        <w:spacing w:after="200" w:line="276" w:lineRule="auto"/>
        <w:rPr>
          <w:rFonts w:asciiTheme="minorHAnsi" w:eastAsia="MS Mincho" w:hAnsiTheme="minorHAnsi" w:cstheme="minorHAnsi"/>
          <w:sz w:val="22"/>
          <w:szCs w:val="22"/>
        </w:rPr>
      </w:pPr>
    </w:p>
    <w:p w14:paraId="3C0763ED" w14:textId="623522F2" w:rsidR="0030604F" w:rsidRPr="00520BB8" w:rsidRDefault="0030604F" w:rsidP="0030604F">
      <w:pPr>
        <w:spacing w:after="200" w:line="276" w:lineRule="auto"/>
        <w:rPr>
          <w:rFonts w:asciiTheme="minorHAnsi" w:eastAsia="MS Mincho" w:hAnsiTheme="minorHAnsi" w:cstheme="minorHAnsi"/>
          <w:sz w:val="22"/>
          <w:szCs w:val="22"/>
        </w:rPr>
      </w:pPr>
      <w:r w:rsidRPr="00520BB8">
        <w:rPr>
          <w:rFonts w:asciiTheme="minorHAnsi" w:eastAsia="MS Mincho" w:hAnsiTheme="minorHAnsi" w:cstheme="minorHAnsi"/>
          <w:sz w:val="22"/>
          <w:szCs w:val="22"/>
        </w:rPr>
        <w:t xml:space="preserve">Szanowni Państwo, </w:t>
      </w:r>
    </w:p>
    <w:p w14:paraId="62152B03" w14:textId="5D255A0A" w:rsidR="0030604F" w:rsidRPr="00520BB8" w:rsidRDefault="0030604F" w:rsidP="0030604F">
      <w:pPr>
        <w:spacing w:after="200" w:line="276" w:lineRule="auto"/>
        <w:rPr>
          <w:rFonts w:asciiTheme="minorHAnsi" w:eastAsia="MS Mincho" w:hAnsiTheme="minorHAnsi" w:cstheme="minorHAnsi"/>
          <w:sz w:val="22"/>
          <w:szCs w:val="22"/>
        </w:rPr>
      </w:pPr>
      <w:r w:rsidRPr="00520BB8">
        <w:rPr>
          <w:rFonts w:asciiTheme="minorHAnsi" w:eastAsia="MS Mincho" w:hAnsiTheme="minorHAnsi" w:cstheme="minorHAnsi"/>
          <w:sz w:val="22"/>
          <w:szCs w:val="22"/>
        </w:rPr>
        <w:t>działając w imieniu Związku Pracodawców Innowacyjnych Firm Farmaceutycznych „INFARMA”; (dalej jako: „</w:t>
      </w:r>
      <w:r w:rsidRPr="00520BB8">
        <w:rPr>
          <w:rFonts w:asciiTheme="minorHAnsi" w:eastAsia="MS Mincho" w:hAnsiTheme="minorHAnsi" w:cstheme="minorHAnsi"/>
          <w:b/>
          <w:bCs/>
          <w:sz w:val="22"/>
          <w:szCs w:val="22"/>
        </w:rPr>
        <w:t>INFARMA</w:t>
      </w:r>
      <w:r w:rsidRPr="00520BB8">
        <w:rPr>
          <w:rFonts w:asciiTheme="minorHAnsi" w:eastAsia="MS Mincho" w:hAnsiTheme="minorHAnsi" w:cstheme="minorHAnsi"/>
          <w:sz w:val="22"/>
          <w:szCs w:val="22"/>
        </w:rPr>
        <w:t>”), w nawiązaniu do projekt</w:t>
      </w:r>
      <w:r w:rsidR="00630D45" w:rsidRPr="00520BB8">
        <w:rPr>
          <w:rFonts w:asciiTheme="minorHAnsi" w:eastAsia="MS Mincho" w:hAnsiTheme="minorHAnsi" w:cstheme="minorHAnsi"/>
          <w:sz w:val="22"/>
          <w:szCs w:val="22"/>
        </w:rPr>
        <w:t>u</w:t>
      </w:r>
      <w:r w:rsidRPr="00520BB8">
        <w:rPr>
          <w:rFonts w:asciiTheme="minorHAnsi" w:eastAsia="MS Mincho" w:hAnsiTheme="minorHAnsi" w:cstheme="minorHAnsi"/>
          <w:sz w:val="22"/>
          <w:szCs w:val="22"/>
        </w:rPr>
        <w:t xml:space="preserve"> </w:t>
      </w:r>
      <w:r w:rsidR="0086236A" w:rsidRPr="00520BB8">
        <w:rPr>
          <w:rFonts w:asciiTheme="minorHAnsi" w:eastAsia="MS Mincho" w:hAnsiTheme="minorHAnsi" w:cstheme="minorHAnsi"/>
          <w:sz w:val="22"/>
          <w:szCs w:val="22"/>
        </w:rPr>
        <w:t>ustawy o zmianie ustawy – Prawo farmaceutyczne oraz niektórych innych ustaw</w:t>
      </w:r>
      <w:r w:rsidRPr="00520BB8">
        <w:rPr>
          <w:rFonts w:asciiTheme="minorHAnsi" w:eastAsia="MS Mincho" w:hAnsiTheme="minorHAnsi" w:cstheme="minorHAnsi"/>
          <w:sz w:val="22"/>
          <w:szCs w:val="22"/>
        </w:rPr>
        <w:t xml:space="preserve"> (dalej jako: „Projekt”), w załączeniu przedstawiamy uwagi INFARMA do Projektu.</w:t>
      </w:r>
    </w:p>
    <w:p w14:paraId="42CECCF8" w14:textId="77777777" w:rsidR="001C71C6" w:rsidRPr="00520BB8" w:rsidRDefault="0030604F" w:rsidP="0030604F">
      <w:pPr>
        <w:spacing w:after="200" w:line="276" w:lineRule="auto"/>
        <w:rPr>
          <w:rFonts w:asciiTheme="minorHAnsi" w:eastAsia="MS Mincho" w:hAnsiTheme="minorHAnsi" w:cstheme="minorHAnsi"/>
          <w:sz w:val="22"/>
          <w:szCs w:val="22"/>
        </w:rPr>
      </w:pPr>
      <w:r w:rsidRPr="00520BB8">
        <w:rPr>
          <w:rFonts w:asciiTheme="minorHAnsi" w:eastAsia="MS Mincho" w:hAnsiTheme="minorHAnsi" w:cstheme="minorHAnsi"/>
          <w:sz w:val="22"/>
          <w:szCs w:val="22"/>
        </w:rPr>
        <w:t>Zwracamy się z uprzejmą prośbą o uwzględnienie w wyżej wymienionym Projekcie przedstawion</w:t>
      </w:r>
      <w:r w:rsidR="00A42CEF" w:rsidRPr="00520BB8">
        <w:rPr>
          <w:rFonts w:asciiTheme="minorHAnsi" w:eastAsia="MS Mincho" w:hAnsiTheme="minorHAnsi" w:cstheme="minorHAnsi"/>
          <w:sz w:val="22"/>
          <w:szCs w:val="22"/>
        </w:rPr>
        <w:t>ych</w:t>
      </w:r>
      <w:r w:rsidRPr="00520BB8">
        <w:rPr>
          <w:rFonts w:asciiTheme="minorHAnsi" w:eastAsia="MS Mincho" w:hAnsiTheme="minorHAnsi" w:cstheme="minorHAnsi"/>
          <w:sz w:val="22"/>
          <w:szCs w:val="22"/>
        </w:rPr>
        <w:t xml:space="preserve"> </w:t>
      </w:r>
      <w:r w:rsidR="009255BD" w:rsidRPr="00520BB8">
        <w:rPr>
          <w:rFonts w:asciiTheme="minorHAnsi" w:eastAsia="MS Mincho" w:hAnsiTheme="minorHAnsi" w:cstheme="minorHAnsi"/>
          <w:sz w:val="22"/>
          <w:szCs w:val="22"/>
        </w:rPr>
        <w:t xml:space="preserve">w załączeniu </w:t>
      </w:r>
      <w:r w:rsidRPr="00520BB8">
        <w:rPr>
          <w:rFonts w:asciiTheme="minorHAnsi" w:eastAsia="MS Mincho" w:hAnsiTheme="minorHAnsi" w:cstheme="minorHAnsi"/>
          <w:sz w:val="22"/>
          <w:szCs w:val="22"/>
        </w:rPr>
        <w:t>propozycji, poniewa</w:t>
      </w:r>
      <w:r w:rsidR="004E53D3" w:rsidRPr="00520BB8">
        <w:rPr>
          <w:rFonts w:asciiTheme="minorHAnsi" w:eastAsia="MS Mincho" w:hAnsiTheme="minorHAnsi" w:cstheme="minorHAnsi"/>
          <w:sz w:val="22"/>
          <w:szCs w:val="22"/>
        </w:rPr>
        <w:t xml:space="preserve">ż pozytywnie wpłynie </w:t>
      </w:r>
      <w:r w:rsidR="00A42CEF" w:rsidRPr="00520BB8">
        <w:rPr>
          <w:rFonts w:asciiTheme="minorHAnsi" w:eastAsia="MS Mincho" w:hAnsiTheme="minorHAnsi" w:cstheme="minorHAnsi"/>
          <w:sz w:val="22"/>
          <w:szCs w:val="22"/>
        </w:rPr>
        <w:t>to</w:t>
      </w:r>
      <w:r w:rsidR="004E53D3" w:rsidRPr="00520BB8">
        <w:rPr>
          <w:rFonts w:asciiTheme="minorHAnsi" w:eastAsia="MS Mincho" w:hAnsiTheme="minorHAnsi" w:cstheme="minorHAnsi"/>
          <w:sz w:val="22"/>
          <w:szCs w:val="22"/>
        </w:rPr>
        <w:t xml:space="preserve"> na realizację założeń </w:t>
      </w:r>
      <w:r w:rsidR="00A42CEF" w:rsidRPr="00520BB8">
        <w:rPr>
          <w:rFonts w:asciiTheme="minorHAnsi" w:eastAsia="MS Mincho" w:hAnsiTheme="minorHAnsi" w:cstheme="minorHAnsi"/>
          <w:sz w:val="22"/>
          <w:szCs w:val="22"/>
        </w:rPr>
        <w:t xml:space="preserve">Projektu </w:t>
      </w:r>
      <w:r w:rsidR="004E53D3" w:rsidRPr="00520BB8">
        <w:rPr>
          <w:rFonts w:asciiTheme="minorHAnsi" w:eastAsia="MS Mincho" w:hAnsiTheme="minorHAnsi" w:cstheme="minorHAnsi"/>
          <w:sz w:val="22"/>
          <w:szCs w:val="22"/>
        </w:rPr>
        <w:t>przy jednoczesn</w:t>
      </w:r>
      <w:r w:rsidR="007D0C1D" w:rsidRPr="00520BB8">
        <w:rPr>
          <w:rFonts w:asciiTheme="minorHAnsi" w:eastAsia="MS Mincho" w:hAnsiTheme="minorHAnsi" w:cstheme="minorHAnsi"/>
          <w:sz w:val="22"/>
          <w:szCs w:val="22"/>
        </w:rPr>
        <w:t>ym poszanowaniu interesów przedsiębiorców</w:t>
      </w:r>
      <w:r w:rsidRPr="00520BB8">
        <w:rPr>
          <w:rFonts w:asciiTheme="minorHAnsi" w:eastAsia="MS Mincho" w:hAnsiTheme="minorHAnsi" w:cstheme="minorHAnsi"/>
          <w:sz w:val="22"/>
          <w:szCs w:val="22"/>
        </w:rPr>
        <w:t xml:space="preserve">. </w:t>
      </w:r>
    </w:p>
    <w:p w14:paraId="3CA8726E" w14:textId="77777777" w:rsidR="001C71C6" w:rsidRPr="00520BB8" w:rsidRDefault="001C71C6" w:rsidP="0030604F">
      <w:pPr>
        <w:spacing w:after="200" w:line="276" w:lineRule="auto"/>
        <w:rPr>
          <w:rFonts w:asciiTheme="minorHAnsi" w:eastAsia="MS Mincho" w:hAnsiTheme="minorHAnsi" w:cstheme="minorHAnsi"/>
          <w:sz w:val="22"/>
          <w:szCs w:val="22"/>
        </w:rPr>
      </w:pPr>
    </w:p>
    <w:p w14:paraId="5625D2B7" w14:textId="08AA5422" w:rsidR="0030604F" w:rsidRPr="00520BB8" w:rsidRDefault="0030604F" w:rsidP="0030604F">
      <w:pPr>
        <w:spacing w:after="200" w:line="276" w:lineRule="auto"/>
        <w:rPr>
          <w:rFonts w:asciiTheme="minorHAnsi" w:eastAsia="MS Mincho" w:hAnsiTheme="minorHAnsi" w:cstheme="minorHAnsi"/>
          <w:sz w:val="22"/>
          <w:szCs w:val="22"/>
        </w:rPr>
      </w:pPr>
      <w:r w:rsidRPr="00520BB8">
        <w:rPr>
          <w:rFonts w:asciiTheme="minorHAnsi" w:eastAsia="MS Mincho" w:hAnsiTheme="minorHAnsi" w:cstheme="minorHAnsi"/>
          <w:sz w:val="22"/>
          <w:szCs w:val="22"/>
        </w:rPr>
        <w:t>W razie konieczności przedstawienia bardziej szczegółowych informacji pozostajemy do</w:t>
      </w:r>
      <w:r w:rsidR="00E679CA" w:rsidRPr="00520BB8">
        <w:rPr>
          <w:rFonts w:asciiTheme="minorHAnsi" w:eastAsia="MS Mincho" w:hAnsiTheme="minorHAnsi" w:cstheme="minorHAnsi"/>
          <w:sz w:val="22"/>
          <w:szCs w:val="22"/>
        </w:rPr>
        <w:t xml:space="preserve"> Państwa</w:t>
      </w:r>
      <w:r w:rsidRPr="00520BB8">
        <w:rPr>
          <w:rFonts w:asciiTheme="minorHAnsi" w:eastAsia="MS Mincho" w:hAnsiTheme="minorHAnsi" w:cstheme="minorHAnsi"/>
          <w:sz w:val="22"/>
          <w:szCs w:val="22"/>
        </w:rPr>
        <w:t xml:space="preserve"> dyspozycji</w:t>
      </w:r>
      <w:r w:rsidR="001C71C6" w:rsidRPr="00520BB8">
        <w:rPr>
          <w:rFonts w:asciiTheme="minorHAnsi" w:eastAsia="MS Mincho" w:hAnsiTheme="minorHAnsi" w:cstheme="minorHAnsi"/>
          <w:sz w:val="22"/>
          <w:szCs w:val="22"/>
        </w:rPr>
        <w:t>, chętnie odpowiemy na pytania.</w:t>
      </w:r>
    </w:p>
    <w:p w14:paraId="10C5297A" w14:textId="77777777" w:rsidR="0030604F" w:rsidRPr="00520BB8" w:rsidRDefault="0030604F" w:rsidP="0030604F">
      <w:pPr>
        <w:spacing w:after="200" w:line="276" w:lineRule="auto"/>
        <w:rPr>
          <w:rFonts w:asciiTheme="minorHAnsi" w:eastAsia="MS Mincho" w:hAnsiTheme="minorHAnsi" w:cstheme="minorHAnsi"/>
          <w:sz w:val="22"/>
          <w:szCs w:val="22"/>
        </w:rPr>
      </w:pPr>
    </w:p>
    <w:p w14:paraId="76D4F22D" w14:textId="0F0E9B13" w:rsidR="0030604F" w:rsidRPr="00520BB8" w:rsidRDefault="0030604F" w:rsidP="00497677">
      <w:pPr>
        <w:spacing w:after="200" w:line="276" w:lineRule="auto"/>
        <w:ind w:left="4248" w:firstLine="708"/>
        <w:rPr>
          <w:rFonts w:asciiTheme="minorHAnsi" w:eastAsia="MS Mincho" w:hAnsiTheme="minorHAnsi" w:cstheme="minorHAnsi"/>
          <w:sz w:val="22"/>
          <w:szCs w:val="22"/>
        </w:rPr>
      </w:pPr>
      <w:r w:rsidRPr="00520BB8">
        <w:rPr>
          <w:rFonts w:asciiTheme="minorHAnsi" w:eastAsia="MS Mincho" w:hAnsiTheme="minorHAnsi" w:cstheme="minorHAnsi"/>
          <w:sz w:val="22"/>
          <w:szCs w:val="22"/>
        </w:rPr>
        <w:t>Z wyrazami szacunku,</w:t>
      </w:r>
    </w:p>
    <w:p w14:paraId="3E5FED36" w14:textId="0737CBE8" w:rsidR="0030604F" w:rsidRPr="00520BB8" w:rsidRDefault="0030604F" w:rsidP="00497677">
      <w:pPr>
        <w:spacing w:after="200" w:line="276" w:lineRule="auto"/>
        <w:ind w:left="4956"/>
        <w:rPr>
          <w:rFonts w:asciiTheme="minorHAnsi" w:eastAsia="MS Mincho" w:hAnsiTheme="minorHAnsi" w:cstheme="minorHAnsi"/>
          <w:sz w:val="22"/>
          <w:szCs w:val="22"/>
        </w:rPr>
      </w:pPr>
    </w:p>
    <w:p w14:paraId="6220C577" w14:textId="77777777" w:rsidR="00497677" w:rsidRPr="00520BB8" w:rsidRDefault="00497677" w:rsidP="00497677">
      <w:pPr>
        <w:ind w:left="4956"/>
        <w:rPr>
          <w:rFonts w:ascii="Times New Roman" w:hAnsi="Times New Roman"/>
          <w:sz w:val="22"/>
          <w:szCs w:val="22"/>
        </w:rPr>
      </w:pPr>
      <w:r w:rsidRPr="00520BB8">
        <w:rPr>
          <w:rFonts w:ascii="Times New Roman" w:hAnsi="Times New Roman"/>
          <w:sz w:val="22"/>
          <w:szCs w:val="22"/>
        </w:rPr>
        <w:t>Michał Byliniak</w:t>
      </w:r>
    </w:p>
    <w:p w14:paraId="1E445919" w14:textId="77777777" w:rsidR="00497677" w:rsidRPr="00520BB8" w:rsidRDefault="00497677" w:rsidP="00497677">
      <w:pPr>
        <w:ind w:left="4956"/>
        <w:rPr>
          <w:rFonts w:ascii="Times New Roman" w:hAnsi="Times New Roman"/>
          <w:sz w:val="22"/>
          <w:szCs w:val="22"/>
        </w:rPr>
      </w:pPr>
      <w:r w:rsidRPr="00520BB8">
        <w:rPr>
          <w:rFonts w:ascii="Times New Roman" w:hAnsi="Times New Roman"/>
          <w:sz w:val="22"/>
          <w:szCs w:val="22"/>
        </w:rPr>
        <w:t>Dyrektor Generalny INFARMY</w:t>
      </w:r>
    </w:p>
    <w:p w14:paraId="7B2A8F95" w14:textId="09AD8DAC" w:rsidR="0030604F" w:rsidRPr="00520BB8" w:rsidRDefault="0030604F" w:rsidP="0030604F">
      <w:pPr>
        <w:rPr>
          <w:rFonts w:asciiTheme="minorHAnsi" w:hAnsiTheme="minorHAnsi" w:cstheme="minorHAnsi"/>
        </w:rPr>
      </w:pPr>
    </w:p>
    <w:p w14:paraId="2B8A9B0C" w14:textId="6A48963B" w:rsidR="0030604F" w:rsidRDefault="0030604F" w:rsidP="0030604F">
      <w:pPr>
        <w:spacing w:after="200" w:line="276" w:lineRule="auto"/>
        <w:rPr>
          <w:rFonts w:asciiTheme="minorHAnsi" w:eastAsia="MS Mincho" w:hAnsiTheme="minorHAnsi" w:cstheme="minorHAnsi"/>
          <w:sz w:val="22"/>
          <w:szCs w:val="22"/>
        </w:rPr>
      </w:pPr>
    </w:p>
    <w:p w14:paraId="7DB83C3B" w14:textId="77777777" w:rsidR="0007785A" w:rsidRPr="00520BB8" w:rsidRDefault="0007785A" w:rsidP="0030604F">
      <w:pPr>
        <w:spacing w:after="200" w:line="276" w:lineRule="auto"/>
        <w:rPr>
          <w:rFonts w:asciiTheme="minorHAnsi" w:eastAsia="MS Mincho" w:hAnsiTheme="minorHAnsi" w:cstheme="minorHAnsi"/>
          <w:sz w:val="22"/>
          <w:szCs w:val="22"/>
        </w:rPr>
      </w:pPr>
    </w:p>
    <w:p w14:paraId="4ED90676" w14:textId="6585C13E" w:rsidR="007B6BB9" w:rsidRPr="00520BB8" w:rsidRDefault="007B6BB9" w:rsidP="0030604F">
      <w:pPr>
        <w:spacing w:after="200" w:line="276" w:lineRule="auto"/>
        <w:rPr>
          <w:rFonts w:asciiTheme="minorHAnsi" w:eastAsia="MS Mincho" w:hAnsiTheme="minorHAnsi" w:cstheme="minorHAnsi"/>
          <w:sz w:val="22"/>
          <w:szCs w:val="22"/>
        </w:rPr>
      </w:pPr>
      <w:r w:rsidRPr="00520BB8">
        <w:rPr>
          <w:rFonts w:asciiTheme="minorHAnsi" w:eastAsia="MS Mincho" w:hAnsiTheme="minorHAnsi" w:cstheme="minorHAnsi"/>
          <w:sz w:val="22"/>
          <w:szCs w:val="22"/>
        </w:rPr>
        <w:lastRenderedPageBreak/>
        <w:t>Załącznik:</w:t>
      </w:r>
    </w:p>
    <w:p w14:paraId="1F4859A6" w14:textId="6F29C8FD" w:rsidR="007B6BB9" w:rsidRPr="00520BB8" w:rsidRDefault="007B6BB9" w:rsidP="0030604F">
      <w:pPr>
        <w:spacing w:after="200" w:line="276" w:lineRule="auto"/>
        <w:rPr>
          <w:rFonts w:asciiTheme="minorHAnsi" w:eastAsia="MS Mincho" w:hAnsiTheme="minorHAnsi" w:cstheme="minorHAnsi"/>
          <w:sz w:val="22"/>
          <w:szCs w:val="22"/>
        </w:rPr>
      </w:pPr>
      <w:r w:rsidRPr="00520BB8">
        <w:rPr>
          <w:rFonts w:asciiTheme="minorHAnsi" w:eastAsia="MS Mincho" w:hAnsiTheme="minorHAnsi" w:cstheme="minorHAnsi"/>
          <w:sz w:val="22"/>
          <w:szCs w:val="22"/>
        </w:rPr>
        <w:t>1. Propozycja zmiany przepisów wraz z uzasadnieniem.</w:t>
      </w:r>
    </w:p>
    <w:p w14:paraId="3E88C3C1" w14:textId="56F0275B" w:rsidR="00B9603B" w:rsidRPr="00520BB8" w:rsidRDefault="00B9603B" w:rsidP="008A26AE">
      <w:pPr>
        <w:spacing w:after="160" w:line="276" w:lineRule="auto"/>
        <w:jc w:val="left"/>
        <w:rPr>
          <w:rFonts w:asciiTheme="minorHAnsi" w:eastAsia="Calibri" w:hAnsiTheme="minorHAnsi" w:cstheme="minorHAnsi"/>
          <w:b/>
          <w:bCs/>
          <w:color w:val="000000"/>
          <w:sz w:val="22"/>
          <w:szCs w:val="22"/>
          <w:lang w:eastAsia="en-US"/>
        </w:rPr>
        <w:sectPr w:rsidR="00B9603B" w:rsidRPr="00520BB8" w:rsidSect="00BE0E2C">
          <w:headerReference w:type="default" r:id="rId11"/>
          <w:footerReference w:type="default" r:id="rId12"/>
          <w:pgSz w:w="11906" w:h="16838"/>
          <w:pgMar w:top="2516" w:right="1134" w:bottom="1418" w:left="1701" w:header="709" w:footer="709" w:gutter="0"/>
          <w:cols w:space="708"/>
          <w:docGrid w:linePitch="360"/>
        </w:sectPr>
      </w:pPr>
    </w:p>
    <w:p w14:paraId="132A9B60" w14:textId="36341F1E" w:rsidR="008A26AE" w:rsidRPr="00520BB8" w:rsidRDefault="008A26AE" w:rsidP="008A26AE">
      <w:pPr>
        <w:spacing w:after="160" w:line="276" w:lineRule="auto"/>
        <w:jc w:val="left"/>
        <w:rPr>
          <w:rFonts w:asciiTheme="minorHAnsi" w:eastAsia="Calibri" w:hAnsiTheme="minorHAnsi" w:cstheme="minorHAnsi"/>
          <w:b/>
          <w:bCs/>
          <w:color w:val="000000"/>
          <w:sz w:val="22"/>
          <w:szCs w:val="22"/>
          <w:lang w:eastAsia="en-US"/>
        </w:rPr>
      </w:pPr>
      <w:r w:rsidRPr="00520BB8">
        <w:rPr>
          <w:rFonts w:asciiTheme="minorHAnsi" w:eastAsia="Calibri" w:hAnsiTheme="minorHAnsi" w:cstheme="minorHAnsi"/>
          <w:b/>
          <w:bCs/>
          <w:color w:val="000000"/>
          <w:sz w:val="22"/>
          <w:szCs w:val="22"/>
          <w:lang w:eastAsia="en-US"/>
        </w:rPr>
        <w:lastRenderedPageBreak/>
        <w:t xml:space="preserve">Załącznik nr 1 </w:t>
      </w:r>
      <w:r w:rsidR="001C71C6" w:rsidRPr="00520BB8">
        <w:rPr>
          <w:rFonts w:asciiTheme="minorHAnsi" w:eastAsia="Calibri" w:hAnsiTheme="minorHAnsi" w:cstheme="minorHAnsi"/>
          <w:b/>
          <w:bCs/>
          <w:color w:val="000000"/>
          <w:sz w:val="22"/>
          <w:szCs w:val="22"/>
          <w:lang w:eastAsia="en-US"/>
        </w:rPr>
        <w:t>do pisma ZPIFF INFARMA z dnia 25/11/2022</w:t>
      </w:r>
    </w:p>
    <w:tbl>
      <w:tblPr>
        <w:tblW w:w="15005" w:type="dxa"/>
        <w:tblInd w:w="-518" w:type="dxa"/>
        <w:tblBorders>
          <w:top w:val="single" w:sz="8" w:space="0" w:color="000000"/>
          <w:left w:val="single" w:sz="4"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87"/>
        <w:gridCol w:w="2326"/>
        <w:gridCol w:w="2578"/>
        <w:gridCol w:w="3774"/>
        <w:gridCol w:w="3540"/>
      </w:tblGrid>
      <w:tr w:rsidR="005D0AD2" w:rsidRPr="00520BB8" w14:paraId="7B70F7AD" w14:textId="77777777" w:rsidTr="00DA4E61">
        <w:trPr>
          <w:trHeight w:val="1438"/>
        </w:trPr>
        <w:tc>
          <w:tcPr>
            <w:tcW w:w="2787" w:type="dxa"/>
            <w:tcBorders>
              <w:left w:val="single" w:sz="8" w:space="0" w:color="000000"/>
            </w:tcBorders>
            <w:shd w:val="clear" w:color="auto" w:fill="E7E6E6"/>
            <w:tcMar>
              <w:top w:w="0" w:type="dxa"/>
              <w:left w:w="108" w:type="dxa"/>
              <w:bottom w:w="0" w:type="dxa"/>
              <w:right w:w="108" w:type="dxa"/>
            </w:tcMar>
            <w:vAlign w:val="center"/>
          </w:tcPr>
          <w:p w14:paraId="1BCF256B" w14:textId="77777777" w:rsidR="005D0AD2" w:rsidRPr="00520BB8" w:rsidRDefault="005D0AD2" w:rsidP="005D0AD2">
            <w:pPr>
              <w:spacing w:after="160" w:line="276" w:lineRule="auto"/>
              <w:jc w:val="center"/>
              <w:rPr>
                <w:rFonts w:asciiTheme="minorHAnsi" w:eastAsia="Calibri" w:hAnsiTheme="minorHAnsi" w:cstheme="minorHAnsi"/>
                <w:sz w:val="22"/>
                <w:szCs w:val="22"/>
                <w:lang w:eastAsia="en-US"/>
              </w:rPr>
            </w:pPr>
            <w:r w:rsidRPr="00520BB8">
              <w:rPr>
                <w:rFonts w:asciiTheme="minorHAnsi" w:eastAsia="Calibri" w:hAnsiTheme="minorHAnsi" w:cstheme="minorHAnsi"/>
                <w:color w:val="000000"/>
                <w:sz w:val="22"/>
                <w:szCs w:val="22"/>
                <w:lang w:eastAsia="en-US"/>
              </w:rPr>
              <w:t>Podmiot zgłaszający uwagę</w:t>
            </w:r>
          </w:p>
        </w:tc>
        <w:tc>
          <w:tcPr>
            <w:tcW w:w="2326" w:type="dxa"/>
            <w:shd w:val="clear" w:color="auto" w:fill="E7E6E6"/>
            <w:tcMar>
              <w:top w:w="0" w:type="dxa"/>
              <w:left w:w="108" w:type="dxa"/>
              <w:bottom w:w="0" w:type="dxa"/>
              <w:right w:w="108" w:type="dxa"/>
            </w:tcMar>
            <w:vAlign w:val="center"/>
          </w:tcPr>
          <w:p w14:paraId="74DB3C41" w14:textId="77777777" w:rsidR="005D0AD2" w:rsidRPr="00520BB8" w:rsidRDefault="005D0AD2" w:rsidP="005D0AD2">
            <w:pPr>
              <w:spacing w:after="160" w:line="276" w:lineRule="auto"/>
              <w:jc w:val="center"/>
              <w:rPr>
                <w:rFonts w:asciiTheme="minorHAnsi" w:eastAsia="Calibri" w:hAnsiTheme="minorHAnsi" w:cstheme="minorHAnsi"/>
                <w:sz w:val="22"/>
                <w:szCs w:val="22"/>
                <w:lang w:eastAsia="en-US"/>
              </w:rPr>
            </w:pPr>
            <w:r w:rsidRPr="00520BB8">
              <w:rPr>
                <w:rFonts w:asciiTheme="minorHAnsi" w:eastAsia="Calibri" w:hAnsiTheme="minorHAnsi" w:cstheme="minorHAnsi"/>
                <w:color w:val="000000"/>
                <w:sz w:val="22"/>
                <w:szCs w:val="22"/>
                <w:lang w:eastAsia="en-US"/>
              </w:rPr>
              <w:t>Jakiego zapisu uwaga dotyczy</w:t>
            </w:r>
          </w:p>
        </w:tc>
        <w:tc>
          <w:tcPr>
            <w:tcW w:w="2578" w:type="dxa"/>
            <w:shd w:val="clear" w:color="auto" w:fill="E7E6E6"/>
            <w:tcMar>
              <w:top w:w="0" w:type="dxa"/>
              <w:left w:w="108" w:type="dxa"/>
              <w:bottom w:w="0" w:type="dxa"/>
              <w:right w:w="108" w:type="dxa"/>
            </w:tcMar>
            <w:vAlign w:val="center"/>
          </w:tcPr>
          <w:p w14:paraId="19A38745" w14:textId="017E18AA" w:rsidR="005D0AD2" w:rsidRPr="00520BB8" w:rsidRDefault="005D0AD2" w:rsidP="005D0AD2">
            <w:pPr>
              <w:spacing w:after="160" w:line="276" w:lineRule="auto"/>
              <w:jc w:val="center"/>
              <w:rPr>
                <w:rFonts w:asciiTheme="minorHAnsi" w:eastAsia="Calibri" w:hAnsiTheme="minorHAnsi" w:cstheme="minorHAnsi"/>
                <w:sz w:val="22"/>
                <w:szCs w:val="22"/>
                <w:lang w:eastAsia="en-US"/>
              </w:rPr>
            </w:pPr>
            <w:r w:rsidRPr="00520BB8">
              <w:rPr>
                <w:rFonts w:asciiTheme="minorHAnsi" w:eastAsia="Calibri" w:hAnsiTheme="minorHAnsi" w:cstheme="minorHAnsi"/>
                <w:color w:val="000000"/>
                <w:sz w:val="22"/>
                <w:szCs w:val="22"/>
                <w:lang w:eastAsia="en-US"/>
              </w:rPr>
              <w:t>Uwaga</w:t>
            </w:r>
          </w:p>
        </w:tc>
        <w:tc>
          <w:tcPr>
            <w:tcW w:w="3774" w:type="dxa"/>
            <w:shd w:val="clear" w:color="auto" w:fill="E7E6E6"/>
            <w:tcMar>
              <w:top w:w="0" w:type="dxa"/>
              <w:left w:w="108" w:type="dxa"/>
              <w:bottom w:w="0" w:type="dxa"/>
              <w:right w:w="108" w:type="dxa"/>
            </w:tcMar>
            <w:vAlign w:val="center"/>
          </w:tcPr>
          <w:p w14:paraId="31892D12" w14:textId="77777777" w:rsidR="005D0AD2" w:rsidRPr="00520BB8" w:rsidRDefault="005D0AD2" w:rsidP="005D0AD2">
            <w:pPr>
              <w:spacing w:after="160" w:line="276" w:lineRule="auto"/>
              <w:jc w:val="center"/>
              <w:rPr>
                <w:rFonts w:asciiTheme="minorHAnsi" w:eastAsia="Calibri" w:hAnsiTheme="minorHAnsi" w:cstheme="minorHAnsi"/>
                <w:sz w:val="22"/>
                <w:szCs w:val="22"/>
                <w:lang w:eastAsia="en-US"/>
              </w:rPr>
            </w:pPr>
            <w:r w:rsidRPr="00520BB8">
              <w:rPr>
                <w:rFonts w:asciiTheme="minorHAnsi" w:eastAsia="Calibri" w:hAnsiTheme="minorHAnsi" w:cstheme="minorHAnsi"/>
                <w:color w:val="000000"/>
                <w:sz w:val="22"/>
                <w:szCs w:val="22"/>
                <w:lang w:eastAsia="en-US"/>
              </w:rPr>
              <w:t>Uzasadnienie uwagi</w:t>
            </w:r>
          </w:p>
        </w:tc>
        <w:tc>
          <w:tcPr>
            <w:tcW w:w="3540" w:type="dxa"/>
            <w:shd w:val="clear" w:color="auto" w:fill="E7E6E6"/>
            <w:tcMar>
              <w:top w:w="0" w:type="dxa"/>
              <w:left w:w="108" w:type="dxa"/>
              <w:bottom w:w="0" w:type="dxa"/>
              <w:right w:w="108" w:type="dxa"/>
            </w:tcMar>
            <w:vAlign w:val="center"/>
          </w:tcPr>
          <w:p w14:paraId="7692DE8E" w14:textId="4D019551" w:rsidR="005D0AD2" w:rsidRPr="00520BB8" w:rsidRDefault="005D0AD2" w:rsidP="005D0AD2">
            <w:pPr>
              <w:spacing w:after="160" w:line="276" w:lineRule="auto"/>
              <w:jc w:val="center"/>
              <w:rPr>
                <w:rFonts w:asciiTheme="minorHAnsi" w:eastAsia="Calibri" w:hAnsiTheme="minorHAnsi" w:cstheme="minorHAnsi"/>
                <w:sz w:val="22"/>
                <w:szCs w:val="22"/>
                <w:lang w:eastAsia="en-US"/>
              </w:rPr>
            </w:pPr>
            <w:r w:rsidRPr="00520BB8">
              <w:rPr>
                <w:rFonts w:asciiTheme="minorHAnsi" w:eastAsia="Calibri" w:hAnsiTheme="minorHAnsi" w:cstheme="minorHAnsi"/>
                <w:color w:val="000000"/>
                <w:sz w:val="22"/>
                <w:szCs w:val="22"/>
                <w:lang w:eastAsia="en-US"/>
              </w:rPr>
              <w:t>Propozycja nowego zapisu</w:t>
            </w:r>
          </w:p>
        </w:tc>
      </w:tr>
      <w:tr w:rsidR="005D0AD2" w:rsidRPr="00520BB8" w14:paraId="65451469" w14:textId="77777777" w:rsidTr="00A70D81">
        <w:trPr>
          <w:trHeight w:val="6153"/>
        </w:trPr>
        <w:tc>
          <w:tcPr>
            <w:tcW w:w="2787" w:type="dxa"/>
            <w:tcBorders>
              <w:left w:val="single" w:sz="8" w:space="0" w:color="000000"/>
            </w:tcBorders>
            <w:shd w:val="clear" w:color="auto" w:fill="auto"/>
            <w:tcMar>
              <w:top w:w="0" w:type="dxa"/>
              <w:left w:w="108" w:type="dxa"/>
              <w:bottom w:w="0" w:type="dxa"/>
              <w:right w:w="108" w:type="dxa"/>
            </w:tcMar>
          </w:tcPr>
          <w:p w14:paraId="37DA9F0F" w14:textId="77777777" w:rsidR="005D0AD2" w:rsidRPr="00520BB8" w:rsidRDefault="005D0AD2" w:rsidP="005D0AD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5914DBFD" w14:textId="69F84FF8" w:rsidR="0032511F" w:rsidRPr="00520BB8" w:rsidRDefault="00771045" w:rsidP="005A7976">
            <w:pPr>
              <w:spacing w:after="160"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sz w:val="22"/>
                <w:szCs w:val="22"/>
                <w:lang w:eastAsia="en-US"/>
              </w:rPr>
              <w:t>art.</w:t>
            </w:r>
            <w:r w:rsidR="005D0AD2" w:rsidRPr="00520BB8">
              <w:rPr>
                <w:rFonts w:asciiTheme="minorHAnsi" w:eastAsia="Calibri" w:hAnsiTheme="minorHAnsi" w:cstheme="minorHAnsi"/>
                <w:sz w:val="22"/>
                <w:szCs w:val="22"/>
                <w:lang w:eastAsia="en-US"/>
              </w:rPr>
              <w:t xml:space="preserve"> 1 pkt 5 projektu</w:t>
            </w:r>
          </w:p>
        </w:tc>
        <w:tc>
          <w:tcPr>
            <w:tcW w:w="2578" w:type="dxa"/>
            <w:shd w:val="clear" w:color="auto" w:fill="auto"/>
            <w:tcMar>
              <w:top w:w="0" w:type="dxa"/>
              <w:left w:w="108" w:type="dxa"/>
              <w:bottom w:w="0" w:type="dxa"/>
              <w:right w:w="108" w:type="dxa"/>
            </w:tcMar>
          </w:tcPr>
          <w:p w14:paraId="41F47D6A" w14:textId="3462FE71" w:rsidR="005D0AD2" w:rsidRPr="00520BB8" w:rsidRDefault="00771045" w:rsidP="00771045">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Uchylenia wymaga również art. 37at ust. 8.</w:t>
            </w:r>
          </w:p>
        </w:tc>
        <w:tc>
          <w:tcPr>
            <w:tcW w:w="3774" w:type="dxa"/>
            <w:shd w:val="clear" w:color="auto" w:fill="auto"/>
            <w:tcMar>
              <w:top w:w="0" w:type="dxa"/>
              <w:left w:w="108" w:type="dxa"/>
              <w:bottom w:w="0" w:type="dxa"/>
              <w:right w:w="108" w:type="dxa"/>
            </w:tcMar>
          </w:tcPr>
          <w:p w14:paraId="57652456" w14:textId="4423F487" w:rsidR="00771045" w:rsidRPr="00520BB8" w:rsidRDefault="00771045"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37at ust. 8 jest niezgodny z sensem i kształtem zaproponowanych nowych regulacji. Jego pozostawienie w ustawie spowoduje konflikt norm prawnych oraz spory w tym zakresie.</w:t>
            </w:r>
            <w:r w:rsidR="00702D84" w:rsidRPr="00520BB8">
              <w:rPr>
                <w:rFonts w:asciiTheme="minorHAnsi" w:eastAsia="Calibri" w:hAnsiTheme="minorHAnsi" w:cstheme="minorHAnsi"/>
                <w:sz w:val="22"/>
                <w:szCs w:val="22"/>
                <w:lang w:eastAsia="en-US"/>
              </w:rPr>
              <w:t xml:space="preserve"> Przepis jest całkowicie zbędny w świetle kompetencji</w:t>
            </w:r>
            <w:r w:rsidR="00520BB8">
              <w:rPr>
                <w:rFonts w:asciiTheme="minorHAnsi" w:eastAsia="Calibri" w:hAnsiTheme="minorHAnsi" w:cstheme="minorHAnsi"/>
                <w:sz w:val="22"/>
                <w:szCs w:val="22"/>
                <w:lang w:eastAsia="en-US"/>
              </w:rPr>
              <w:t xml:space="preserve"> </w:t>
            </w:r>
            <w:r w:rsidR="00702D84" w:rsidRPr="00520BB8">
              <w:rPr>
                <w:rFonts w:asciiTheme="minorHAnsi" w:eastAsia="Calibri" w:hAnsiTheme="minorHAnsi" w:cstheme="minorHAnsi"/>
                <w:sz w:val="22"/>
                <w:szCs w:val="22"/>
                <w:lang w:eastAsia="en-US"/>
              </w:rPr>
              <w:t xml:space="preserve">kontrolnych uregulowanych w przepisach dot. kontroli. </w:t>
            </w:r>
            <w:r w:rsidR="00AA4EE6" w:rsidRPr="00520BB8">
              <w:rPr>
                <w:rFonts w:asciiTheme="minorHAnsi" w:eastAsia="Calibri" w:hAnsiTheme="minorHAnsi" w:cstheme="minorHAnsi"/>
                <w:sz w:val="22"/>
                <w:szCs w:val="22"/>
                <w:lang w:eastAsia="en-US"/>
              </w:rPr>
              <w:t>Usunięcie ustępów od 1 do 7 spowoduje, że przepis art. 37at ust. 8 utraci kontekst</w:t>
            </w:r>
            <w:r w:rsidR="00D842A4" w:rsidRPr="00520BB8">
              <w:rPr>
                <w:rFonts w:asciiTheme="minorHAnsi" w:eastAsia="Calibri" w:hAnsiTheme="minorHAnsi" w:cstheme="minorHAnsi"/>
                <w:sz w:val="22"/>
                <w:szCs w:val="22"/>
                <w:lang w:eastAsia="en-US"/>
              </w:rPr>
              <w:t>, a powinien przynależeć systemowo do przepisów o kontroli.</w:t>
            </w:r>
          </w:p>
          <w:p w14:paraId="406116A3" w14:textId="5E2FE490" w:rsidR="005D0AD2" w:rsidRPr="00520BB8" w:rsidRDefault="005D0AD2" w:rsidP="00634B42">
            <w:pPr>
              <w:spacing w:line="276" w:lineRule="auto"/>
              <w:rPr>
                <w:rFonts w:asciiTheme="minorHAnsi" w:eastAsia="Calibri" w:hAnsiTheme="minorHAnsi" w:cstheme="minorHAnsi"/>
                <w:sz w:val="22"/>
                <w:szCs w:val="22"/>
                <w:lang w:eastAsia="en-US"/>
              </w:rPr>
            </w:pPr>
          </w:p>
        </w:tc>
        <w:tc>
          <w:tcPr>
            <w:tcW w:w="3540" w:type="dxa"/>
            <w:shd w:val="clear" w:color="auto" w:fill="auto"/>
            <w:tcMar>
              <w:top w:w="0" w:type="dxa"/>
              <w:left w:w="108" w:type="dxa"/>
              <w:bottom w:w="0" w:type="dxa"/>
              <w:right w:w="108" w:type="dxa"/>
            </w:tcMar>
          </w:tcPr>
          <w:p w14:paraId="724596D9" w14:textId="153C080D" w:rsidR="00A70D81" w:rsidRPr="00520BB8" w:rsidRDefault="00A70D81" w:rsidP="00634B42">
            <w:pPr>
              <w:spacing w:after="149"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 xml:space="preserve">Zmiana </w:t>
            </w:r>
            <w:r w:rsidR="003E50CA" w:rsidRPr="00520BB8">
              <w:rPr>
                <w:rFonts w:asciiTheme="minorHAnsi" w:eastAsia="Calibri" w:hAnsiTheme="minorHAnsi" w:cstheme="minorHAnsi"/>
                <w:sz w:val="22"/>
                <w:szCs w:val="22"/>
                <w:lang w:eastAsia="en-US"/>
              </w:rPr>
              <w:t xml:space="preserve">projektowanego </w:t>
            </w:r>
            <w:r w:rsidRPr="00520BB8">
              <w:rPr>
                <w:rFonts w:asciiTheme="minorHAnsi" w:eastAsia="Calibri" w:hAnsiTheme="minorHAnsi" w:cstheme="minorHAnsi"/>
                <w:sz w:val="22"/>
                <w:szCs w:val="22"/>
                <w:lang w:eastAsia="en-US"/>
              </w:rPr>
              <w:t>art. 1 pkt 5 w następujący sposób:</w:t>
            </w:r>
          </w:p>
          <w:p w14:paraId="5BE2B3AB" w14:textId="71888BC0" w:rsidR="00A70D81" w:rsidRPr="00520BB8" w:rsidRDefault="00A70D81" w:rsidP="00634B42">
            <w:pPr>
              <w:spacing w:after="149"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 xml:space="preserve"> </w:t>
            </w:r>
            <w:r w:rsidR="0032511F" w:rsidRPr="00520BB8">
              <w:rPr>
                <w:rFonts w:asciiTheme="minorHAnsi" w:eastAsia="Calibri" w:hAnsiTheme="minorHAnsi" w:cstheme="minorHAnsi"/>
                <w:i/>
                <w:iCs/>
                <w:sz w:val="22"/>
                <w:szCs w:val="22"/>
                <w:lang w:eastAsia="en-US"/>
              </w:rPr>
              <w:t xml:space="preserve">5) </w:t>
            </w:r>
            <w:r w:rsidRPr="00520BB8">
              <w:rPr>
                <w:rFonts w:asciiTheme="minorHAnsi" w:eastAsia="Calibri" w:hAnsiTheme="minorHAnsi" w:cstheme="minorHAnsi"/>
                <w:i/>
                <w:iCs/>
                <w:sz w:val="22"/>
                <w:szCs w:val="22"/>
                <w:lang w:eastAsia="en-US"/>
              </w:rPr>
              <w:t>W art. 37at uchyla się ust. 1‒8;</w:t>
            </w:r>
          </w:p>
          <w:p w14:paraId="513E7CC3" w14:textId="77777777" w:rsidR="005D0AD2" w:rsidRPr="00520BB8" w:rsidRDefault="005D0AD2" w:rsidP="00634B42">
            <w:pPr>
              <w:spacing w:line="276" w:lineRule="auto"/>
              <w:rPr>
                <w:rFonts w:asciiTheme="minorHAnsi" w:eastAsia="Calibri" w:hAnsiTheme="minorHAnsi" w:cstheme="minorHAnsi"/>
                <w:sz w:val="22"/>
                <w:szCs w:val="22"/>
                <w:lang w:eastAsia="en-US"/>
              </w:rPr>
            </w:pPr>
          </w:p>
        </w:tc>
      </w:tr>
      <w:tr w:rsidR="005D0AD2" w:rsidRPr="00520BB8" w14:paraId="1A044E14" w14:textId="77777777" w:rsidTr="0016581C">
        <w:trPr>
          <w:trHeight w:val="684"/>
        </w:trPr>
        <w:tc>
          <w:tcPr>
            <w:tcW w:w="2787" w:type="dxa"/>
            <w:tcBorders>
              <w:left w:val="single" w:sz="8" w:space="0" w:color="000000"/>
            </w:tcBorders>
            <w:shd w:val="clear" w:color="auto" w:fill="auto"/>
            <w:tcMar>
              <w:top w:w="0" w:type="dxa"/>
              <w:left w:w="108" w:type="dxa"/>
              <w:bottom w:w="0" w:type="dxa"/>
              <w:right w:w="108" w:type="dxa"/>
            </w:tcMar>
          </w:tcPr>
          <w:p w14:paraId="262CFC9A" w14:textId="19DBFF9C" w:rsidR="005D0AD2" w:rsidRPr="00520BB8" w:rsidRDefault="003E50CA" w:rsidP="005D0AD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7E11D937" w14:textId="72CB051F" w:rsidR="00131D6F" w:rsidRPr="00520BB8" w:rsidRDefault="003E50CA" w:rsidP="00974619">
            <w:pPr>
              <w:spacing w:line="276" w:lineRule="auto"/>
              <w:rPr>
                <w:rFonts w:asciiTheme="minorHAnsi" w:eastAsia="MS Mincho" w:hAnsiTheme="minorHAnsi" w:cstheme="minorHAnsi"/>
                <w:sz w:val="22"/>
                <w:szCs w:val="22"/>
              </w:rPr>
            </w:pPr>
            <w:r w:rsidRPr="00520BB8">
              <w:rPr>
                <w:rFonts w:asciiTheme="minorHAnsi" w:hAnsiTheme="minorHAnsi" w:cstheme="minorHAnsi"/>
                <w:sz w:val="22"/>
                <w:szCs w:val="22"/>
              </w:rPr>
              <w:t>art. 36g  w ust. 1 pkt 12 lit. a</w:t>
            </w:r>
            <w:r w:rsidRPr="00520BB8">
              <w:rPr>
                <w:rFonts w:asciiTheme="minorHAnsi" w:eastAsia="MS Mincho" w:hAnsiTheme="minorHAnsi" w:cstheme="minorHAnsi"/>
                <w:sz w:val="22"/>
                <w:szCs w:val="22"/>
              </w:rPr>
              <w:t xml:space="preserve"> </w:t>
            </w:r>
            <w:proofErr w:type="spellStart"/>
            <w:r w:rsidR="00131D6F" w:rsidRPr="00520BB8">
              <w:rPr>
                <w:rFonts w:asciiTheme="minorHAnsi" w:eastAsia="MS Mincho" w:hAnsiTheme="minorHAnsi" w:cstheme="minorHAnsi"/>
                <w:sz w:val="22"/>
                <w:szCs w:val="22"/>
              </w:rPr>
              <w:t>tiret</w:t>
            </w:r>
            <w:proofErr w:type="spellEnd"/>
            <w:r w:rsidR="00131D6F" w:rsidRPr="00520BB8">
              <w:rPr>
                <w:rFonts w:asciiTheme="minorHAnsi" w:eastAsia="MS Mincho" w:hAnsiTheme="minorHAnsi" w:cstheme="minorHAnsi"/>
                <w:sz w:val="22"/>
                <w:szCs w:val="22"/>
              </w:rPr>
              <w:t xml:space="preserve"> pierwsze </w:t>
            </w:r>
            <w:r w:rsidRPr="00520BB8">
              <w:rPr>
                <w:rFonts w:asciiTheme="minorHAnsi" w:eastAsia="MS Mincho" w:hAnsiTheme="minorHAnsi" w:cstheme="minorHAnsi"/>
                <w:sz w:val="22"/>
                <w:szCs w:val="22"/>
              </w:rPr>
              <w:t>ustawy – Prawo farmaceutyczne</w:t>
            </w:r>
          </w:p>
        </w:tc>
        <w:tc>
          <w:tcPr>
            <w:tcW w:w="2578" w:type="dxa"/>
            <w:shd w:val="clear" w:color="auto" w:fill="auto"/>
            <w:tcMar>
              <w:top w:w="0" w:type="dxa"/>
              <w:left w:w="108" w:type="dxa"/>
              <w:bottom w:w="0" w:type="dxa"/>
              <w:right w:w="108" w:type="dxa"/>
            </w:tcMar>
          </w:tcPr>
          <w:p w14:paraId="65C9B639" w14:textId="7EBBCE2E" w:rsidR="00A20BBC" w:rsidRPr="00520BB8" w:rsidRDefault="00A20BBC" w:rsidP="00A20BBC">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Usunięcie dodatkowych zobowiązań nałożonych przez ustawę – Prawo farmaceutyczne na podmiot odpowiedzialny, które są już realizowane w ramach innych zobowiązań.</w:t>
            </w:r>
          </w:p>
          <w:p w14:paraId="2A6B560F" w14:textId="06609E20" w:rsidR="005D0AD2" w:rsidRPr="00520BB8" w:rsidRDefault="005D0AD2" w:rsidP="00A20BBC">
            <w:pPr>
              <w:spacing w:line="276" w:lineRule="auto"/>
              <w:jc w:val="left"/>
              <w:rPr>
                <w:rFonts w:asciiTheme="minorHAnsi" w:eastAsia="Calibri" w:hAnsiTheme="minorHAnsi" w:cstheme="minorHAnsi"/>
                <w:color w:val="000000"/>
                <w:sz w:val="22"/>
                <w:szCs w:val="22"/>
                <w:lang w:eastAsia="en-US"/>
              </w:rPr>
            </w:pPr>
          </w:p>
        </w:tc>
        <w:tc>
          <w:tcPr>
            <w:tcW w:w="3774" w:type="dxa"/>
            <w:shd w:val="clear" w:color="auto" w:fill="auto"/>
            <w:tcMar>
              <w:top w:w="0" w:type="dxa"/>
              <w:left w:w="108" w:type="dxa"/>
              <w:bottom w:w="0" w:type="dxa"/>
              <w:right w:w="108" w:type="dxa"/>
            </w:tcMar>
            <w:vAlign w:val="center"/>
          </w:tcPr>
          <w:p w14:paraId="4FC510DE" w14:textId="5A463B4D" w:rsidR="003E50CA" w:rsidRPr="00520BB8" w:rsidRDefault="003E50CA"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Zaproponowana zmiana ma na celu usunięcie dodatkowych zobowiązań nałożonych przez ustawę na podmiot odpowiedzialny, które są już realizowane w ramach innych zobowiązań.</w:t>
            </w:r>
          </w:p>
          <w:p w14:paraId="5624F694" w14:textId="77777777" w:rsidR="003E50CA" w:rsidRPr="00520BB8" w:rsidRDefault="003E50CA"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br/>
              <w:t>Zobowiązanie dotyczące informacji o dostępnych danych na temat liczby kobiet w ciąży przyjmujących dany produkt leczniczy „zgłoszenie dotyczące pojedynczego przypadku działania niepożądanego u kobiety w ciąży składa się łącznie z informacją o liczbie kobiet w ciąży przyjmujących dany produkt leczniczy, w tym o liczbie kobiet leczonych tym produktem, u których ciąża przebiegła prawidłowo, jeżeli takie dane są dostępne;” realizowane jest poprzez art. art. 36j ust. 1. Informacje dotyczące kobiet w ciąży przyjmujących dany produkt, również te, u których nie wystąpiło działanie niepożądane, podsumowane są w raporcie okresowym o bezpieczeństwie stosowania produktu leczniczego.</w:t>
            </w:r>
          </w:p>
          <w:p w14:paraId="4D3A4207" w14:textId="6314751D" w:rsidR="005D0AD2" w:rsidRPr="00520BB8" w:rsidRDefault="003E50CA"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br/>
              <w:t xml:space="preserve">Zobowiązanie dotyczące możliwego </w:t>
            </w:r>
            <w:r w:rsidRPr="00520BB8">
              <w:rPr>
                <w:rFonts w:asciiTheme="minorHAnsi" w:eastAsia="Calibri" w:hAnsiTheme="minorHAnsi" w:cstheme="minorHAnsi"/>
                <w:sz w:val="22"/>
                <w:szCs w:val="22"/>
                <w:lang w:eastAsia="en-US"/>
              </w:rPr>
              <w:lastRenderedPageBreak/>
              <w:t xml:space="preserve">działania teratogennego „jeżeli podmiot odpowiedzialny uzyska informacje o możliwym działaniu teratogennym, informuje o tym Prezesa Urzędu niezwłocznie, nie później niż w terminie 15 dni od dnia powzięcia tej informacji” realizowane jest pośrednio poprzez art. 36h ust. 1 oraz poprzez GVP Module IX – </w:t>
            </w:r>
            <w:proofErr w:type="spellStart"/>
            <w:r w:rsidRPr="00520BB8">
              <w:rPr>
                <w:rFonts w:asciiTheme="minorHAnsi" w:eastAsia="Calibri" w:hAnsiTheme="minorHAnsi" w:cstheme="minorHAnsi"/>
                <w:sz w:val="22"/>
                <w:szCs w:val="22"/>
                <w:lang w:eastAsia="en-US"/>
              </w:rPr>
              <w:t>Signal</w:t>
            </w:r>
            <w:proofErr w:type="spellEnd"/>
            <w:r w:rsidRPr="00520BB8">
              <w:rPr>
                <w:rFonts w:asciiTheme="minorHAnsi" w:eastAsia="Calibri" w:hAnsiTheme="minorHAnsi" w:cstheme="minorHAnsi"/>
                <w:sz w:val="22"/>
                <w:szCs w:val="22"/>
                <w:lang w:eastAsia="en-US"/>
              </w:rPr>
              <w:t xml:space="preserve"> management.</w:t>
            </w:r>
          </w:p>
        </w:tc>
        <w:tc>
          <w:tcPr>
            <w:tcW w:w="3540" w:type="dxa"/>
            <w:shd w:val="clear" w:color="auto" w:fill="auto"/>
            <w:tcMar>
              <w:top w:w="0" w:type="dxa"/>
              <w:left w:w="108" w:type="dxa"/>
              <w:bottom w:w="0" w:type="dxa"/>
              <w:right w:w="108" w:type="dxa"/>
            </w:tcMar>
          </w:tcPr>
          <w:p w14:paraId="4F03DA89" w14:textId="0C488AF7" w:rsidR="005D0AD2" w:rsidRPr="00520BB8" w:rsidRDefault="005D0AD2" w:rsidP="00634B42">
            <w:pPr>
              <w:spacing w:line="276" w:lineRule="auto"/>
              <w:jc w:val="left"/>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 xml:space="preserve">W </w:t>
            </w:r>
            <w:r w:rsidR="003E50CA" w:rsidRPr="00520BB8">
              <w:rPr>
                <w:rFonts w:asciiTheme="minorHAnsi" w:eastAsia="Calibri" w:hAnsiTheme="minorHAnsi" w:cstheme="minorHAnsi"/>
                <w:sz w:val="22"/>
                <w:szCs w:val="22"/>
                <w:lang w:eastAsia="en-US"/>
              </w:rPr>
              <w:t>art.</w:t>
            </w:r>
            <w:r w:rsidRPr="00520BB8">
              <w:rPr>
                <w:rFonts w:asciiTheme="minorHAnsi" w:eastAsia="Calibri" w:hAnsiTheme="minorHAnsi" w:cstheme="minorHAnsi"/>
                <w:sz w:val="22"/>
                <w:szCs w:val="22"/>
                <w:lang w:eastAsia="en-US"/>
              </w:rPr>
              <w:t xml:space="preserve"> 1</w:t>
            </w:r>
            <w:r w:rsidR="00131D6F" w:rsidRPr="00520BB8">
              <w:rPr>
                <w:rFonts w:asciiTheme="minorHAnsi" w:eastAsia="Calibri" w:hAnsiTheme="minorHAnsi" w:cstheme="minorHAnsi"/>
                <w:sz w:val="22"/>
                <w:szCs w:val="22"/>
                <w:lang w:eastAsia="en-US"/>
              </w:rPr>
              <w:t xml:space="preserve"> projektu</w:t>
            </w:r>
            <w:r w:rsidRPr="00520BB8">
              <w:rPr>
                <w:rFonts w:asciiTheme="minorHAnsi" w:eastAsia="Calibri" w:hAnsiTheme="minorHAnsi" w:cstheme="minorHAnsi"/>
                <w:sz w:val="22"/>
                <w:szCs w:val="22"/>
                <w:lang w:eastAsia="en-US"/>
              </w:rPr>
              <w:t xml:space="preserve"> po </w:t>
            </w:r>
            <w:r w:rsidR="003E50CA" w:rsidRPr="00520BB8">
              <w:rPr>
                <w:rFonts w:asciiTheme="minorHAnsi" w:eastAsia="Calibri" w:hAnsiTheme="minorHAnsi" w:cstheme="minorHAnsi"/>
                <w:sz w:val="22"/>
                <w:szCs w:val="22"/>
                <w:lang w:eastAsia="en-US"/>
              </w:rPr>
              <w:t>pkt</w:t>
            </w:r>
            <w:r w:rsidRPr="00520BB8">
              <w:rPr>
                <w:rFonts w:asciiTheme="minorHAnsi" w:eastAsia="Calibri" w:hAnsiTheme="minorHAnsi" w:cstheme="minorHAnsi"/>
                <w:sz w:val="22"/>
                <w:szCs w:val="22"/>
                <w:lang w:eastAsia="en-US"/>
              </w:rPr>
              <w:t xml:space="preserve"> </w:t>
            </w:r>
            <w:r w:rsidR="003E50CA" w:rsidRPr="00520BB8">
              <w:rPr>
                <w:rFonts w:asciiTheme="minorHAnsi" w:eastAsia="Calibri" w:hAnsiTheme="minorHAnsi" w:cstheme="minorHAnsi"/>
                <w:sz w:val="22"/>
                <w:szCs w:val="22"/>
                <w:lang w:eastAsia="en-US"/>
              </w:rPr>
              <w:t>12</w:t>
            </w:r>
            <w:r w:rsidRPr="00520BB8">
              <w:rPr>
                <w:rFonts w:asciiTheme="minorHAnsi" w:eastAsia="Calibri" w:hAnsiTheme="minorHAnsi" w:cstheme="minorHAnsi"/>
                <w:sz w:val="22"/>
                <w:szCs w:val="22"/>
                <w:lang w:eastAsia="en-US"/>
              </w:rPr>
              <w:t xml:space="preserve"> dodaje się </w:t>
            </w:r>
            <w:r w:rsidR="003E50CA" w:rsidRPr="00520BB8">
              <w:rPr>
                <w:rFonts w:asciiTheme="minorHAnsi" w:eastAsia="Calibri" w:hAnsiTheme="minorHAnsi" w:cstheme="minorHAnsi"/>
                <w:sz w:val="22"/>
                <w:szCs w:val="22"/>
                <w:lang w:eastAsia="en-US"/>
              </w:rPr>
              <w:t>pkt</w:t>
            </w:r>
            <w:r w:rsidRPr="00520BB8">
              <w:rPr>
                <w:rFonts w:asciiTheme="minorHAnsi" w:eastAsia="Calibri" w:hAnsiTheme="minorHAnsi" w:cstheme="minorHAnsi"/>
                <w:sz w:val="22"/>
                <w:szCs w:val="22"/>
                <w:lang w:eastAsia="en-US"/>
              </w:rPr>
              <w:t xml:space="preserve"> </w:t>
            </w:r>
            <w:r w:rsidR="003E50CA" w:rsidRPr="00520BB8">
              <w:rPr>
                <w:rFonts w:asciiTheme="minorHAnsi" w:eastAsia="Calibri" w:hAnsiTheme="minorHAnsi" w:cstheme="minorHAnsi"/>
                <w:sz w:val="22"/>
                <w:szCs w:val="22"/>
                <w:lang w:eastAsia="en-US"/>
              </w:rPr>
              <w:t>13</w:t>
            </w:r>
            <w:r w:rsidRPr="00520BB8">
              <w:rPr>
                <w:rFonts w:asciiTheme="minorHAnsi" w:eastAsia="Calibri" w:hAnsiTheme="minorHAnsi" w:cstheme="minorHAnsi"/>
                <w:sz w:val="22"/>
                <w:szCs w:val="22"/>
                <w:lang w:eastAsia="en-US"/>
              </w:rPr>
              <w:t xml:space="preserve"> o następującym brzmieniu:</w:t>
            </w:r>
          </w:p>
          <w:p w14:paraId="2211A423" w14:textId="1E277EF3" w:rsidR="003E50CA" w:rsidRPr="00520BB8" w:rsidRDefault="002A0E35" w:rsidP="00634B42">
            <w:pPr>
              <w:spacing w:after="122"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 xml:space="preserve">13)  </w:t>
            </w:r>
            <w:r w:rsidR="003E50CA" w:rsidRPr="00520BB8">
              <w:rPr>
                <w:rFonts w:asciiTheme="minorHAnsi" w:eastAsia="Calibri" w:hAnsiTheme="minorHAnsi" w:cstheme="minorHAnsi"/>
                <w:i/>
                <w:iCs/>
                <w:sz w:val="22"/>
                <w:szCs w:val="22"/>
                <w:lang w:eastAsia="en-US"/>
              </w:rPr>
              <w:t xml:space="preserve">art. 36g  w ust. 1 pkt 12 lit. a </w:t>
            </w:r>
            <w:proofErr w:type="spellStart"/>
            <w:r w:rsidR="003E50CA" w:rsidRPr="00520BB8">
              <w:rPr>
                <w:rFonts w:asciiTheme="minorHAnsi" w:eastAsia="Calibri" w:hAnsiTheme="minorHAnsi" w:cstheme="minorHAnsi"/>
                <w:i/>
                <w:iCs/>
                <w:sz w:val="22"/>
                <w:szCs w:val="22"/>
                <w:lang w:eastAsia="en-US"/>
              </w:rPr>
              <w:t>tiret</w:t>
            </w:r>
            <w:proofErr w:type="spellEnd"/>
            <w:r w:rsidR="003E50CA" w:rsidRPr="00520BB8">
              <w:rPr>
                <w:rFonts w:asciiTheme="minorHAnsi" w:eastAsia="Calibri" w:hAnsiTheme="minorHAnsi" w:cstheme="minorHAnsi"/>
                <w:i/>
                <w:iCs/>
                <w:sz w:val="22"/>
                <w:szCs w:val="22"/>
                <w:lang w:eastAsia="en-US"/>
              </w:rPr>
              <w:t xml:space="preserve"> pierwsze skreśla się średnik oraz wyrazy: </w:t>
            </w:r>
          </w:p>
          <w:p w14:paraId="19D2A477" w14:textId="4362C15C" w:rsidR="003E50CA" w:rsidRPr="00520BB8" w:rsidRDefault="003E50CA" w:rsidP="00634B42">
            <w:pPr>
              <w:spacing w:after="122"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„zgłoszenie dotyczące pojedynczego przypadku działania niepożądanego u kobiety w ciąży składa się łącznie z informacją o liczbie kobiet w ciąży przyjmujących dany produkt leczniczy, w tym o liczbie kobiet leczonych tym produktem, u których ciąża przebiegła prawidłowo, jeżeli takie dane są dostępne; jeżeli podmiot odpowiedzialny uzyska informacje o możliwym działaniu teratogennym, informuje o tym Prezesa Urzędu niezwłocznie, nie później niż w terminie 15 dni od dnia powzięcia tej informacji”</w:t>
            </w:r>
          </w:p>
          <w:p w14:paraId="6E2F27AA" w14:textId="77777777" w:rsidR="003E50CA" w:rsidRPr="00520BB8" w:rsidRDefault="003E50CA" w:rsidP="00634B42">
            <w:pPr>
              <w:spacing w:line="276" w:lineRule="auto"/>
              <w:jc w:val="left"/>
              <w:rPr>
                <w:rFonts w:asciiTheme="minorHAnsi" w:eastAsia="Calibri" w:hAnsiTheme="minorHAnsi" w:cstheme="minorHAnsi"/>
                <w:sz w:val="22"/>
                <w:szCs w:val="22"/>
                <w:lang w:eastAsia="en-US"/>
              </w:rPr>
            </w:pPr>
          </w:p>
          <w:p w14:paraId="7631D058" w14:textId="77777777" w:rsidR="005D0AD2" w:rsidRPr="00520BB8" w:rsidRDefault="005D0AD2" w:rsidP="00634B42">
            <w:pPr>
              <w:spacing w:line="276" w:lineRule="auto"/>
              <w:jc w:val="left"/>
              <w:rPr>
                <w:rFonts w:asciiTheme="minorHAnsi" w:eastAsia="Calibri" w:hAnsiTheme="minorHAnsi" w:cstheme="minorHAnsi"/>
                <w:iCs/>
                <w:sz w:val="22"/>
                <w:szCs w:val="22"/>
                <w:lang w:eastAsia="en-US"/>
              </w:rPr>
            </w:pPr>
          </w:p>
          <w:p w14:paraId="7012BDB2" w14:textId="77777777" w:rsidR="005D0AD2" w:rsidRPr="00520BB8" w:rsidRDefault="005D0AD2" w:rsidP="00634B42">
            <w:pPr>
              <w:spacing w:line="276" w:lineRule="auto"/>
              <w:jc w:val="left"/>
              <w:rPr>
                <w:rFonts w:asciiTheme="minorHAnsi" w:eastAsia="Calibri" w:hAnsiTheme="minorHAnsi" w:cstheme="minorHAnsi"/>
                <w:i/>
                <w:sz w:val="22"/>
                <w:szCs w:val="22"/>
                <w:lang w:eastAsia="en-US"/>
              </w:rPr>
            </w:pPr>
          </w:p>
        </w:tc>
      </w:tr>
      <w:tr w:rsidR="001174B5" w:rsidRPr="00520BB8" w14:paraId="1A2AD53B" w14:textId="77777777" w:rsidTr="00D3164F">
        <w:trPr>
          <w:trHeight w:val="684"/>
        </w:trPr>
        <w:tc>
          <w:tcPr>
            <w:tcW w:w="2787" w:type="dxa"/>
            <w:tcBorders>
              <w:left w:val="single" w:sz="8" w:space="0" w:color="000000"/>
            </w:tcBorders>
            <w:shd w:val="clear" w:color="auto" w:fill="auto"/>
            <w:tcMar>
              <w:top w:w="0" w:type="dxa"/>
              <w:left w:w="108" w:type="dxa"/>
              <w:bottom w:w="0" w:type="dxa"/>
              <w:right w:w="108" w:type="dxa"/>
            </w:tcMar>
          </w:tcPr>
          <w:p w14:paraId="6DE6E246" w14:textId="3CDF3E9B" w:rsidR="001174B5" w:rsidRPr="00520BB8" w:rsidRDefault="001174B5" w:rsidP="005D0AD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4D8399E1" w14:textId="55AF4940" w:rsidR="001174B5" w:rsidRPr="00520BB8" w:rsidRDefault="001174B5" w:rsidP="00974619">
            <w:pPr>
              <w:spacing w:line="276" w:lineRule="auto"/>
              <w:rPr>
                <w:rFonts w:asciiTheme="minorHAnsi" w:hAnsiTheme="minorHAnsi" w:cstheme="minorHAnsi"/>
                <w:sz w:val="22"/>
                <w:szCs w:val="22"/>
              </w:rPr>
            </w:pPr>
            <w:r w:rsidRPr="00520BB8">
              <w:rPr>
                <w:rFonts w:asciiTheme="minorHAnsi" w:hAnsiTheme="minorHAnsi" w:cstheme="minorHAnsi"/>
                <w:sz w:val="22"/>
                <w:szCs w:val="22"/>
              </w:rPr>
              <w:t>art. 78 ust. 1 pkt 10</w:t>
            </w:r>
            <w:r w:rsidRPr="00520BB8">
              <w:rPr>
                <w:rFonts w:asciiTheme="minorHAnsi" w:eastAsia="MS Mincho" w:hAnsiTheme="minorHAnsi" w:cstheme="minorHAnsi"/>
                <w:sz w:val="22"/>
                <w:szCs w:val="22"/>
              </w:rPr>
              <w:t xml:space="preserve"> ustawy – Prawo farmaceutyczne</w:t>
            </w:r>
          </w:p>
        </w:tc>
        <w:tc>
          <w:tcPr>
            <w:tcW w:w="2578" w:type="dxa"/>
            <w:shd w:val="clear" w:color="auto" w:fill="auto"/>
            <w:tcMar>
              <w:top w:w="0" w:type="dxa"/>
              <w:left w:w="108" w:type="dxa"/>
              <w:bottom w:w="0" w:type="dxa"/>
              <w:right w:w="108" w:type="dxa"/>
            </w:tcMar>
          </w:tcPr>
          <w:p w14:paraId="46E00D0E" w14:textId="4A982F2D" w:rsidR="00D3164F" w:rsidRPr="00520BB8" w:rsidRDefault="00D3164F" w:rsidP="00D3164F">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 xml:space="preserve">Wprowadzenie możliwości  </w:t>
            </w:r>
            <w:r w:rsidR="00B77825" w:rsidRPr="00520BB8">
              <w:rPr>
                <w:rFonts w:asciiTheme="minorHAnsi" w:eastAsia="Calibri" w:hAnsiTheme="minorHAnsi" w:cstheme="minorHAnsi"/>
                <w:sz w:val="22"/>
                <w:szCs w:val="22"/>
                <w:lang w:eastAsia="en-US"/>
              </w:rPr>
              <w:t xml:space="preserve">prowadzenia dokumentacji przy </w:t>
            </w:r>
            <w:r w:rsidRPr="00520BB8">
              <w:rPr>
                <w:rFonts w:asciiTheme="minorHAnsi" w:eastAsia="Calibri" w:hAnsiTheme="minorHAnsi" w:cstheme="minorHAnsi"/>
                <w:sz w:val="22"/>
                <w:szCs w:val="22"/>
                <w:lang w:eastAsia="en-US"/>
              </w:rPr>
              <w:t>stosowani</w:t>
            </w:r>
            <w:r w:rsidR="00B77825" w:rsidRPr="00520BB8">
              <w:rPr>
                <w:rFonts w:asciiTheme="minorHAnsi" w:eastAsia="Calibri" w:hAnsiTheme="minorHAnsi" w:cstheme="minorHAnsi"/>
                <w:sz w:val="22"/>
                <w:szCs w:val="22"/>
                <w:lang w:eastAsia="en-US"/>
              </w:rPr>
              <w:t>u</w:t>
            </w:r>
            <w:r w:rsidRPr="00520BB8">
              <w:rPr>
                <w:rFonts w:asciiTheme="minorHAnsi" w:eastAsia="Calibri" w:hAnsiTheme="minorHAnsi" w:cstheme="minorHAnsi"/>
                <w:sz w:val="22"/>
                <w:szCs w:val="22"/>
                <w:lang w:eastAsia="en-US"/>
              </w:rPr>
              <w:t xml:space="preserve"> systemu jakości określającego obowiązki, procesy i środki zarządzania ryzykiem związane z prowadzoną działalnością</w:t>
            </w:r>
            <w:r w:rsidR="00B77825" w:rsidRPr="00520BB8">
              <w:rPr>
                <w:rFonts w:asciiTheme="minorHAnsi" w:eastAsia="Calibri" w:hAnsiTheme="minorHAnsi" w:cstheme="minorHAnsi"/>
                <w:sz w:val="22"/>
                <w:szCs w:val="22"/>
                <w:lang w:eastAsia="en-US"/>
              </w:rPr>
              <w:t xml:space="preserve"> zarówno w języku polskim, jak i angielskim.</w:t>
            </w:r>
          </w:p>
          <w:p w14:paraId="4CB32FB8" w14:textId="1C61B31F" w:rsidR="001174B5" w:rsidRPr="00520BB8" w:rsidRDefault="001174B5" w:rsidP="00A20BBC">
            <w:pPr>
              <w:spacing w:line="276" w:lineRule="auto"/>
              <w:rPr>
                <w:rFonts w:asciiTheme="minorHAnsi" w:eastAsia="Calibri" w:hAnsiTheme="minorHAnsi" w:cstheme="minorHAnsi"/>
                <w:sz w:val="22"/>
                <w:szCs w:val="22"/>
                <w:lang w:eastAsia="en-US"/>
              </w:rPr>
            </w:pPr>
          </w:p>
        </w:tc>
        <w:tc>
          <w:tcPr>
            <w:tcW w:w="3774" w:type="dxa"/>
            <w:shd w:val="clear" w:color="auto" w:fill="auto"/>
            <w:tcMar>
              <w:top w:w="0" w:type="dxa"/>
              <w:left w:w="108" w:type="dxa"/>
              <w:bottom w:w="0" w:type="dxa"/>
              <w:right w:w="108" w:type="dxa"/>
            </w:tcMar>
          </w:tcPr>
          <w:p w14:paraId="113A7DAA" w14:textId="5BFD53C4" w:rsidR="001174B5" w:rsidRPr="00520BB8" w:rsidRDefault="00D3164F" w:rsidP="00D3164F">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 xml:space="preserve">Język angielski jest powszechnie stosowany w obrocie farmaceutycznym przez przedsiębiorców, organy Unii Europejskiej oraz agendy rządowe państw członkowskich. Język angielski jest akceptowany przez Prezesa URPL. Brak jest przeszkód, aby nowoczesny urząd, jakim jest Główny Inspektor Farmaceutyczny, również akceptował dokumentację systemów dystrybucyjnych i wytwarzania w tym języku. W praktyce, w przypadku przedsiębiorców prowadzących działalność w wielu krajach, bazowa dokumentacja wytwarzania i dystrybucji zawsze sporządzona jest w języku angielskim. Tworzenie polskich tłumaczeń – poza sytuacjami, w których jest to bezwzględnie wymagane przez </w:t>
            </w:r>
            <w:r w:rsidRPr="00520BB8">
              <w:rPr>
                <w:rFonts w:asciiTheme="minorHAnsi" w:eastAsia="Calibri" w:hAnsiTheme="minorHAnsi" w:cstheme="minorHAnsi"/>
                <w:sz w:val="22"/>
                <w:szCs w:val="22"/>
                <w:lang w:eastAsia="en-US"/>
              </w:rPr>
              <w:lastRenderedPageBreak/>
              <w:t>przepisy prawa (np. przeciwpożarowe lub prawa pracy) – prowadzi do powstania ryzyka niespójności oraz wysokich kosztów operacyjnych związanych z tłumaczeniem i dostosowywaniem wersji językowych. W bardzo wielu sytuacjach dokumentacji nie można prowadzić do polsku – np. dokumentacji walidacyjnej określonych podsystemów, takich jak chociażby system operacyjny komputerów logistycznych. Równie często nie sposób wyjaśnić treści polskiego dokumentu bez odwołania się do anglojęzycznego dokumentu bazowego. Zarówno pracownicy GIF (nadzorujący przecież również w pewnym zakresie działalność podmiotów zagranicznych), jak i osoby zatrudnione przy czynnościach wytwarzania oraz dystrybucji posługują się biegle językiem angielskim.</w:t>
            </w:r>
          </w:p>
        </w:tc>
        <w:tc>
          <w:tcPr>
            <w:tcW w:w="3540" w:type="dxa"/>
            <w:shd w:val="clear" w:color="auto" w:fill="auto"/>
            <w:tcMar>
              <w:top w:w="0" w:type="dxa"/>
              <w:left w:w="108" w:type="dxa"/>
              <w:bottom w:w="0" w:type="dxa"/>
              <w:right w:w="108" w:type="dxa"/>
            </w:tcMar>
          </w:tcPr>
          <w:p w14:paraId="2D61036A" w14:textId="77777777" w:rsidR="001174B5" w:rsidRPr="00520BB8" w:rsidRDefault="001174B5" w:rsidP="00634B42">
            <w:pPr>
              <w:spacing w:line="276" w:lineRule="auto"/>
              <w:jc w:val="left"/>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W art. 1 po pkt 13 dodaje się pkt 14 w następującym brzmieniu:</w:t>
            </w:r>
          </w:p>
          <w:p w14:paraId="5AAF8CAB" w14:textId="15BE6EBB" w:rsidR="00D3164F" w:rsidRPr="00520BB8" w:rsidRDefault="00D3164F" w:rsidP="00D3164F">
            <w:pPr>
              <w:spacing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 xml:space="preserve">14) w </w:t>
            </w:r>
            <w:r w:rsidRPr="00520BB8">
              <w:rPr>
                <w:rFonts w:asciiTheme="minorHAnsi" w:hAnsiTheme="minorHAnsi" w:cstheme="minorHAnsi"/>
                <w:sz w:val="22"/>
                <w:szCs w:val="22"/>
              </w:rPr>
              <w:t>art. 78 ust. 1 pkt 10</w:t>
            </w:r>
            <w:r w:rsidRPr="00520BB8">
              <w:rPr>
                <w:rFonts w:asciiTheme="minorHAnsi" w:eastAsia="MS Mincho" w:hAnsiTheme="minorHAnsi" w:cstheme="minorHAnsi"/>
                <w:sz w:val="22"/>
                <w:szCs w:val="22"/>
              </w:rPr>
              <w:t xml:space="preserve"> otrzymuje brzmienie: </w:t>
            </w:r>
          </w:p>
          <w:p w14:paraId="33930900" w14:textId="29EAA286" w:rsidR="001174B5" w:rsidRPr="00520BB8" w:rsidRDefault="00D3164F" w:rsidP="00D3164F">
            <w:pPr>
              <w:spacing w:line="276" w:lineRule="auto"/>
              <w:ind w:left="271"/>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„10)         stosowanie systemu jakości określającego obowiązki, procesy i środki zarządzania ryzykiem związane z prowadzoną działalnością wraz z dokumentacją systemu w języku polskim lub angielskim;”</w:t>
            </w:r>
          </w:p>
          <w:p w14:paraId="0BF391BE" w14:textId="7DCCC448" w:rsidR="001174B5" w:rsidRPr="00520BB8" w:rsidRDefault="001174B5" w:rsidP="00634B42">
            <w:pPr>
              <w:spacing w:line="276" w:lineRule="auto"/>
              <w:jc w:val="left"/>
              <w:rPr>
                <w:rFonts w:asciiTheme="minorHAnsi" w:eastAsia="Calibri" w:hAnsiTheme="minorHAnsi" w:cstheme="minorHAnsi"/>
                <w:sz w:val="22"/>
                <w:szCs w:val="22"/>
                <w:lang w:eastAsia="en-US"/>
              </w:rPr>
            </w:pPr>
          </w:p>
        </w:tc>
      </w:tr>
      <w:tr w:rsidR="007952EA" w:rsidRPr="00520BB8" w14:paraId="3B674470"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3C4CF981" w14:textId="64DBA392" w:rsidR="007952EA" w:rsidRPr="00520BB8" w:rsidRDefault="007952EA"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700CA37A" w14:textId="04793F74" w:rsidR="007952EA" w:rsidRPr="00520BB8" w:rsidRDefault="007952EA" w:rsidP="007952EA">
            <w:pPr>
              <w:spacing w:line="276" w:lineRule="auto"/>
              <w:rPr>
                <w:rFonts w:asciiTheme="minorHAnsi" w:hAnsiTheme="minorHAnsi" w:cstheme="minorHAnsi"/>
              </w:rPr>
            </w:pPr>
            <w:r w:rsidRPr="00520BB8">
              <w:rPr>
                <w:rFonts w:asciiTheme="minorHAnsi" w:eastAsia="Calibri" w:hAnsiTheme="minorHAnsi" w:cstheme="minorHAnsi"/>
                <w:sz w:val="22"/>
                <w:szCs w:val="22"/>
                <w:lang w:eastAsia="en-US"/>
              </w:rPr>
              <w:t>art. 1 pkt 18 projektu</w:t>
            </w:r>
            <w:r w:rsidR="0041348A" w:rsidRPr="00520BB8">
              <w:rPr>
                <w:rFonts w:asciiTheme="minorHAnsi" w:eastAsia="Calibri" w:hAnsiTheme="minorHAnsi" w:cstheme="minorHAnsi"/>
                <w:sz w:val="22"/>
                <w:szCs w:val="22"/>
                <w:lang w:eastAsia="en-US"/>
              </w:rPr>
              <w:t xml:space="preserve"> </w:t>
            </w:r>
          </w:p>
        </w:tc>
        <w:tc>
          <w:tcPr>
            <w:tcW w:w="2578" w:type="dxa"/>
            <w:shd w:val="clear" w:color="auto" w:fill="auto"/>
            <w:tcMar>
              <w:top w:w="0" w:type="dxa"/>
              <w:left w:w="108" w:type="dxa"/>
              <w:bottom w:w="0" w:type="dxa"/>
              <w:right w:w="108" w:type="dxa"/>
            </w:tcMar>
          </w:tcPr>
          <w:p w14:paraId="2FE86274" w14:textId="7519AF9A" w:rsidR="007952EA" w:rsidRPr="00520BB8" w:rsidRDefault="007952EA"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Usunięcie nowego rozdziału 7b </w:t>
            </w:r>
            <w:r w:rsidR="00714E21" w:rsidRPr="00520BB8">
              <w:rPr>
                <w:rFonts w:asciiTheme="minorHAnsi" w:eastAsia="Calibri" w:hAnsiTheme="minorHAnsi" w:cstheme="minorHAnsi"/>
                <w:color w:val="000000"/>
                <w:sz w:val="22"/>
                <w:szCs w:val="22"/>
                <w:lang w:eastAsia="en-US"/>
              </w:rPr>
              <w:t>O</w:t>
            </w:r>
            <w:r w:rsidRPr="00520BB8">
              <w:rPr>
                <w:rFonts w:asciiTheme="minorHAnsi" w:eastAsia="Calibri" w:hAnsiTheme="minorHAnsi" w:cstheme="minorHAnsi"/>
                <w:color w:val="000000"/>
                <w:sz w:val="22"/>
                <w:szCs w:val="22"/>
                <w:lang w:eastAsia="en-US"/>
              </w:rPr>
              <w:t>płata roczna.</w:t>
            </w:r>
          </w:p>
        </w:tc>
        <w:tc>
          <w:tcPr>
            <w:tcW w:w="3774" w:type="dxa"/>
            <w:shd w:val="clear" w:color="auto" w:fill="auto"/>
            <w:tcMar>
              <w:top w:w="0" w:type="dxa"/>
              <w:left w:w="108" w:type="dxa"/>
              <w:bottom w:w="0" w:type="dxa"/>
              <w:right w:w="108" w:type="dxa"/>
            </w:tcMar>
          </w:tcPr>
          <w:p w14:paraId="1354C7A1" w14:textId="77777777" w:rsidR="00C57D03" w:rsidRPr="00520BB8" w:rsidRDefault="007952EA"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 xml:space="preserve">Proponujemy usunięcie projektowanego rozdziału 7b w całości. Przepisy tego rozdziału wprowadzają opłatę mającą cechy podatku obrotowego - tzn. uniezależnioną od jakichkolwiek czynności po stronie </w:t>
            </w:r>
            <w:r w:rsidRPr="00520BB8">
              <w:rPr>
                <w:rFonts w:asciiTheme="minorHAnsi" w:eastAsia="Calibri" w:hAnsiTheme="minorHAnsi" w:cstheme="minorHAnsi"/>
                <w:sz w:val="22"/>
                <w:szCs w:val="22"/>
                <w:lang w:eastAsia="en-US"/>
              </w:rPr>
              <w:lastRenderedPageBreak/>
              <w:t xml:space="preserve">organu administracji, której wysokość zależy wprost proporcjonalnie od obrotu (przychodu) danego podmiotu. </w:t>
            </w:r>
            <w:r w:rsidRPr="00520BB8">
              <w:rPr>
                <w:rFonts w:asciiTheme="minorHAnsi" w:eastAsia="Calibri" w:hAnsiTheme="minorHAnsi" w:cstheme="minorHAnsi"/>
                <w:sz w:val="22"/>
                <w:szCs w:val="22"/>
                <w:lang w:eastAsia="en-US"/>
              </w:rPr>
              <w:br/>
            </w:r>
          </w:p>
          <w:p w14:paraId="03ABB7C3" w14:textId="77777777" w:rsidR="00C57D03" w:rsidRPr="00520BB8" w:rsidRDefault="00C57D03" w:rsidP="00634B42">
            <w:pPr>
              <w:spacing w:line="276" w:lineRule="auto"/>
              <w:rPr>
                <w:rFonts w:asciiTheme="minorHAnsi" w:eastAsia="Calibri" w:hAnsiTheme="minorHAnsi" w:cstheme="minorHAnsi"/>
                <w:b/>
                <w:bCs/>
                <w:sz w:val="22"/>
                <w:szCs w:val="22"/>
                <w:lang w:eastAsia="en-US"/>
              </w:rPr>
            </w:pPr>
            <w:r w:rsidRPr="00520BB8">
              <w:rPr>
                <w:rFonts w:asciiTheme="minorHAnsi" w:eastAsia="Calibri" w:hAnsiTheme="minorHAnsi" w:cstheme="minorHAnsi"/>
                <w:sz w:val="22"/>
                <w:szCs w:val="22"/>
                <w:lang w:eastAsia="en-US"/>
              </w:rPr>
              <w:t>Co istotne, podatek nakładany ma być na każdym etapie obrotu produktami – od wytwórcy aż do podmiotu zaopatrującego pacjentów. Podatek będzie więc wielokrotnie obciążał sprzedaż tego samego produktu na kolejnych etapach.</w:t>
            </w:r>
          </w:p>
          <w:p w14:paraId="6DB55C86" w14:textId="77777777" w:rsidR="00C57D03" w:rsidRPr="00520BB8" w:rsidRDefault="00C57D03" w:rsidP="00634B42">
            <w:pPr>
              <w:spacing w:line="276" w:lineRule="auto"/>
              <w:rPr>
                <w:rFonts w:asciiTheme="minorHAnsi" w:eastAsia="Calibri" w:hAnsiTheme="minorHAnsi" w:cstheme="minorHAnsi"/>
                <w:b/>
                <w:bCs/>
                <w:sz w:val="22"/>
                <w:szCs w:val="22"/>
                <w:lang w:eastAsia="en-US"/>
              </w:rPr>
            </w:pPr>
            <w:r w:rsidRPr="00520BB8">
              <w:rPr>
                <w:rFonts w:asciiTheme="minorHAnsi" w:eastAsia="Calibri" w:hAnsiTheme="minorHAnsi" w:cstheme="minorHAnsi"/>
                <w:b/>
                <w:bCs/>
                <w:sz w:val="22"/>
                <w:szCs w:val="22"/>
                <w:lang w:eastAsia="en-US"/>
              </w:rPr>
              <w:t>Ciężar nowego podatku będzie stanowił kolejny czynnik skutkujący wzrostem cen dla pacjenta wszystkich produktów oferowanych w aptekach (w tym produktów leczniczych). Co więcej, wzrost cen odczują również podmioty lecznicze, w tym szpitale, ponieważ podatek będzie obciążał także dostawców produktów leczniczych, wyrobów medycznych i innego asortymentu niezbędnego w placówkach służby zdrowia.</w:t>
            </w:r>
          </w:p>
          <w:p w14:paraId="0719871D" w14:textId="4ABA7F07" w:rsidR="007952EA" w:rsidRPr="00520BB8" w:rsidRDefault="007952EA"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br/>
              <w:t xml:space="preserve">Wprowadzenie  takiego podatku obrotowego naruszy spójność aktualnie istniejącego systemu podatków obrotowych. Nowy podatek jest w </w:t>
            </w:r>
            <w:r w:rsidRPr="00520BB8">
              <w:rPr>
                <w:rFonts w:asciiTheme="minorHAnsi" w:eastAsia="Calibri" w:hAnsiTheme="minorHAnsi" w:cstheme="minorHAnsi"/>
                <w:sz w:val="22"/>
                <w:szCs w:val="22"/>
                <w:lang w:eastAsia="en-US"/>
              </w:rPr>
              <w:lastRenderedPageBreak/>
              <w:t>istocie dyskryminacyjny wobec podmiotów inwestujących w Polsce - jego zakresem nie będą bowiem objęci wytwórcy i dystrybutorzy posiadający zakłady w Unii Europejskiej, chociaż GIF ma kompetencje do prowadzenia działań kontrolnych u takich podmiotów. Obniży to znacznie atrakcyjność inwestycyjną Polski i może spowodować decyzje o wycofywaniu się z działań dystrybucyjnych prowadzonych z zakładów w Polsce.</w:t>
            </w:r>
            <w:r w:rsidRPr="00520BB8">
              <w:rPr>
                <w:rFonts w:asciiTheme="minorHAnsi" w:eastAsia="Calibri" w:hAnsiTheme="minorHAnsi" w:cstheme="minorHAnsi"/>
                <w:sz w:val="22"/>
                <w:szCs w:val="22"/>
                <w:lang w:eastAsia="en-US"/>
              </w:rPr>
              <w:br/>
            </w:r>
            <w:r w:rsidRPr="00520BB8">
              <w:rPr>
                <w:rFonts w:asciiTheme="minorHAnsi" w:eastAsia="Calibri" w:hAnsiTheme="minorHAnsi" w:cstheme="minorHAnsi"/>
                <w:sz w:val="22"/>
                <w:szCs w:val="22"/>
                <w:lang w:eastAsia="en-US"/>
              </w:rPr>
              <w:br/>
              <w:t>Obrót lekami nie będzie polegał podatkowi w przypadku</w:t>
            </w:r>
            <w:r w:rsidR="00C57D03" w:rsidRPr="00520BB8">
              <w:rPr>
                <w:rFonts w:asciiTheme="minorHAnsi" w:eastAsia="Calibri" w:hAnsiTheme="minorHAnsi" w:cstheme="minorHAnsi"/>
                <w:sz w:val="22"/>
                <w:szCs w:val="22"/>
                <w:lang w:eastAsia="en-US"/>
              </w:rPr>
              <w:t xml:space="preserve"> </w:t>
            </w:r>
            <w:r w:rsidRPr="00520BB8">
              <w:rPr>
                <w:rFonts w:asciiTheme="minorHAnsi" w:eastAsia="Calibri" w:hAnsiTheme="minorHAnsi" w:cstheme="minorHAnsi"/>
                <w:sz w:val="22"/>
                <w:szCs w:val="22"/>
                <w:lang w:eastAsia="en-US"/>
              </w:rPr>
              <w:t xml:space="preserve">placówek obrotu </w:t>
            </w:r>
            <w:proofErr w:type="spellStart"/>
            <w:r w:rsidRPr="00520BB8">
              <w:rPr>
                <w:rFonts w:asciiTheme="minorHAnsi" w:eastAsia="Calibri" w:hAnsiTheme="minorHAnsi" w:cstheme="minorHAnsi"/>
                <w:sz w:val="22"/>
                <w:szCs w:val="22"/>
                <w:lang w:eastAsia="en-US"/>
              </w:rPr>
              <w:t>pozaaptecznego</w:t>
            </w:r>
            <w:proofErr w:type="spellEnd"/>
            <w:r w:rsidRPr="00520BB8">
              <w:rPr>
                <w:rFonts w:asciiTheme="minorHAnsi" w:eastAsia="Calibri" w:hAnsiTheme="minorHAnsi" w:cstheme="minorHAnsi"/>
                <w:sz w:val="22"/>
                <w:szCs w:val="22"/>
                <w:lang w:eastAsia="en-US"/>
              </w:rPr>
              <w:t xml:space="preserve"> (np. dużych sieci handlowych), chociaż GIF może prowadzić tam kontrole. Oznacza to zarazem, że hurtownie farm. i apteki będą finansowały kontrolowanie innych podmiotów, niezależnych od nich.</w:t>
            </w:r>
          </w:p>
          <w:p w14:paraId="7961119D" w14:textId="77777777" w:rsidR="007952EA" w:rsidRPr="00520BB8" w:rsidRDefault="007952EA" w:rsidP="00634B42">
            <w:pPr>
              <w:spacing w:line="276" w:lineRule="auto"/>
              <w:rPr>
                <w:rFonts w:asciiTheme="minorHAnsi" w:eastAsia="Calibri" w:hAnsiTheme="minorHAnsi" w:cstheme="minorHAnsi"/>
                <w:sz w:val="22"/>
                <w:szCs w:val="22"/>
                <w:lang w:eastAsia="en-US"/>
              </w:rPr>
            </w:pPr>
          </w:p>
          <w:p w14:paraId="0115BB9C" w14:textId="30F4B59E" w:rsidR="007952EA" w:rsidRPr="00520BB8" w:rsidRDefault="007952EA"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 xml:space="preserve">Nowy podatek znacznie utrudni działalność dużym dostawcom, których działalność pozwala na stosowanie efektywnie niskich marż - podatek jest bowiem naliczany od przychodu, a nie od dochodu. Koszt podatku zostanie </w:t>
            </w:r>
            <w:r w:rsidRPr="00520BB8">
              <w:rPr>
                <w:rFonts w:asciiTheme="minorHAnsi" w:eastAsia="Calibri" w:hAnsiTheme="minorHAnsi" w:cstheme="minorHAnsi"/>
                <w:sz w:val="22"/>
                <w:szCs w:val="22"/>
                <w:lang w:eastAsia="en-US"/>
              </w:rPr>
              <w:lastRenderedPageBreak/>
              <w:t xml:space="preserve">skompensowany wzrostem cen produktów dystrybuowanych przez farmaceutyczną sieć hurtową i detaliczną (za wyjątkiem produktów refundowanych - patrz dalsze uwagi). </w:t>
            </w:r>
            <w:r w:rsidRPr="00520BB8">
              <w:rPr>
                <w:rFonts w:asciiTheme="minorHAnsi" w:eastAsia="Calibri" w:hAnsiTheme="minorHAnsi" w:cstheme="minorHAnsi"/>
                <w:sz w:val="22"/>
                <w:szCs w:val="22"/>
                <w:lang w:eastAsia="en-US"/>
              </w:rPr>
              <w:br/>
            </w:r>
            <w:r w:rsidRPr="00520BB8">
              <w:rPr>
                <w:rFonts w:asciiTheme="minorHAnsi" w:eastAsia="Calibri" w:hAnsiTheme="minorHAnsi" w:cstheme="minorHAnsi"/>
                <w:sz w:val="22"/>
                <w:szCs w:val="22"/>
                <w:lang w:eastAsia="en-US"/>
              </w:rPr>
              <w:br/>
              <w:t>W przypadku niektórych podmiotów prowadzących obrót produktami refundowanymi projektowana zmiana może przełożyć się na konieczność ograniczenia lub zakończenia działalności dostawczej ze względu na to, że nowy podatek obrotowy nie będzie mógł zostać przerzucony na odbiorcę ostatecznego ze względu na sztywne ceny refundacyjne.</w:t>
            </w:r>
          </w:p>
        </w:tc>
        <w:tc>
          <w:tcPr>
            <w:tcW w:w="3540" w:type="dxa"/>
            <w:shd w:val="clear" w:color="auto" w:fill="auto"/>
            <w:tcMar>
              <w:top w:w="0" w:type="dxa"/>
              <w:left w:w="108" w:type="dxa"/>
              <w:bottom w:w="0" w:type="dxa"/>
              <w:right w:w="108" w:type="dxa"/>
            </w:tcMar>
          </w:tcPr>
          <w:p w14:paraId="39CAFD61" w14:textId="030E9FC7" w:rsidR="007952EA" w:rsidRPr="00520BB8" w:rsidRDefault="007952EA" w:rsidP="00634B42">
            <w:pPr>
              <w:spacing w:line="276" w:lineRule="auto"/>
              <w:jc w:val="left"/>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 xml:space="preserve">W art. 1 usuwa się pkt 18. </w:t>
            </w:r>
          </w:p>
        </w:tc>
      </w:tr>
      <w:tr w:rsidR="007952EA" w:rsidRPr="00520BB8" w14:paraId="4D92CDA0"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52FED21A" w14:textId="6C3BB464" w:rsidR="007952EA" w:rsidRPr="00520BB8" w:rsidRDefault="007952EA"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14CF1FB1" w14:textId="17836E18" w:rsidR="00851892" w:rsidRPr="00520BB8" w:rsidRDefault="00326E47" w:rsidP="009C03D3">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30 projektu</w:t>
            </w:r>
          </w:p>
        </w:tc>
        <w:tc>
          <w:tcPr>
            <w:tcW w:w="2578" w:type="dxa"/>
            <w:shd w:val="clear" w:color="auto" w:fill="auto"/>
            <w:tcMar>
              <w:top w:w="0" w:type="dxa"/>
              <w:left w:w="108" w:type="dxa"/>
              <w:bottom w:w="0" w:type="dxa"/>
              <w:right w:w="108" w:type="dxa"/>
            </w:tcMar>
          </w:tcPr>
          <w:p w14:paraId="68FF8085" w14:textId="3BAF1E3B" w:rsidR="007952EA" w:rsidRPr="00520BB8" w:rsidRDefault="00622C4C"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Standardy kontroli powinny być każdorazowo ujawniane, aby przedsiębiorcy mieli zapewnioną możliwość dostosowania się do wymagań GIF. </w:t>
            </w:r>
          </w:p>
        </w:tc>
        <w:tc>
          <w:tcPr>
            <w:tcW w:w="3774" w:type="dxa"/>
            <w:shd w:val="clear" w:color="auto" w:fill="auto"/>
            <w:tcMar>
              <w:top w:w="0" w:type="dxa"/>
              <w:left w:w="108" w:type="dxa"/>
              <w:bottom w:w="0" w:type="dxa"/>
              <w:right w:w="108" w:type="dxa"/>
            </w:tcMar>
          </w:tcPr>
          <w:p w14:paraId="2CF26980" w14:textId="297B9804" w:rsidR="007952EA" w:rsidRPr="00520BB8" w:rsidRDefault="007952EA"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Przy okazji zmiany prawnej warto zauważyć, że przedsiębiorcy nie powinni być zaskakiwani wewnętrznymi standardami kontroli, które mogą opierać się na urzędowej  interpretacji przepisów prawa, nieznanej powszechnie. Jest to problemem również dziś.</w:t>
            </w:r>
            <w:r w:rsidRPr="00520BB8">
              <w:rPr>
                <w:rFonts w:asciiTheme="minorHAnsi" w:eastAsia="Calibri" w:hAnsiTheme="minorHAnsi" w:cstheme="minorHAnsi"/>
                <w:sz w:val="22"/>
                <w:szCs w:val="22"/>
                <w:lang w:eastAsia="en-US"/>
              </w:rPr>
              <w:br/>
            </w:r>
            <w:r w:rsidRPr="00520BB8">
              <w:rPr>
                <w:rFonts w:asciiTheme="minorHAnsi" w:eastAsia="Calibri" w:hAnsiTheme="minorHAnsi" w:cstheme="minorHAnsi"/>
                <w:sz w:val="22"/>
                <w:szCs w:val="22"/>
                <w:lang w:eastAsia="en-US"/>
              </w:rPr>
              <w:br/>
              <w:t xml:space="preserve">Z tego względu, standardy te powinny być każdorazowo ujawniane, aby zapewnić przedsiębiorcom możliwość </w:t>
            </w:r>
            <w:r w:rsidRPr="00520BB8">
              <w:rPr>
                <w:rFonts w:asciiTheme="minorHAnsi" w:eastAsia="Calibri" w:hAnsiTheme="minorHAnsi" w:cstheme="minorHAnsi"/>
                <w:sz w:val="22"/>
                <w:szCs w:val="22"/>
                <w:lang w:eastAsia="en-US"/>
              </w:rPr>
              <w:lastRenderedPageBreak/>
              <w:t>dostosowania się do wymagań GIF lub przygotowania argumentów prawnych na potwierdzenie tezy np. o niezasadności oczekiwań GIF.</w:t>
            </w:r>
          </w:p>
        </w:tc>
        <w:tc>
          <w:tcPr>
            <w:tcW w:w="3540" w:type="dxa"/>
            <w:shd w:val="clear" w:color="auto" w:fill="auto"/>
            <w:tcMar>
              <w:top w:w="0" w:type="dxa"/>
              <w:left w:w="108" w:type="dxa"/>
              <w:bottom w:w="0" w:type="dxa"/>
              <w:right w:w="108" w:type="dxa"/>
            </w:tcMar>
          </w:tcPr>
          <w:p w14:paraId="16667400" w14:textId="03EB4777" w:rsidR="007952EA" w:rsidRPr="00520BB8" w:rsidRDefault="007952EA" w:rsidP="00634B42">
            <w:pPr>
              <w:spacing w:line="276" w:lineRule="auto"/>
              <w:jc w:val="left"/>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 xml:space="preserve">W art. 1 pkt </w:t>
            </w:r>
            <w:r w:rsidR="00326E47" w:rsidRPr="00520BB8">
              <w:rPr>
                <w:rFonts w:asciiTheme="minorHAnsi" w:eastAsia="Calibri" w:hAnsiTheme="minorHAnsi" w:cstheme="minorHAnsi"/>
                <w:sz w:val="22"/>
                <w:szCs w:val="22"/>
                <w:lang w:eastAsia="en-US"/>
              </w:rPr>
              <w:t xml:space="preserve">30 </w:t>
            </w:r>
            <w:r w:rsidRPr="00520BB8">
              <w:rPr>
                <w:rFonts w:asciiTheme="minorHAnsi" w:eastAsia="Calibri" w:hAnsiTheme="minorHAnsi" w:cstheme="minorHAnsi"/>
                <w:sz w:val="22"/>
                <w:szCs w:val="22"/>
                <w:lang w:eastAsia="en-US"/>
              </w:rPr>
              <w:t xml:space="preserve">po </w:t>
            </w:r>
            <w:r w:rsidR="00326E47" w:rsidRPr="00520BB8">
              <w:rPr>
                <w:rFonts w:asciiTheme="minorHAnsi" w:eastAsia="Calibri" w:hAnsiTheme="minorHAnsi" w:cstheme="minorHAnsi"/>
                <w:sz w:val="22"/>
                <w:szCs w:val="22"/>
                <w:lang w:eastAsia="en-US"/>
              </w:rPr>
              <w:t>lit. a dodaje się lit. b w brzmieniu:</w:t>
            </w:r>
          </w:p>
          <w:p w14:paraId="74216264" w14:textId="77777777" w:rsidR="00622C4C" w:rsidRPr="00520BB8" w:rsidRDefault="00622C4C" w:rsidP="00634B42">
            <w:pPr>
              <w:spacing w:line="276" w:lineRule="auto"/>
              <w:jc w:val="left"/>
              <w:rPr>
                <w:rFonts w:asciiTheme="minorHAnsi" w:eastAsia="Calibri" w:hAnsiTheme="minorHAnsi" w:cstheme="minorHAnsi"/>
                <w:sz w:val="22"/>
                <w:szCs w:val="22"/>
                <w:lang w:eastAsia="en-US"/>
              </w:rPr>
            </w:pPr>
          </w:p>
          <w:p w14:paraId="7341D0CC" w14:textId="23361170" w:rsidR="00326E47" w:rsidRPr="00520BB8" w:rsidRDefault="003817D6" w:rsidP="00634B42">
            <w:pPr>
              <w:spacing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 xml:space="preserve">b) </w:t>
            </w:r>
            <w:r w:rsidR="00326E47" w:rsidRPr="00520BB8">
              <w:rPr>
                <w:rFonts w:asciiTheme="minorHAnsi" w:eastAsia="Calibri" w:hAnsiTheme="minorHAnsi" w:cstheme="minorHAnsi"/>
                <w:i/>
                <w:iCs/>
                <w:sz w:val="22"/>
                <w:szCs w:val="22"/>
                <w:lang w:eastAsia="en-US"/>
              </w:rPr>
              <w:t>ust.2 otrzymuje brzmienie:</w:t>
            </w:r>
          </w:p>
          <w:p w14:paraId="03066277" w14:textId="77777777" w:rsidR="00326E47" w:rsidRPr="00520BB8" w:rsidRDefault="00326E47" w:rsidP="00634B42">
            <w:pPr>
              <w:pStyle w:val="Akapitzlist"/>
              <w:spacing w:line="276" w:lineRule="auto"/>
              <w:rPr>
                <w:rFonts w:asciiTheme="minorHAnsi" w:eastAsia="Calibri" w:hAnsiTheme="minorHAnsi" w:cstheme="minorHAnsi"/>
                <w:i/>
                <w:iCs/>
                <w:sz w:val="22"/>
                <w:szCs w:val="22"/>
                <w:lang w:eastAsia="en-US"/>
              </w:rPr>
            </w:pPr>
          </w:p>
          <w:p w14:paraId="3EF418F2" w14:textId="1D97930E" w:rsidR="00326E47" w:rsidRPr="00520BB8" w:rsidRDefault="00326E47" w:rsidP="00634B42">
            <w:pPr>
              <w:spacing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 xml:space="preserve">„2. Jednolite standardowe procedury kontroli, o których mowa w ustępie poprzedzającym, stanowią informację publiczną a ich treść oraz wszelkie zmiany podlegają ujawnieniu w Biuletynie Informacji </w:t>
            </w:r>
            <w:r w:rsidRPr="00520BB8">
              <w:rPr>
                <w:rFonts w:asciiTheme="minorHAnsi" w:eastAsia="Calibri" w:hAnsiTheme="minorHAnsi" w:cstheme="minorHAnsi"/>
                <w:i/>
                <w:iCs/>
                <w:sz w:val="22"/>
                <w:szCs w:val="22"/>
                <w:lang w:eastAsia="en-US"/>
              </w:rPr>
              <w:lastRenderedPageBreak/>
              <w:t>Publicznej Głównego Inspektora Farmaceutycznego.”</w:t>
            </w:r>
          </w:p>
          <w:p w14:paraId="75114D6D" w14:textId="77777777" w:rsidR="00326E47" w:rsidRPr="00520BB8" w:rsidRDefault="00326E47" w:rsidP="00634B42">
            <w:pPr>
              <w:spacing w:line="276" w:lineRule="auto"/>
              <w:jc w:val="left"/>
              <w:rPr>
                <w:rFonts w:asciiTheme="minorHAnsi" w:eastAsia="Calibri" w:hAnsiTheme="minorHAnsi" w:cstheme="minorHAnsi"/>
                <w:sz w:val="22"/>
                <w:szCs w:val="22"/>
                <w:lang w:eastAsia="en-US"/>
              </w:rPr>
            </w:pPr>
          </w:p>
          <w:p w14:paraId="404FA846" w14:textId="3FC87F14" w:rsidR="00326E47" w:rsidRPr="00520BB8" w:rsidRDefault="00326E47" w:rsidP="00634B42">
            <w:pPr>
              <w:spacing w:line="276" w:lineRule="auto"/>
              <w:jc w:val="left"/>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W art. 1 pkt 30 lit. b staje się lit. c i nadaje się następuje brzmienie:</w:t>
            </w:r>
          </w:p>
          <w:p w14:paraId="09BFF9B6" w14:textId="77777777" w:rsidR="00622C4C" w:rsidRPr="00520BB8" w:rsidRDefault="00622C4C" w:rsidP="00634B42">
            <w:pPr>
              <w:spacing w:line="276" w:lineRule="auto"/>
              <w:jc w:val="left"/>
              <w:rPr>
                <w:rFonts w:asciiTheme="minorHAnsi" w:eastAsia="Calibri" w:hAnsiTheme="minorHAnsi" w:cstheme="minorHAnsi"/>
                <w:sz w:val="22"/>
                <w:szCs w:val="22"/>
                <w:lang w:eastAsia="en-US"/>
              </w:rPr>
            </w:pPr>
          </w:p>
          <w:p w14:paraId="71982EF6" w14:textId="27159CF4" w:rsidR="00326E47" w:rsidRPr="00520BB8" w:rsidRDefault="003817D6" w:rsidP="0018737F">
            <w:pPr>
              <w:spacing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 xml:space="preserve">c) </w:t>
            </w:r>
            <w:r w:rsidR="00326E47" w:rsidRPr="00520BB8">
              <w:rPr>
                <w:rFonts w:asciiTheme="minorHAnsi" w:eastAsia="Calibri" w:hAnsiTheme="minorHAnsi" w:cstheme="minorHAnsi"/>
                <w:i/>
                <w:iCs/>
                <w:sz w:val="22"/>
                <w:szCs w:val="22"/>
                <w:lang w:eastAsia="en-US"/>
              </w:rPr>
              <w:t xml:space="preserve">uchyla się ust. 3–4; </w:t>
            </w:r>
          </w:p>
          <w:p w14:paraId="6AC61EA7" w14:textId="5AF145D8" w:rsidR="00326E47" w:rsidRPr="00520BB8" w:rsidRDefault="00326E47" w:rsidP="00634B42">
            <w:pPr>
              <w:spacing w:line="276" w:lineRule="auto"/>
              <w:jc w:val="left"/>
              <w:rPr>
                <w:rFonts w:asciiTheme="minorHAnsi" w:eastAsia="Calibri" w:hAnsiTheme="minorHAnsi" w:cstheme="minorHAnsi"/>
                <w:sz w:val="22"/>
                <w:szCs w:val="22"/>
                <w:lang w:eastAsia="en-US"/>
              </w:rPr>
            </w:pPr>
          </w:p>
        </w:tc>
      </w:tr>
      <w:tr w:rsidR="00622C4C" w:rsidRPr="00520BB8" w14:paraId="29C118E6"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6C0B7B10" w14:textId="6821592F" w:rsidR="00622C4C" w:rsidRPr="00520BB8" w:rsidRDefault="00622C4C"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3B70C1B0" w14:textId="58E1F594" w:rsidR="00622C4C" w:rsidRPr="00520BB8" w:rsidRDefault="00622C4C"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34 projektu</w:t>
            </w:r>
          </w:p>
          <w:p w14:paraId="0F7CFF70" w14:textId="6F971E55" w:rsidR="00672F7C" w:rsidRPr="00520BB8" w:rsidRDefault="00672F7C" w:rsidP="007952EA">
            <w:pPr>
              <w:spacing w:line="276" w:lineRule="auto"/>
              <w:rPr>
                <w:rFonts w:asciiTheme="minorHAnsi" w:eastAsia="Calibri" w:hAnsiTheme="minorHAnsi" w:cstheme="minorHAnsi"/>
                <w:i/>
                <w:iCs/>
                <w:color w:val="000000"/>
                <w:sz w:val="22"/>
                <w:szCs w:val="22"/>
                <w:lang w:eastAsia="en-US"/>
              </w:rPr>
            </w:pPr>
          </w:p>
        </w:tc>
        <w:tc>
          <w:tcPr>
            <w:tcW w:w="2578" w:type="dxa"/>
            <w:shd w:val="clear" w:color="auto" w:fill="auto"/>
            <w:tcMar>
              <w:top w:w="0" w:type="dxa"/>
              <w:left w:w="108" w:type="dxa"/>
              <w:bottom w:w="0" w:type="dxa"/>
              <w:right w:w="108" w:type="dxa"/>
            </w:tcMar>
          </w:tcPr>
          <w:p w14:paraId="49603172" w14:textId="40AD6AC2" w:rsidR="00622C4C" w:rsidRPr="00520BB8" w:rsidRDefault="00622C4C"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Zmiana używanych przez projekt pojęć</w:t>
            </w:r>
            <w:r w:rsidR="002112E8" w:rsidRPr="00520BB8">
              <w:rPr>
                <w:rFonts w:asciiTheme="minorHAnsi" w:eastAsia="Calibri" w:hAnsiTheme="minorHAnsi" w:cstheme="minorHAnsi"/>
                <w:color w:val="000000"/>
                <w:sz w:val="22"/>
                <w:szCs w:val="22"/>
                <w:lang w:eastAsia="en-US"/>
              </w:rPr>
              <w:t xml:space="preserve"> jest konieczna, </w:t>
            </w:r>
            <w:r w:rsidRPr="00520BB8">
              <w:rPr>
                <w:rFonts w:asciiTheme="minorHAnsi" w:eastAsia="Calibri" w:hAnsiTheme="minorHAnsi" w:cstheme="minorHAnsi"/>
                <w:color w:val="000000"/>
                <w:sz w:val="22"/>
                <w:szCs w:val="22"/>
                <w:lang w:eastAsia="en-US"/>
              </w:rPr>
              <w:t xml:space="preserve">aby były </w:t>
            </w:r>
            <w:r w:rsidR="00C67B82" w:rsidRPr="00520BB8">
              <w:rPr>
                <w:rFonts w:asciiTheme="minorHAnsi" w:eastAsia="Calibri" w:hAnsiTheme="minorHAnsi" w:cstheme="minorHAnsi"/>
                <w:color w:val="000000"/>
                <w:sz w:val="22"/>
                <w:szCs w:val="22"/>
                <w:lang w:eastAsia="en-US"/>
              </w:rPr>
              <w:t xml:space="preserve">one </w:t>
            </w:r>
            <w:r w:rsidRPr="00520BB8">
              <w:rPr>
                <w:rFonts w:asciiTheme="minorHAnsi" w:eastAsia="Calibri" w:hAnsiTheme="minorHAnsi" w:cstheme="minorHAnsi"/>
                <w:color w:val="000000"/>
                <w:sz w:val="22"/>
                <w:szCs w:val="22"/>
                <w:lang w:eastAsia="en-US"/>
              </w:rPr>
              <w:t>dostosowane do aktualnych przepisów prawa unijnego.</w:t>
            </w:r>
          </w:p>
        </w:tc>
        <w:tc>
          <w:tcPr>
            <w:tcW w:w="3774" w:type="dxa"/>
            <w:shd w:val="clear" w:color="auto" w:fill="auto"/>
            <w:tcMar>
              <w:top w:w="0" w:type="dxa"/>
              <w:left w:w="108" w:type="dxa"/>
              <w:bottom w:w="0" w:type="dxa"/>
              <w:right w:w="108" w:type="dxa"/>
            </w:tcMar>
          </w:tcPr>
          <w:p w14:paraId="701C74AD" w14:textId="77777777" w:rsidR="00622C4C" w:rsidRPr="00520BB8" w:rsidRDefault="00622C4C"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Termin "wytwórca" i "autoryzowany przedstawiciel" nie są już aktualne, prawo unijne używa terminów odpowiednio: "producent" i "upoważniony przedstawiciel". Nowe prawodawstwo w zakresie wyrobów medycznych nie przewiduje takich konstrukcji jak osoba upoważniona w sprawie incydentów medycznych - adresatem wszelkich działań powinien być wyłącznie producent lub jego upoważniony przedstawiciel.</w:t>
            </w:r>
            <w:r w:rsidR="00B475CC" w:rsidRPr="00520BB8">
              <w:rPr>
                <w:rFonts w:asciiTheme="minorHAnsi" w:eastAsia="Calibri" w:hAnsiTheme="minorHAnsi" w:cstheme="minorHAnsi"/>
                <w:color w:val="000000"/>
                <w:sz w:val="22"/>
                <w:szCs w:val="22"/>
                <w:lang w:eastAsia="en-US"/>
              </w:rPr>
              <w:t xml:space="preserve"> </w:t>
            </w:r>
          </w:p>
          <w:p w14:paraId="51A42555" w14:textId="77777777" w:rsidR="00B475CC" w:rsidRPr="00520BB8" w:rsidRDefault="00B475CC" w:rsidP="00634B42">
            <w:pPr>
              <w:spacing w:line="276" w:lineRule="auto"/>
              <w:rPr>
                <w:rFonts w:asciiTheme="minorHAnsi" w:eastAsia="Calibri" w:hAnsiTheme="minorHAnsi" w:cstheme="minorHAnsi"/>
                <w:color w:val="000000"/>
                <w:sz w:val="22"/>
                <w:szCs w:val="22"/>
                <w:lang w:eastAsia="en-US"/>
              </w:rPr>
            </w:pPr>
          </w:p>
          <w:p w14:paraId="0A55C061" w14:textId="2B90A8B9" w:rsidR="00B475CC" w:rsidRPr="00520BB8" w:rsidRDefault="00B475CC" w:rsidP="00634B42">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color w:val="000000"/>
                <w:sz w:val="22"/>
                <w:szCs w:val="22"/>
                <w:lang w:eastAsia="en-US"/>
              </w:rPr>
              <w:t xml:space="preserve">GIF nie jest organem kompetentnym w zakresie oceny jakości wyrobów medycznych </w:t>
            </w:r>
            <w:r w:rsidR="000F5E35" w:rsidRPr="00520BB8">
              <w:rPr>
                <w:rFonts w:asciiTheme="minorHAnsi" w:eastAsia="Calibri" w:hAnsiTheme="minorHAnsi" w:cstheme="minorHAnsi"/>
                <w:color w:val="000000"/>
                <w:sz w:val="22"/>
                <w:szCs w:val="22"/>
                <w:lang w:eastAsia="en-US"/>
              </w:rPr>
              <w:t xml:space="preserve">– organem takim jest URPL. Poza zawiadomieniem URPL, żadne inne działanie nie powinno leżeć w uprawnieniach GIF. Niedopuszczalne jest pozostawienie sformułowania o </w:t>
            </w:r>
            <w:r w:rsidR="000F5E35" w:rsidRPr="00520BB8">
              <w:rPr>
                <w:rFonts w:asciiTheme="minorHAnsi" w:eastAsia="Calibri" w:hAnsiTheme="minorHAnsi" w:cstheme="minorHAnsi"/>
                <w:color w:val="000000"/>
                <w:sz w:val="22"/>
                <w:szCs w:val="22"/>
                <w:lang w:eastAsia="en-US"/>
              </w:rPr>
              <w:lastRenderedPageBreak/>
              <w:t>„zabezpieczeniu</w:t>
            </w:r>
            <w:r w:rsidR="0086101C" w:rsidRPr="00520BB8">
              <w:rPr>
                <w:rFonts w:asciiTheme="minorHAnsi" w:eastAsia="Calibri" w:hAnsiTheme="minorHAnsi" w:cstheme="minorHAnsi"/>
                <w:color w:val="000000"/>
                <w:sz w:val="22"/>
                <w:szCs w:val="22"/>
                <w:lang w:eastAsia="en-US"/>
              </w:rPr>
              <w:t>” wyrobu medycznego bez regulacji prawnej, która wskazywałaby na czym takie zabezpieczenie ma polegać. W realiach obrotu</w:t>
            </w:r>
            <w:r w:rsidR="001F350C" w:rsidRPr="00520BB8">
              <w:rPr>
                <w:rFonts w:asciiTheme="minorHAnsi" w:eastAsia="Calibri" w:hAnsiTheme="minorHAnsi" w:cstheme="minorHAnsi"/>
                <w:color w:val="000000"/>
                <w:sz w:val="22"/>
                <w:szCs w:val="22"/>
                <w:lang w:eastAsia="en-US"/>
              </w:rPr>
              <w:t xml:space="preserve">, wystarczające jest kwarantannowanie „podejrzanego” towaru, co wymaga wyłącznie zawiadomienia kierownika apteki lub osoby odpowiedzialnej w hurtowni. </w:t>
            </w:r>
          </w:p>
        </w:tc>
        <w:tc>
          <w:tcPr>
            <w:tcW w:w="3540" w:type="dxa"/>
            <w:shd w:val="clear" w:color="auto" w:fill="auto"/>
            <w:tcMar>
              <w:top w:w="0" w:type="dxa"/>
              <w:left w:w="108" w:type="dxa"/>
              <w:bottom w:w="0" w:type="dxa"/>
              <w:right w:w="108" w:type="dxa"/>
            </w:tcMar>
          </w:tcPr>
          <w:p w14:paraId="10DA3F1A" w14:textId="3A7B6E03" w:rsidR="00622C4C" w:rsidRPr="00520BB8" w:rsidRDefault="00622C4C"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lastRenderedPageBreak/>
              <w:t>Zmienia się art. 1 pkt 34 lit. b w następujący sposób:</w:t>
            </w:r>
          </w:p>
          <w:p w14:paraId="2C3838E4" w14:textId="77777777" w:rsidR="00622C4C" w:rsidRPr="00520BB8" w:rsidRDefault="00622C4C" w:rsidP="00634B42">
            <w:pPr>
              <w:spacing w:line="276" w:lineRule="auto"/>
              <w:rPr>
                <w:rFonts w:asciiTheme="minorHAnsi" w:eastAsia="Calibri" w:hAnsiTheme="minorHAnsi" w:cstheme="minorHAnsi"/>
                <w:color w:val="000000"/>
                <w:sz w:val="22"/>
                <w:szCs w:val="22"/>
                <w:lang w:eastAsia="en-US"/>
              </w:rPr>
            </w:pPr>
          </w:p>
          <w:p w14:paraId="380F8A0F" w14:textId="54402100" w:rsidR="00622C4C" w:rsidRPr="00520BB8" w:rsidRDefault="00E026F9" w:rsidP="00634B42">
            <w:pPr>
              <w:spacing w:after="120"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b) </w:t>
            </w:r>
            <w:r w:rsidR="00622C4C" w:rsidRPr="00520BB8">
              <w:rPr>
                <w:rFonts w:asciiTheme="minorHAnsi" w:eastAsia="Calibri" w:hAnsiTheme="minorHAnsi" w:cstheme="minorHAnsi"/>
                <w:i/>
                <w:iCs/>
                <w:color w:val="000000"/>
                <w:sz w:val="22"/>
                <w:szCs w:val="22"/>
                <w:lang w:eastAsia="en-US"/>
              </w:rPr>
              <w:t>ust. 3 otrzymuje brzmienie:</w:t>
            </w:r>
          </w:p>
          <w:p w14:paraId="7BA9B19B" w14:textId="77777777" w:rsidR="00622C4C" w:rsidRPr="00520BB8" w:rsidRDefault="00622C4C" w:rsidP="00634B42">
            <w:pPr>
              <w:spacing w:line="276" w:lineRule="auto"/>
              <w:rPr>
                <w:rFonts w:asciiTheme="minorHAnsi" w:eastAsia="Calibri" w:hAnsiTheme="minorHAnsi" w:cstheme="minorHAnsi"/>
                <w:color w:val="000000"/>
                <w:sz w:val="22"/>
                <w:szCs w:val="22"/>
                <w:lang w:eastAsia="en-US"/>
              </w:rPr>
            </w:pPr>
          </w:p>
          <w:p w14:paraId="700A7D49" w14:textId="732F14A3" w:rsidR="00622C4C" w:rsidRPr="00520BB8" w:rsidRDefault="00622C4C" w:rsidP="00634B42">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color w:val="000000"/>
                <w:sz w:val="22"/>
                <w:szCs w:val="22"/>
                <w:lang w:eastAsia="en-US"/>
              </w:rPr>
              <w:t>„</w:t>
            </w:r>
            <w:r w:rsidRPr="00520BB8">
              <w:rPr>
                <w:rFonts w:asciiTheme="minorHAnsi" w:eastAsia="Calibri" w:hAnsiTheme="minorHAnsi" w:cstheme="minorHAnsi"/>
                <w:i/>
                <w:iCs/>
                <w:color w:val="000000"/>
                <w:sz w:val="22"/>
                <w:szCs w:val="22"/>
                <w:lang w:eastAsia="en-US"/>
              </w:rPr>
              <w:t>3. W przypadku uzasadnionego podejrzenia, że wyrób medyczny nie odpowiada ustalonym dla niego wymaganiom, Główny Inspektor Farmaceutyczny niezwłocznie powiadamia o tym Prezesa Urzędu.”,</w:t>
            </w:r>
          </w:p>
          <w:p w14:paraId="16C1F42D" w14:textId="773D9717" w:rsidR="00622C4C" w:rsidRPr="00520BB8" w:rsidRDefault="00622C4C" w:rsidP="00634B42">
            <w:pPr>
              <w:spacing w:line="276" w:lineRule="auto"/>
              <w:rPr>
                <w:rFonts w:asciiTheme="minorHAnsi" w:eastAsia="Calibri" w:hAnsiTheme="minorHAnsi" w:cstheme="minorHAnsi"/>
                <w:color w:val="000000"/>
                <w:sz w:val="22"/>
                <w:szCs w:val="22"/>
                <w:lang w:eastAsia="en-US"/>
              </w:rPr>
            </w:pPr>
          </w:p>
        </w:tc>
      </w:tr>
      <w:tr w:rsidR="00D05F3D" w:rsidRPr="00520BB8" w14:paraId="2EE0139C"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6B61A624" w14:textId="3E350EC8" w:rsidR="00D05F3D" w:rsidRPr="00520BB8" w:rsidRDefault="00D05F3D"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1252F819" w14:textId="4AFD40A2" w:rsidR="00D05F3D" w:rsidRPr="00520BB8" w:rsidRDefault="00D05F3D"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r w:rsidR="00411D35" w:rsidRPr="00520BB8">
              <w:rPr>
                <w:rFonts w:asciiTheme="minorHAnsi" w:eastAsia="Calibri" w:hAnsiTheme="minorHAnsi" w:cstheme="minorHAnsi"/>
                <w:sz w:val="22"/>
                <w:szCs w:val="22"/>
                <w:lang w:eastAsia="en-US"/>
              </w:rPr>
              <w:t xml:space="preserve"> (</w:t>
            </w:r>
            <w:r w:rsidR="009C03D3" w:rsidRPr="00520BB8">
              <w:rPr>
                <w:rFonts w:asciiTheme="minorHAnsi" w:eastAsia="Calibri" w:hAnsiTheme="minorHAnsi" w:cstheme="minorHAnsi"/>
                <w:sz w:val="22"/>
                <w:szCs w:val="22"/>
                <w:lang w:eastAsia="en-US"/>
              </w:rPr>
              <w:t>dot. dodawanego art. 12</w:t>
            </w:r>
            <w:r w:rsidR="00C41851" w:rsidRPr="00520BB8">
              <w:rPr>
                <w:rFonts w:asciiTheme="minorHAnsi" w:eastAsia="Calibri" w:hAnsiTheme="minorHAnsi" w:cstheme="minorHAnsi"/>
                <w:sz w:val="22"/>
                <w:szCs w:val="22"/>
                <w:lang w:eastAsia="en-US"/>
              </w:rPr>
              <w:t>3</w:t>
            </w:r>
            <w:r w:rsidR="009C03D3" w:rsidRPr="00520BB8">
              <w:rPr>
                <w:rFonts w:asciiTheme="minorHAnsi" w:eastAsia="Calibri" w:hAnsiTheme="minorHAnsi" w:cstheme="minorHAnsi"/>
                <w:sz w:val="22"/>
                <w:szCs w:val="22"/>
                <w:lang w:eastAsia="en-US"/>
              </w:rPr>
              <w:t>c ust. 2</w:t>
            </w:r>
            <w:r w:rsidR="00411D35" w:rsidRPr="00520BB8">
              <w:rPr>
                <w:rFonts w:asciiTheme="minorHAnsi" w:eastAsia="Calibri" w:hAnsiTheme="minorHAnsi" w:cstheme="minorHAnsi"/>
                <w:sz w:val="22"/>
                <w:szCs w:val="22"/>
                <w:lang w:eastAsia="en-US"/>
              </w:rPr>
              <w:t>)</w:t>
            </w:r>
          </w:p>
          <w:p w14:paraId="1C2F9503" w14:textId="14048E02" w:rsidR="00544CA9" w:rsidRPr="00520BB8" w:rsidRDefault="00544CA9" w:rsidP="009C03D3">
            <w:pPr>
              <w:spacing w:line="276" w:lineRule="auto"/>
              <w:rPr>
                <w:rFonts w:asciiTheme="minorHAnsi" w:eastAsia="Calibri" w:hAnsiTheme="minorHAnsi" w:cstheme="minorHAnsi"/>
                <w:sz w:val="22"/>
                <w:szCs w:val="22"/>
                <w:lang w:eastAsia="en-US"/>
              </w:rPr>
            </w:pPr>
          </w:p>
        </w:tc>
        <w:tc>
          <w:tcPr>
            <w:tcW w:w="2578" w:type="dxa"/>
            <w:shd w:val="clear" w:color="auto" w:fill="auto"/>
            <w:tcMar>
              <w:top w:w="0" w:type="dxa"/>
              <w:left w:w="108" w:type="dxa"/>
              <w:bottom w:w="0" w:type="dxa"/>
              <w:right w:w="108" w:type="dxa"/>
            </w:tcMar>
          </w:tcPr>
          <w:p w14:paraId="68745726" w14:textId="0F435A24" w:rsidR="00D05F3D" w:rsidRPr="00520BB8" w:rsidRDefault="00D77041"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Konieczne jest ograniczenie kompetencji GIF w racjonalny sposób i dodanie wymagania w taki sposób, aby GIF dysponował wiarygodnymi  informacjami o prowadzonej działalności biznesowej w zakresie podlegającym kompetencjom GIF.</w:t>
            </w:r>
          </w:p>
        </w:tc>
        <w:tc>
          <w:tcPr>
            <w:tcW w:w="3774" w:type="dxa"/>
            <w:shd w:val="clear" w:color="auto" w:fill="auto"/>
            <w:tcMar>
              <w:top w:w="0" w:type="dxa"/>
              <w:left w:w="108" w:type="dxa"/>
              <w:bottom w:w="0" w:type="dxa"/>
              <w:right w:w="108" w:type="dxa"/>
            </w:tcMar>
          </w:tcPr>
          <w:p w14:paraId="52403C72" w14:textId="1220630F" w:rsidR="00D05F3D" w:rsidRPr="00520BB8" w:rsidRDefault="00473E45"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Zaproponowane oryginalnie brzmienie umożliwia GIF prowadzenie kontroli wszędzie i zawsze. Każdy podmiot prawny może posiadać leki lub inne produkty. Konieczne jest ograniczenie kompetencji w racjonalny sposób i wymagania, aby GIF dysponował wiarygodnymi  informacjami o prowadzonej działalności biznesowej w zakresie podlegającym kompetencjom GIF.</w:t>
            </w:r>
            <w:r w:rsidR="002B43AB" w:rsidRPr="00520BB8">
              <w:rPr>
                <w:rFonts w:asciiTheme="minorHAnsi" w:eastAsia="Calibri" w:hAnsiTheme="minorHAnsi" w:cstheme="minorHAnsi"/>
                <w:color w:val="000000"/>
                <w:sz w:val="22"/>
                <w:szCs w:val="22"/>
                <w:lang w:eastAsia="en-US"/>
              </w:rPr>
              <w:t xml:space="preserve"> W innym przypadku, naruszeniu ulegną fundamentalne gwarancje wolności gospodarczej oraz zasada proporcjonalności, wynikające z Konstytucji RP.</w:t>
            </w:r>
          </w:p>
        </w:tc>
        <w:tc>
          <w:tcPr>
            <w:tcW w:w="3540" w:type="dxa"/>
            <w:shd w:val="clear" w:color="auto" w:fill="auto"/>
            <w:tcMar>
              <w:top w:w="0" w:type="dxa"/>
              <w:left w:w="108" w:type="dxa"/>
              <w:bottom w:w="0" w:type="dxa"/>
              <w:right w:w="108" w:type="dxa"/>
            </w:tcMar>
          </w:tcPr>
          <w:p w14:paraId="358522A0" w14:textId="250698A8" w:rsidR="00D05F3D" w:rsidRPr="00520BB8" w:rsidRDefault="00963748"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zmienia się</w:t>
            </w:r>
            <w:r w:rsidR="00D77041" w:rsidRPr="00520BB8">
              <w:rPr>
                <w:rFonts w:asciiTheme="minorHAnsi" w:eastAsia="Calibri" w:hAnsiTheme="minorHAnsi" w:cstheme="minorHAnsi"/>
                <w:color w:val="000000"/>
                <w:sz w:val="22"/>
                <w:szCs w:val="22"/>
                <w:lang w:eastAsia="en-US"/>
              </w:rPr>
              <w:t xml:space="preserve"> art. 123c </w:t>
            </w:r>
            <w:r w:rsidRPr="00520BB8">
              <w:rPr>
                <w:rFonts w:asciiTheme="minorHAnsi" w:eastAsia="Calibri" w:hAnsiTheme="minorHAnsi" w:cstheme="minorHAnsi"/>
                <w:color w:val="000000"/>
                <w:sz w:val="22"/>
                <w:szCs w:val="22"/>
                <w:lang w:eastAsia="en-US"/>
              </w:rPr>
              <w:t xml:space="preserve">ust. 2  dodawanego Rozdziału 8a w następujący sposób: </w:t>
            </w:r>
          </w:p>
          <w:p w14:paraId="7C80FD4D" w14:textId="77777777" w:rsidR="00A31F5D" w:rsidRPr="00520BB8" w:rsidRDefault="00A31F5D" w:rsidP="00634B42">
            <w:pPr>
              <w:spacing w:line="276" w:lineRule="auto"/>
              <w:rPr>
                <w:rFonts w:asciiTheme="minorHAnsi" w:eastAsia="Calibri" w:hAnsiTheme="minorHAnsi" w:cstheme="minorHAnsi"/>
                <w:color w:val="000000"/>
                <w:sz w:val="22"/>
                <w:szCs w:val="22"/>
                <w:lang w:eastAsia="en-US"/>
              </w:rPr>
            </w:pPr>
          </w:p>
          <w:p w14:paraId="055BD3FC" w14:textId="0EE06209" w:rsidR="00963748" w:rsidRPr="00520BB8" w:rsidRDefault="00A31F5D" w:rsidP="00634B42">
            <w:pPr>
              <w:spacing w:line="276" w:lineRule="auto"/>
              <w:rPr>
                <w:rFonts w:asciiTheme="minorHAnsi" w:hAnsiTheme="minorHAnsi" w:cstheme="minorHAnsi"/>
                <w:i/>
                <w:iCs/>
                <w:sz w:val="22"/>
                <w:szCs w:val="22"/>
              </w:rPr>
            </w:pPr>
            <w:r w:rsidRPr="00520BB8">
              <w:rPr>
                <w:rFonts w:asciiTheme="minorHAnsi" w:hAnsiTheme="minorHAnsi" w:cstheme="minorHAnsi"/>
                <w:i/>
                <w:iCs/>
                <w:sz w:val="22"/>
                <w:szCs w:val="22"/>
              </w:rPr>
              <w:t xml:space="preserve">2. </w:t>
            </w:r>
            <w:r w:rsidR="00963748" w:rsidRPr="00520BB8">
              <w:rPr>
                <w:rFonts w:asciiTheme="minorHAnsi" w:hAnsiTheme="minorHAnsi" w:cstheme="minorHAnsi"/>
                <w:i/>
                <w:iCs/>
                <w:sz w:val="22"/>
                <w:szCs w:val="22"/>
              </w:rPr>
              <w:t xml:space="preserve">Główny Inspektor Farmaceutyczny ma prawo przeprowadzać kontrolę działalności każdego podmiotu, względem którego Główny Inspektor Farmaceutyczny posiada wiarygodne informacje o tym, że podmiot ten może posiadać w celach gospodarczych, dokonywać obrotu lub pośredniczyć w obrocie produktami leczniczymi, substancjami czynnymi lub substancjami pomocniczymi w zakresie prawidłowości tych czynności oraz jakości i warunków przechowywania tych produktów lub </w:t>
            </w:r>
            <w:r w:rsidR="00963748" w:rsidRPr="00520BB8">
              <w:rPr>
                <w:rFonts w:asciiTheme="minorHAnsi" w:hAnsiTheme="minorHAnsi" w:cstheme="minorHAnsi"/>
                <w:i/>
                <w:iCs/>
                <w:sz w:val="22"/>
                <w:szCs w:val="22"/>
              </w:rPr>
              <w:lastRenderedPageBreak/>
              <w:t xml:space="preserve">substancji, z wyłączeniem osób fizycznych posiadających produkty lecznicze na własne potrzeby lecznicze. </w:t>
            </w:r>
          </w:p>
        </w:tc>
      </w:tr>
      <w:tr w:rsidR="004504AA" w:rsidRPr="00520BB8" w14:paraId="610E69B6"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211993E3" w14:textId="1BE3C04D" w:rsidR="004504AA" w:rsidRPr="00520BB8" w:rsidRDefault="004504AA"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77A6DB88" w14:textId="50F57700" w:rsidR="004504AA" w:rsidRPr="00520BB8" w:rsidRDefault="004504AA" w:rsidP="004504A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 (dot. dodawanego art. 123c)</w:t>
            </w:r>
          </w:p>
          <w:p w14:paraId="6D4B3052" w14:textId="77777777" w:rsidR="004504AA" w:rsidRPr="00520BB8" w:rsidRDefault="004504AA" w:rsidP="007952EA">
            <w:pPr>
              <w:spacing w:line="276" w:lineRule="auto"/>
              <w:rPr>
                <w:rFonts w:asciiTheme="minorHAnsi" w:eastAsia="Calibri" w:hAnsiTheme="minorHAnsi" w:cstheme="minorHAnsi"/>
                <w:sz w:val="22"/>
                <w:szCs w:val="22"/>
                <w:lang w:eastAsia="en-US"/>
              </w:rPr>
            </w:pPr>
          </w:p>
        </w:tc>
        <w:tc>
          <w:tcPr>
            <w:tcW w:w="2578" w:type="dxa"/>
            <w:shd w:val="clear" w:color="auto" w:fill="auto"/>
            <w:tcMar>
              <w:top w:w="0" w:type="dxa"/>
              <w:left w:w="108" w:type="dxa"/>
              <w:bottom w:w="0" w:type="dxa"/>
              <w:right w:w="108" w:type="dxa"/>
            </w:tcMar>
          </w:tcPr>
          <w:p w14:paraId="7889B737" w14:textId="23A8C924" w:rsidR="004504AA" w:rsidRPr="00520BB8" w:rsidRDefault="003804B7"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Niezbędne </w:t>
            </w:r>
            <w:r w:rsidR="00670370" w:rsidRPr="00520BB8">
              <w:rPr>
                <w:rFonts w:asciiTheme="minorHAnsi" w:eastAsia="Calibri" w:hAnsiTheme="minorHAnsi" w:cstheme="minorHAnsi"/>
                <w:color w:val="000000"/>
                <w:sz w:val="22"/>
                <w:szCs w:val="22"/>
                <w:lang w:eastAsia="en-US"/>
              </w:rPr>
              <w:t>jest wprowadzenie możliwości</w:t>
            </w:r>
            <w:r w:rsidRPr="00520BB8">
              <w:rPr>
                <w:rFonts w:asciiTheme="minorHAnsi" w:eastAsia="Calibri" w:hAnsiTheme="minorHAnsi" w:cstheme="minorHAnsi"/>
                <w:color w:val="000000"/>
                <w:sz w:val="22"/>
                <w:szCs w:val="22"/>
                <w:lang w:eastAsia="en-US"/>
              </w:rPr>
              <w:t xml:space="preserve"> przeprowadzania</w:t>
            </w:r>
            <w:r w:rsidR="00670370" w:rsidRPr="00520BB8">
              <w:rPr>
                <w:rFonts w:asciiTheme="minorHAnsi" w:eastAsia="Calibri" w:hAnsiTheme="minorHAnsi" w:cstheme="minorHAnsi"/>
                <w:color w:val="000000"/>
                <w:sz w:val="22"/>
                <w:szCs w:val="22"/>
                <w:lang w:eastAsia="en-US"/>
              </w:rPr>
              <w:t xml:space="preserve"> kontroli zdaln</w:t>
            </w:r>
            <w:r w:rsidRPr="00520BB8">
              <w:rPr>
                <w:rFonts w:asciiTheme="minorHAnsi" w:eastAsia="Calibri" w:hAnsiTheme="minorHAnsi" w:cstheme="minorHAnsi"/>
                <w:color w:val="000000"/>
                <w:sz w:val="22"/>
                <w:szCs w:val="22"/>
                <w:lang w:eastAsia="en-US"/>
              </w:rPr>
              <w:t>ie</w:t>
            </w:r>
            <w:r w:rsidR="00670370" w:rsidRPr="00520BB8">
              <w:rPr>
                <w:rFonts w:asciiTheme="minorHAnsi" w:eastAsia="Calibri" w:hAnsiTheme="minorHAnsi" w:cstheme="minorHAnsi"/>
                <w:color w:val="000000"/>
                <w:sz w:val="22"/>
                <w:szCs w:val="22"/>
                <w:lang w:eastAsia="en-US"/>
              </w:rPr>
              <w:t>.</w:t>
            </w:r>
          </w:p>
        </w:tc>
        <w:tc>
          <w:tcPr>
            <w:tcW w:w="3774" w:type="dxa"/>
            <w:shd w:val="clear" w:color="auto" w:fill="auto"/>
            <w:tcMar>
              <w:top w:w="0" w:type="dxa"/>
              <w:left w:w="108" w:type="dxa"/>
              <w:bottom w:w="0" w:type="dxa"/>
              <w:right w:w="108" w:type="dxa"/>
            </w:tcMar>
          </w:tcPr>
          <w:p w14:paraId="4386CB1E" w14:textId="77777777" w:rsidR="00670370" w:rsidRPr="00520BB8" w:rsidRDefault="00670370" w:rsidP="00670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Przepis da organom możliwość prowadzenia kontroli zdalnych, które bardzo sprawdziły się podczas epidemii COVID-19. </w:t>
            </w:r>
          </w:p>
          <w:p w14:paraId="5646BBE1" w14:textId="77777777" w:rsidR="004504AA" w:rsidRPr="00520BB8" w:rsidRDefault="004504AA" w:rsidP="00634B42">
            <w:pPr>
              <w:spacing w:line="276" w:lineRule="auto"/>
              <w:rPr>
                <w:rFonts w:asciiTheme="minorHAnsi" w:eastAsia="Calibri" w:hAnsiTheme="minorHAnsi" w:cstheme="minorHAnsi"/>
                <w:color w:val="000000"/>
                <w:sz w:val="22"/>
                <w:szCs w:val="22"/>
                <w:lang w:eastAsia="en-US"/>
              </w:rPr>
            </w:pPr>
          </w:p>
        </w:tc>
        <w:tc>
          <w:tcPr>
            <w:tcW w:w="3540" w:type="dxa"/>
            <w:shd w:val="clear" w:color="auto" w:fill="auto"/>
            <w:tcMar>
              <w:top w:w="0" w:type="dxa"/>
              <w:left w:w="108" w:type="dxa"/>
              <w:bottom w:w="0" w:type="dxa"/>
              <w:right w:w="108" w:type="dxa"/>
            </w:tcMar>
          </w:tcPr>
          <w:p w14:paraId="3FBF1772" w14:textId="6561BA58" w:rsidR="004504AA" w:rsidRPr="00520BB8" w:rsidRDefault="004504AA" w:rsidP="004504A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w art. 123c po ust. 5  dodawanego Rozdziału 8a dodaje się ust. 6 w brzmieniu:</w:t>
            </w:r>
          </w:p>
          <w:p w14:paraId="3279DA02" w14:textId="77777777" w:rsidR="004504AA" w:rsidRPr="00520BB8" w:rsidRDefault="004504AA" w:rsidP="004504AA">
            <w:pPr>
              <w:spacing w:line="276" w:lineRule="auto"/>
              <w:rPr>
                <w:rFonts w:asciiTheme="minorHAnsi" w:eastAsia="Calibri" w:hAnsiTheme="minorHAnsi" w:cstheme="minorHAnsi"/>
                <w:color w:val="000000"/>
                <w:sz w:val="22"/>
                <w:szCs w:val="22"/>
                <w:lang w:eastAsia="en-US"/>
              </w:rPr>
            </w:pPr>
          </w:p>
          <w:p w14:paraId="603E8B15" w14:textId="4F2E192A" w:rsidR="004504AA" w:rsidRPr="00520BB8" w:rsidRDefault="004504AA" w:rsidP="004504AA">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6. Organy, o których mowa w ust. 1 - 5, mogą przeprowadzać wszelkie czynności kontrolne  zdalnie.</w:t>
            </w:r>
          </w:p>
          <w:p w14:paraId="72A28D2A" w14:textId="77777777" w:rsidR="004504AA" w:rsidRPr="00520BB8" w:rsidRDefault="004504AA" w:rsidP="00634B42">
            <w:pPr>
              <w:spacing w:line="276" w:lineRule="auto"/>
              <w:rPr>
                <w:rFonts w:asciiTheme="minorHAnsi" w:eastAsia="Calibri" w:hAnsiTheme="minorHAnsi" w:cstheme="minorHAnsi"/>
                <w:color w:val="000000"/>
                <w:sz w:val="22"/>
                <w:szCs w:val="22"/>
                <w:lang w:eastAsia="en-US"/>
              </w:rPr>
            </w:pPr>
          </w:p>
        </w:tc>
      </w:tr>
      <w:tr w:rsidR="00473E45" w:rsidRPr="00520BB8" w14:paraId="1CDEA22F"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03E0865A" w14:textId="607E345B" w:rsidR="00473E45" w:rsidRPr="00520BB8" w:rsidRDefault="00D77041"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58B5E27C" w14:textId="3BA34F73" w:rsidR="00473E45" w:rsidRPr="00520BB8" w:rsidRDefault="009F32A1"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r w:rsidR="00411D35" w:rsidRPr="00520BB8">
              <w:rPr>
                <w:rFonts w:asciiTheme="minorHAnsi" w:eastAsia="Calibri" w:hAnsiTheme="minorHAnsi" w:cstheme="minorHAnsi"/>
                <w:sz w:val="22"/>
                <w:szCs w:val="22"/>
                <w:lang w:eastAsia="en-US"/>
              </w:rPr>
              <w:t xml:space="preserve"> (</w:t>
            </w:r>
            <w:r w:rsidR="009C03D3" w:rsidRPr="00520BB8">
              <w:rPr>
                <w:rFonts w:asciiTheme="minorHAnsi" w:eastAsia="Calibri" w:hAnsiTheme="minorHAnsi" w:cstheme="minorHAnsi"/>
                <w:sz w:val="22"/>
                <w:szCs w:val="22"/>
                <w:lang w:eastAsia="en-US"/>
              </w:rPr>
              <w:t>dot. dodawanego art. 123d ust. 4</w:t>
            </w:r>
            <w:r w:rsidR="00411D35" w:rsidRPr="00520BB8">
              <w:rPr>
                <w:rFonts w:asciiTheme="minorHAnsi" w:eastAsia="Calibri" w:hAnsiTheme="minorHAnsi" w:cstheme="minorHAnsi"/>
                <w:sz w:val="22"/>
                <w:szCs w:val="22"/>
                <w:lang w:eastAsia="en-US"/>
              </w:rPr>
              <w:t>):</w:t>
            </w:r>
          </w:p>
          <w:p w14:paraId="578EE9DC" w14:textId="487441E1" w:rsidR="00411D35" w:rsidRPr="00520BB8" w:rsidRDefault="00411D35" w:rsidP="00411D35">
            <w:pPr>
              <w:spacing w:line="276" w:lineRule="auto"/>
              <w:rPr>
                <w:rFonts w:asciiTheme="minorHAnsi" w:eastAsia="Calibri" w:hAnsiTheme="minorHAnsi" w:cstheme="minorHAnsi"/>
                <w:sz w:val="22"/>
                <w:szCs w:val="22"/>
                <w:lang w:eastAsia="en-US"/>
              </w:rPr>
            </w:pPr>
          </w:p>
        </w:tc>
        <w:tc>
          <w:tcPr>
            <w:tcW w:w="2578" w:type="dxa"/>
            <w:shd w:val="clear" w:color="auto" w:fill="auto"/>
            <w:tcMar>
              <w:top w:w="0" w:type="dxa"/>
              <w:left w:w="108" w:type="dxa"/>
              <w:bottom w:w="0" w:type="dxa"/>
              <w:right w:w="108" w:type="dxa"/>
            </w:tcMar>
          </w:tcPr>
          <w:p w14:paraId="20AE7B7C" w14:textId="07D33D30" w:rsidR="00473E45" w:rsidRPr="00520BB8" w:rsidRDefault="00E10493"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Wprowadzanie możliwości </w:t>
            </w:r>
            <w:r w:rsidR="00177A15" w:rsidRPr="00520BB8">
              <w:rPr>
                <w:rFonts w:asciiTheme="minorHAnsi" w:eastAsia="Calibri" w:hAnsiTheme="minorHAnsi" w:cstheme="minorHAnsi"/>
                <w:color w:val="000000"/>
                <w:sz w:val="22"/>
                <w:szCs w:val="22"/>
                <w:lang w:eastAsia="en-US"/>
              </w:rPr>
              <w:t xml:space="preserve">zmiany typu  kontroli na kontrolę „doraźną” nie jest uzasadnione, ponieważ kontrola „doraźna” powinna być nieoczekiwana z perspektywy przedsiębiorcy.  </w:t>
            </w:r>
          </w:p>
        </w:tc>
        <w:tc>
          <w:tcPr>
            <w:tcW w:w="3774" w:type="dxa"/>
            <w:shd w:val="clear" w:color="auto" w:fill="auto"/>
            <w:tcMar>
              <w:top w:w="0" w:type="dxa"/>
              <w:left w:w="108" w:type="dxa"/>
              <w:bottom w:w="0" w:type="dxa"/>
              <w:right w:w="108" w:type="dxa"/>
            </w:tcMar>
          </w:tcPr>
          <w:p w14:paraId="60C4005D" w14:textId="4C4F5E09" w:rsidR="00473E45" w:rsidRPr="00520BB8" w:rsidRDefault="00D77041"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Jeżeli przedsiębiorca utrudnia lub udaremnia kontrolę, to należy przeciwdziałać temu środkami prawnymi, które leżą w gestii GIF. Zmiana typu toczącej się skądinąd kontroli na "doraźną" nie ma sensu, ponieważ istotą kontroli doraźnej jest to, że jest nieoczekiwana z perspektywy przedsiębiorcy.</w:t>
            </w:r>
          </w:p>
        </w:tc>
        <w:tc>
          <w:tcPr>
            <w:tcW w:w="3540" w:type="dxa"/>
            <w:shd w:val="clear" w:color="auto" w:fill="auto"/>
            <w:tcMar>
              <w:top w:w="0" w:type="dxa"/>
              <w:left w:w="108" w:type="dxa"/>
              <w:bottom w:w="0" w:type="dxa"/>
              <w:right w:w="108" w:type="dxa"/>
            </w:tcMar>
          </w:tcPr>
          <w:p w14:paraId="4DCFB41E" w14:textId="04875BD4" w:rsidR="009F32A1" w:rsidRPr="00520BB8" w:rsidRDefault="009F32A1"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usuwa się w art. 123d ust. 4  pkt 3 dodawanego Rozdziału 8a</w:t>
            </w:r>
            <w:r w:rsidR="006B59C3" w:rsidRPr="00520BB8">
              <w:rPr>
                <w:rFonts w:asciiTheme="minorHAnsi" w:eastAsia="Calibri" w:hAnsiTheme="minorHAnsi" w:cstheme="minorHAnsi"/>
                <w:color w:val="000000"/>
                <w:sz w:val="22"/>
                <w:szCs w:val="22"/>
                <w:lang w:eastAsia="en-US"/>
              </w:rPr>
              <w:t>, a w pkt 2 średnik zamienia się na kropkę.</w:t>
            </w:r>
          </w:p>
          <w:p w14:paraId="5A4ED217" w14:textId="77777777" w:rsidR="00473E45" w:rsidRPr="00520BB8" w:rsidRDefault="00473E45" w:rsidP="00634B42">
            <w:pPr>
              <w:spacing w:line="276" w:lineRule="auto"/>
              <w:rPr>
                <w:rFonts w:asciiTheme="minorHAnsi" w:eastAsia="Calibri" w:hAnsiTheme="minorHAnsi" w:cstheme="minorHAnsi"/>
                <w:color w:val="000000"/>
                <w:sz w:val="22"/>
                <w:szCs w:val="22"/>
                <w:lang w:eastAsia="en-US"/>
              </w:rPr>
            </w:pPr>
          </w:p>
        </w:tc>
      </w:tr>
      <w:tr w:rsidR="00C676EC" w:rsidRPr="00520BB8" w14:paraId="4FB75199"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629FECF7" w14:textId="42E292E5" w:rsidR="00C676EC" w:rsidRPr="00520BB8" w:rsidRDefault="002E7F49"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0B31AE51" w14:textId="40C5F603" w:rsidR="00D9127F" w:rsidRPr="00520BB8" w:rsidRDefault="002E7F49"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r w:rsidR="00D9127F" w:rsidRPr="00520BB8">
              <w:rPr>
                <w:rFonts w:asciiTheme="minorHAnsi" w:eastAsia="Calibri" w:hAnsiTheme="minorHAnsi" w:cstheme="minorHAnsi"/>
                <w:sz w:val="22"/>
                <w:szCs w:val="22"/>
                <w:lang w:eastAsia="en-US"/>
              </w:rPr>
              <w:t xml:space="preserve"> (</w:t>
            </w:r>
            <w:r w:rsidR="009C03D3" w:rsidRPr="00520BB8">
              <w:rPr>
                <w:rFonts w:asciiTheme="minorHAnsi" w:eastAsia="Calibri" w:hAnsiTheme="minorHAnsi" w:cstheme="minorHAnsi"/>
                <w:sz w:val="22"/>
                <w:szCs w:val="22"/>
                <w:lang w:eastAsia="en-US"/>
              </w:rPr>
              <w:t>dot. dodawanego art. 123e</w:t>
            </w:r>
            <w:r w:rsidR="00D9127F" w:rsidRPr="00520BB8">
              <w:rPr>
                <w:rFonts w:asciiTheme="minorHAnsi" w:eastAsia="Calibri" w:hAnsiTheme="minorHAnsi" w:cstheme="minorHAnsi"/>
                <w:sz w:val="22"/>
                <w:szCs w:val="22"/>
                <w:lang w:eastAsia="en-US"/>
              </w:rPr>
              <w:t>)</w:t>
            </w:r>
          </w:p>
          <w:p w14:paraId="2C529FA4" w14:textId="482EA6E8" w:rsidR="00D9127F" w:rsidRPr="00520BB8" w:rsidRDefault="00D9127F" w:rsidP="007952EA">
            <w:pPr>
              <w:spacing w:line="276" w:lineRule="auto"/>
              <w:rPr>
                <w:rFonts w:asciiTheme="minorHAnsi" w:eastAsia="Calibri" w:hAnsiTheme="minorHAnsi" w:cstheme="minorHAnsi"/>
                <w:i/>
                <w:iCs/>
                <w:sz w:val="22"/>
                <w:szCs w:val="22"/>
                <w:lang w:eastAsia="en-US"/>
              </w:rPr>
            </w:pPr>
            <w:r w:rsidRPr="00520BB8">
              <w:rPr>
                <w:rFonts w:asciiTheme="minorHAnsi" w:eastAsia="Calibri" w:hAnsiTheme="minorHAnsi" w:cstheme="minorHAnsi"/>
                <w:i/>
                <w:iCs/>
                <w:sz w:val="22"/>
                <w:szCs w:val="22"/>
                <w:lang w:eastAsia="en-US"/>
              </w:rPr>
              <w:t xml:space="preserve"> </w:t>
            </w:r>
          </w:p>
        </w:tc>
        <w:tc>
          <w:tcPr>
            <w:tcW w:w="2578" w:type="dxa"/>
            <w:shd w:val="clear" w:color="auto" w:fill="auto"/>
            <w:tcMar>
              <w:top w:w="0" w:type="dxa"/>
              <w:left w:w="108" w:type="dxa"/>
              <w:bottom w:w="0" w:type="dxa"/>
              <w:right w:w="108" w:type="dxa"/>
            </w:tcMar>
          </w:tcPr>
          <w:p w14:paraId="78C31D3B" w14:textId="3539D8A2" w:rsidR="00C676EC" w:rsidRPr="00520BB8" w:rsidRDefault="0073327B"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Zakres dodawanych kompetencji jest bardzo szeroki i niewystarczająco określony. Ponadto GIF dysponuje dostępem do ZSMOPL, więc trudno </w:t>
            </w:r>
            <w:r w:rsidRPr="00520BB8">
              <w:rPr>
                <w:rFonts w:asciiTheme="minorHAnsi" w:eastAsia="Calibri" w:hAnsiTheme="minorHAnsi" w:cstheme="minorHAnsi"/>
                <w:color w:val="000000"/>
                <w:sz w:val="22"/>
                <w:szCs w:val="22"/>
                <w:lang w:eastAsia="en-US"/>
              </w:rPr>
              <w:lastRenderedPageBreak/>
              <w:t>znaleźć cel prowadzenia takich sprawdzeń poza reżimem zwykłej lub doraźnej kontroli.</w:t>
            </w:r>
          </w:p>
        </w:tc>
        <w:tc>
          <w:tcPr>
            <w:tcW w:w="3774" w:type="dxa"/>
            <w:shd w:val="clear" w:color="auto" w:fill="auto"/>
            <w:tcMar>
              <w:top w:w="0" w:type="dxa"/>
              <w:left w:w="108" w:type="dxa"/>
              <w:bottom w:w="0" w:type="dxa"/>
              <w:right w:w="108" w:type="dxa"/>
            </w:tcMar>
          </w:tcPr>
          <w:p w14:paraId="34B4CDEB" w14:textId="7F1B08BA" w:rsidR="002E7F49" w:rsidRPr="00520BB8" w:rsidRDefault="002E7F49" w:rsidP="00634B42">
            <w:pPr>
              <w:pStyle w:val="Tekstkomentarza"/>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 xml:space="preserve">Przepis art. 123e zaopatruje GIF w niezwykle szerokie i niesprecyzowane kompetencje do prowadzenia bliżej nieokreślonych "czynności sprawdzających", bez uprzedniego zawiadomienia przedsiębiorcy oraz bez </w:t>
            </w:r>
            <w:r w:rsidRPr="00520BB8">
              <w:rPr>
                <w:rFonts w:asciiTheme="minorHAnsi" w:eastAsia="Calibri" w:hAnsiTheme="minorHAnsi" w:cstheme="minorHAnsi"/>
                <w:sz w:val="22"/>
                <w:szCs w:val="22"/>
                <w:lang w:eastAsia="en-US"/>
              </w:rPr>
              <w:lastRenderedPageBreak/>
              <w:t>gwarancji prawnych dla podmiotu sprawdzanego. Tymczasem praktyczny zakres tej kompetencji jest bardzo szeroki - sprawdzenie ewidencji obrotu w kontekście jej rzetelności może bowiem rodzić pytanie o domniemaną kompetencję sprawdzenia w pełnym zakresu wszystkich działań przedsiębiorcy w zakresie ewidencjonowanego obrotu.</w:t>
            </w:r>
          </w:p>
          <w:p w14:paraId="174C7B87" w14:textId="77777777" w:rsidR="002E7F49" w:rsidRPr="00520BB8" w:rsidRDefault="002E7F49" w:rsidP="00634B42">
            <w:pPr>
              <w:pStyle w:val="Tekstkomentarza"/>
              <w:spacing w:line="276" w:lineRule="auto"/>
              <w:rPr>
                <w:rFonts w:asciiTheme="minorHAnsi" w:eastAsia="Calibri" w:hAnsiTheme="minorHAnsi" w:cstheme="minorHAnsi"/>
                <w:sz w:val="22"/>
                <w:szCs w:val="22"/>
                <w:lang w:eastAsia="en-US"/>
              </w:rPr>
            </w:pPr>
          </w:p>
          <w:p w14:paraId="70456BA6" w14:textId="6C2BA4A2" w:rsidR="00C676EC" w:rsidRPr="00520BB8" w:rsidRDefault="002E7F49"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Ponadto, GIF dysponuje dostępem do ZSMOPL więc wątpliwy jest cel prowadzenia takich sprawdzeń poza reżimem zwykłej lub doraźnej kontroli. Sprawdzenia takie mogą być w istocie dużo bardziej uciążliwe dla przedsiębiorców niż zwykłe kontrole.</w:t>
            </w:r>
          </w:p>
        </w:tc>
        <w:tc>
          <w:tcPr>
            <w:tcW w:w="3540" w:type="dxa"/>
            <w:shd w:val="clear" w:color="auto" w:fill="auto"/>
            <w:tcMar>
              <w:top w:w="0" w:type="dxa"/>
              <w:left w:w="108" w:type="dxa"/>
              <w:bottom w:w="0" w:type="dxa"/>
              <w:right w:w="108" w:type="dxa"/>
            </w:tcMar>
          </w:tcPr>
          <w:p w14:paraId="131804B3" w14:textId="0E5AFDD2" w:rsidR="002E7F49" w:rsidRPr="00520BB8" w:rsidRDefault="002E7F49"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lastRenderedPageBreak/>
              <w:t xml:space="preserve">W art. 1 pkt 41 usuwa się w art. 123e dodawanego Rozdziału 8a. </w:t>
            </w:r>
          </w:p>
          <w:p w14:paraId="323FAC07" w14:textId="77777777" w:rsidR="00C676EC" w:rsidRPr="00520BB8" w:rsidRDefault="00C676EC" w:rsidP="00634B42">
            <w:pPr>
              <w:spacing w:line="276" w:lineRule="auto"/>
              <w:rPr>
                <w:rFonts w:asciiTheme="minorHAnsi" w:eastAsia="Calibri" w:hAnsiTheme="minorHAnsi" w:cstheme="minorHAnsi"/>
                <w:color w:val="000000"/>
                <w:sz w:val="22"/>
                <w:szCs w:val="22"/>
                <w:lang w:eastAsia="en-US"/>
              </w:rPr>
            </w:pPr>
          </w:p>
        </w:tc>
      </w:tr>
      <w:tr w:rsidR="002E7F49" w:rsidRPr="00520BB8" w14:paraId="054BBDD8"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742B9C8B" w14:textId="2F6219AB" w:rsidR="002E7F49" w:rsidRPr="00520BB8" w:rsidRDefault="002367FF"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48216619" w14:textId="5FC9FE8E" w:rsidR="002E7F49" w:rsidRPr="00520BB8" w:rsidRDefault="00BB0085" w:rsidP="007952EA">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r w:rsidR="009C03D3" w:rsidRPr="00520BB8">
              <w:rPr>
                <w:rFonts w:asciiTheme="minorHAnsi" w:eastAsia="Calibri" w:hAnsiTheme="minorHAnsi" w:cstheme="minorHAnsi"/>
                <w:sz w:val="22"/>
                <w:szCs w:val="22"/>
                <w:lang w:eastAsia="en-US"/>
              </w:rPr>
              <w:t xml:space="preserve"> (dot. dodawanego art. 123f ust. </w:t>
            </w:r>
            <w:r w:rsidR="00C41851" w:rsidRPr="00520BB8">
              <w:rPr>
                <w:rFonts w:asciiTheme="minorHAnsi" w:eastAsia="Calibri" w:hAnsiTheme="minorHAnsi" w:cstheme="minorHAnsi"/>
                <w:sz w:val="22"/>
                <w:szCs w:val="22"/>
                <w:lang w:eastAsia="en-US"/>
              </w:rPr>
              <w:t>2</w:t>
            </w:r>
            <w:r w:rsidR="009C03D3" w:rsidRPr="00520BB8">
              <w:rPr>
                <w:rFonts w:asciiTheme="minorHAnsi" w:eastAsia="Calibri" w:hAnsiTheme="minorHAnsi" w:cstheme="minorHAnsi"/>
                <w:sz w:val="22"/>
                <w:szCs w:val="22"/>
                <w:lang w:eastAsia="en-US"/>
              </w:rPr>
              <w:t xml:space="preserve"> pkt 5)</w:t>
            </w:r>
          </w:p>
        </w:tc>
        <w:tc>
          <w:tcPr>
            <w:tcW w:w="2578" w:type="dxa"/>
            <w:shd w:val="clear" w:color="auto" w:fill="auto"/>
            <w:tcMar>
              <w:top w:w="0" w:type="dxa"/>
              <w:left w:w="108" w:type="dxa"/>
              <w:bottom w:w="0" w:type="dxa"/>
              <w:right w:w="108" w:type="dxa"/>
            </w:tcMar>
          </w:tcPr>
          <w:p w14:paraId="4456B29C" w14:textId="5D3096B2" w:rsidR="002E7F49" w:rsidRPr="00520BB8" w:rsidRDefault="00BB0085" w:rsidP="007952EA">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GIF powinien </w:t>
            </w:r>
            <w:r w:rsidR="00CD2692" w:rsidRPr="00520BB8">
              <w:rPr>
                <w:rFonts w:asciiTheme="minorHAnsi" w:eastAsia="Calibri" w:hAnsiTheme="minorHAnsi" w:cstheme="minorHAnsi"/>
                <w:color w:val="000000"/>
                <w:sz w:val="22"/>
                <w:szCs w:val="22"/>
                <w:lang w:eastAsia="en-US"/>
              </w:rPr>
              <w:t xml:space="preserve">jednocześnie </w:t>
            </w:r>
            <w:r w:rsidRPr="00520BB8">
              <w:rPr>
                <w:rFonts w:asciiTheme="minorHAnsi" w:eastAsia="Calibri" w:hAnsiTheme="minorHAnsi" w:cstheme="minorHAnsi"/>
                <w:color w:val="000000"/>
                <w:sz w:val="22"/>
                <w:szCs w:val="22"/>
                <w:lang w:eastAsia="en-US"/>
              </w:rPr>
              <w:t>oznaczać</w:t>
            </w:r>
            <w:r w:rsidR="00CD2692" w:rsidRPr="00520BB8">
              <w:rPr>
                <w:rFonts w:asciiTheme="minorHAnsi" w:eastAsia="Calibri" w:hAnsiTheme="minorHAnsi" w:cstheme="minorHAnsi"/>
                <w:color w:val="000000"/>
                <w:sz w:val="22"/>
                <w:szCs w:val="22"/>
                <w:lang w:eastAsia="en-US"/>
              </w:rPr>
              <w:t xml:space="preserve"> </w:t>
            </w:r>
            <w:r w:rsidRPr="00520BB8">
              <w:rPr>
                <w:rFonts w:asciiTheme="minorHAnsi" w:eastAsia="Calibri" w:hAnsiTheme="minorHAnsi" w:cstheme="minorHAnsi"/>
                <w:color w:val="000000"/>
                <w:sz w:val="22"/>
                <w:szCs w:val="22"/>
                <w:lang w:eastAsia="en-US"/>
              </w:rPr>
              <w:t>podmiot kontrolowany i miejsce objęte kontrolą.</w:t>
            </w:r>
          </w:p>
        </w:tc>
        <w:tc>
          <w:tcPr>
            <w:tcW w:w="3774" w:type="dxa"/>
            <w:shd w:val="clear" w:color="auto" w:fill="auto"/>
            <w:tcMar>
              <w:top w:w="0" w:type="dxa"/>
              <w:left w:w="108" w:type="dxa"/>
              <w:bottom w:w="0" w:type="dxa"/>
              <w:right w:w="108" w:type="dxa"/>
            </w:tcMar>
          </w:tcPr>
          <w:p w14:paraId="4D0EE93B" w14:textId="3B2017C7" w:rsidR="002E7F49" w:rsidRPr="00520BB8" w:rsidRDefault="00BB0085"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Zmiana ta jest bardzo istotna, ponieważ w odrębnym przypadku GIF nie będzie musiał oznaczać podmiotu kontrolowanego (wystarczy opis miejsca) w treści tego dokumentu. Spowoduje to spory o dopuszczalność prowadzenia kontroli, a także niepewność co do tożsamości podmiotu kontrolowanego na etapie ferowania rozstrzygnięć pokontrolnych.</w:t>
            </w:r>
          </w:p>
        </w:tc>
        <w:tc>
          <w:tcPr>
            <w:tcW w:w="3540" w:type="dxa"/>
            <w:shd w:val="clear" w:color="auto" w:fill="auto"/>
            <w:tcMar>
              <w:top w:w="0" w:type="dxa"/>
              <w:left w:w="108" w:type="dxa"/>
              <w:bottom w:w="0" w:type="dxa"/>
              <w:right w:w="108" w:type="dxa"/>
            </w:tcMar>
          </w:tcPr>
          <w:p w14:paraId="564E015B" w14:textId="02139E2C" w:rsidR="002367FF" w:rsidRPr="00520BB8" w:rsidRDefault="002367FF"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w art. 123f ust. 2  pkt 5 dodawanego Rozdziału 8a</w:t>
            </w:r>
            <w:r w:rsidR="00A47405" w:rsidRPr="00520BB8">
              <w:rPr>
                <w:rFonts w:asciiTheme="minorHAnsi" w:eastAsia="Calibri" w:hAnsiTheme="minorHAnsi" w:cstheme="minorHAnsi"/>
                <w:color w:val="000000"/>
                <w:sz w:val="22"/>
                <w:szCs w:val="22"/>
                <w:lang w:eastAsia="en-US"/>
              </w:rPr>
              <w:t xml:space="preserve"> otrzymuje brzmienie:</w:t>
            </w:r>
          </w:p>
          <w:p w14:paraId="50165F1D" w14:textId="6A9DAF12" w:rsidR="002E7F49" w:rsidRPr="00520BB8" w:rsidRDefault="00E6090A" w:rsidP="00634B42">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5) </w:t>
            </w:r>
            <w:r w:rsidR="002367FF" w:rsidRPr="00520BB8">
              <w:rPr>
                <w:rFonts w:asciiTheme="minorHAnsi" w:eastAsia="Calibri" w:hAnsiTheme="minorHAnsi" w:cstheme="minorHAnsi"/>
                <w:i/>
                <w:iCs/>
                <w:color w:val="000000"/>
                <w:sz w:val="22"/>
                <w:szCs w:val="22"/>
                <w:lang w:eastAsia="en-US"/>
              </w:rPr>
              <w:t>oznaczenie podmiotu oraz</w:t>
            </w:r>
            <w:r w:rsidR="00A47405" w:rsidRPr="00520BB8">
              <w:rPr>
                <w:rFonts w:asciiTheme="minorHAnsi" w:eastAsia="Calibri" w:hAnsiTheme="minorHAnsi" w:cstheme="minorHAnsi"/>
                <w:i/>
                <w:iCs/>
                <w:color w:val="000000"/>
                <w:sz w:val="22"/>
                <w:szCs w:val="22"/>
                <w:lang w:eastAsia="en-US"/>
              </w:rPr>
              <w:t xml:space="preserve"> </w:t>
            </w:r>
            <w:r w:rsidR="002367FF" w:rsidRPr="00520BB8">
              <w:rPr>
                <w:rFonts w:asciiTheme="minorHAnsi" w:eastAsia="Calibri" w:hAnsiTheme="minorHAnsi" w:cstheme="minorHAnsi"/>
                <w:i/>
                <w:iCs/>
                <w:color w:val="000000"/>
                <w:sz w:val="22"/>
                <w:szCs w:val="22"/>
                <w:lang w:eastAsia="en-US"/>
              </w:rPr>
              <w:t>miejsca objętego kontrolą</w:t>
            </w:r>
            <w:r w:rsidR="00A47405" w:rsidRPr="00520BB8">
              <w:rPr>
                <w:rFonts w:asciiTheme="minorHAnsi" w:eastAsia="Calibri" w:hAnsiTheme="minorHAnsi" w:cstheme="minorHAnsi"/>
                <w:i/>
                <w:iCs/>
                <w:color w:val="000000"/>
                <w:sz w:val="22"/>
                <w:szCs w:val="22"/>
                <w:lang w:eastAsia="en-US"/>
              </w:rPr>
              <w:t xml:space="preserve"> (jeżeli dotyczy)</w:t>
            </w:r>
            <w:r w:rsidR="002367FF" w:rsidRPr="00520BB8">
              <w:rPr>
                <w:rFonts w:asciiTheme="minorHAnsi" w:eastAsia="Calibri" w:hAnsiTheme="minorHAnsi" w:cstheme="minorHAnsi"/>
                <w:i/>
                <w:iCs/>
                <w:color w:val="000000"/>
                <w:sz w:val="22"/>
                <w:szCs w:val="22"/>
                <w:lang w:eastAsia="en-US"/>
              </w:rPr>
              <w:t xml:space="preserve">; </w:t>
            </w:r>
          </w:p>
        </w:tc>
      </w:tr>
      <w:tr w:rsidR="00DE3370" w:rsidRPr="00520BB8" w14:paraId="5A685E73"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71A8E755" w14:textId="4A9014C0" w:rsidR="00DE3370" w:rsidRPr="00520BB8" w:rsidRDefault="00DE3370"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77BF920D" w14:textId="5D9DCFA4" w:rsidR="00DE3370" w:rsidRPr="00520BB8" w:rsidRDefault="00195B5F"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r w:rsidR="000B421B" w:rsidRPr="00520BB8">
              <w:rPr>
                <w:rFonts w:asciiTheme="minorHAnsi" w:eastAsia="Calibri" w:hAnsiTheme="minorHAnsi" w:cstheme="minorHAnsi"/>
                <w:sz w:val="22"/>
                <w:szCs w:val="22"/>
                <w:lang w:eastAsia="en-US"/>
              </w:rPr>
              <w:t xml:space="preserve"> (dot. dodawanego art. 123g ust. 6)</w:t>
            </w:r>
          </w:p>
        </w:tc>
        <w:tc>
          <w:tcPr>
            <w:tcW w:w="2578" w:type="dxa"/>
            <w:shd w:val="clear" w:color="auto" w:fill="auto"/>
            <w:tcMar>
              <w:top w:w="0" w:type="dxa"/>
              <w:left w:w="108" w:type="dxa"/>
              <w:bottom w:w="0" w:type="dxa"/>
              <w:right w:w="108" w:type="dxa"/>
            </w:tcMar>
          </w:tcPr>
          <w:p w14:paraId="0B52E567" w14:textId="0335093D" w:rsidR="00DE3370" w:rsidRPr="00520BB8" w:rsidRDefault="0047227B"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Brak jest uzasadnienia, aby w przepisach szczególnych kontrolę ograniczać wyłącznie do wyrobów medycznych.</w:t>
            </w:r>
          </w:p>
        </w:tc>
        <w:tc>
          <w:tcPr>
            <w:tcW w:w="3774" w:type="dxa"/>
            <w:shd w:val="clear" w:color="auto" w:fill="auto"/>
            <w:tcMar>
              <w:top w:w="0" w:type="dxa"/>
              <w:left w:w="108" w:type="dxa"/>
              <w:bottom w:w="0" w:type="dxa"/>
              <w:right w:w="108" w:type="dxa"/>
            </w:tcMar>
          </w:tcPr>
          <w:p w14:paraId="53C8B928" w14:textId="18F314D1" w:rsidR="00DE3370" w:rsidRPr="00520BB8" w:rsidRDefault="00195B5F"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Niezrozumiałe jest, że zadania GIF rozciągają się na kontrolę </w:t>
            </w:r>
            <w:r w:rsidR="00863BEC" w:rsidRPr="00520BB8">
              <w:rPr>
                <w:rFonts w:asciiTheme="minorHAnsi" w:eastAsia="Calibri" w:hAnsiTheme="minorHAnsi" w:cstheme="minorHAnsi"/>
                <w:color w:val="000000"/>
                <w:sz w:val="22"/>
                <w:szCs w:val="22"/>
                <w:lang w:eastAsia="en-US"/>
              </w:rPr>
              <w:t>wszelkich p</w:t>
            </w:r>
            <w:r w:rsidRPr="00520BB8">
              <w:rPr>
                <w:rFonts w:asciiTheme="minorHAnsi" w:eastAsia="Calibri" w:hAnsiTheme="minorHAnsi" w:cstheme="minorHAnsi"/>
                <w:color w:val="000000"/>
                <w:sz w:val="22"/>
                <w:szCs w:val="22"/>
                <w:lang w:eastAsia="en-US"/>
              </w:rPr>
              <w:t xml:space="preserve">roduktów, które mogą znajdować się w obrocie farmaceutycznym (art. 72 ust. 5 </w:t>
            </w:r>
            <w:proofErr w:type="spellStart"/>
            <w:r w:rsidRPr="00520BB8">
              <w:rPr>
                <w:rFonts w:asciiTheme="minorHAnsi" w:eastAsia="Calibri" w:hAnsiTheme="minorHAnsi" w:cstheme="minorHAnsi"/>
                <w:color w:val="000000"/>
                <w:sz w:val="22"/>
                <w:szCs w:val="22"/>
                <w:lang w:eastAsia="en-US"/>
              </w:rPr>
              <w:t>P.f</w:t>
            </w:r>
            <w:proofErr w:type="spellEnd"/>
            <w:r w:rsidRPr="00520BB8">
              <w:rPr>
                <w:rFonts w:asciiTheme="minorHAnsi" w:eastAsia="Calibri" w:hAnsiTheme="minorHAnsi" w:cstheme="minorHAnsi"/>
                <w:color w:val="000000"/>
                <w:sz w:val="22"/>
                <w:szCs w:val="22"/>
                <w:lang w:eastAsia="en-US"/>
              </w:rPr>
              <w:t xml:space="preserve">.), </w:t>
            </w:r>
            <w:r w:rsidR="00863BEC" w:rsidRPr="00520BB8">
              <w:rPr>
                <w:rFonts w:asciiTheme="minorHAnsi" w:eastAsia="Calibri" w:hAnsiTheme="minorHAnsi" w:cstheme="minorHAnsi"/>
                <w:color w:val="000000"/>
                <w:sz w:val="22"/>
                <w:szCs w:val="22"/>
                <w:lang w:eastAsia="en-US"/>
              </w:rPr>
              <w:t>i to ze względu na cechy jakościowe tych produktów. GIF nie jest organem kompetentnym do oceny jakości wyrobów medycznych, suplementów diety, kosmetyków itp. W tym zakresie kompetentne są organy takie jak Prezes URPL lub organy Inspekcji Sanitarnej</w:t>
            </w:r>
            <w:r w:rsidRPr="00520BB8">
              <w:rPr>
                <w:rFonts w:asciiTheme="minorHAnsi" w:eastAsia="Calibri" w:hAnsiTheme="minorHAnsi" w:cstheme="minorHAnsi"/>
                <w:color w:val="000000"/>
                <w:sz w:val="22"/>
                <w:szCs w:val="22"/>
                <w:lang w:eastAsia="en-US"/>
              </w:rPr>
              <w:t>.</w:t>
            </w:r>
            <w:r w:rsidR="00C74E7A" w:rsidRPr="00520BB8">
              <w:rPr>
                <w:rFonts w:asciiTheme="minorHAnsi" w:eastAsia="Calibri" w:hAnsiTheme="minorHAnsi" w:cstheme="minorHAnsi"/>
                <w:color w:val="000000"/>
                <w:sz w:val="22"/>
                <w:szCs w:val="22"/>
                <w:lang w:eastAsia="en-US"/>
              </w:rPr>
              <w:t xml:space="preserve"> GIF może jedynie stwierdzać nieprawidłowości w zakresie czynności związanych z obrotem takimi produktami.</w:t>
            </w:r>
          </w:p>
          <w:p w14:paraId="3FE68804" w14:textId="77777777" w:rsidR="002D12BF" w:rsidRPr="00520BB8" w:rsidRDefault="002D12BF" w:rsidP="00634B42">
            <w:pPr>
              <w:spacing w:line="276" w:lineRule="auto"/>
              <w:rPr>
                <w:rFonts w:asciiTheme="minorHAnsi" w:eastAsia="Calibri" w:hAnsiTheme="minorHAnsi" w:cstheme="minorHAnsi"/>
                <w:color w:val="000000"/>
                <w:sz w:val="22"/>
                <w:szCs w:val="22"/>
                <w:lang w:eastAsia="en-US"/>
              </w:rPr>
            </w:pPr>
          </w:p>
          <w:p w14:paraId="06374A75" w14:textId="63B7936A" w:rsidR="002D12BF" w:rsidRPr="00520BB8" w:rsidRDefault="00C74E7A"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Zrozumiała jest </w:t>
            </w:r>
            <w:r w:rsidR="002D12BF" w:rsidRPr="00520BB8">
              <w:rPr>
                <w:rFonts w:asciiTheme="minorHAnsi" w:eastAsia="Calibri" w:hAnsiTheme="minorHAnsi" w:cstheme="minorHAnsi"/>
                <w:color w:val="000000"/>
                <w:sz w:val="22"/>
                <w:szCs w:val="22"/>
                <w:lang w:eastAsia="en-US"/>
              </w:rPr>
              <w:t>kompetencj</w:t>
            </w:r>
            <w:r w:rsidRPr="00520BB8">
              <w:rPr>
                <w:rFonts w:asciiTheme="minorHAnsi" w:eastAsia="Calibri" w:hAnsiTheme="minorHAnsi" w:cstheme="minorHAnsi"/>
                <w:color w:val="000000"/>
                <w:sz w:val="22"/>
                <w:szCs w:val="22"/>
                <w:lang w:eastAsia="en-US"/>
              </w:rPr>
              <w:t>a</w:t>
            </w:r>
            <w:r w:rsidR="002D12BF" w:rsidRPr="00520BB8">
              <w:rPr>
                <w:rFonts w:asciiTheme="minorHAnsi" w:eastAsia="Calibri" w:hAnsiTheme="minorHAnsi" w:cstheme="minorHAnsi"/>
                <w:color w:val="000000"/>
                <w:sz w:val="22"/>
                <w:szCs w:val="22"/>
                <w:lang w:eastAsia="en-US"/>
              </w:rPr>
              <w:t xml:space="preserve"> do zabezpieczenia na miejscu podejrzanych produktów, celem umożliwienia wykonania czynności nadzorczych przez inne, kompetentne organy państwowe. Tym niemniej, kompetencja taka powinna obejmować wszystkie produkty dopuszczone do obrotu farmaceutycznego, określone w art. </w:t>
            </w:r>
            <w:r w:rsidR="00D85BDB" w:rsidRPr="00520BB8">
              <w:rPr>
                <w:rFonts w:asciiTheme="minorHAnsi" w:eastAsia="Calibri" w:hAnsiTheme="minorHAnsi" w:cstheme="minorHAnsi"/>
                <w:color w:val="000000"/>
                <w:sz w:val="22"/>
                <w:szCs w:val="22"/>
                <w:lang w:eastAsia="en-US"/>
              </w:rPr>
              <w:t xml:space="preserve">72 ust. 5 </w:t>
            </w:r>
            <w:proofErr w:type="spellStart"/>
            <w:r w:rsidR="00D85BDB" w:rsidRPr="00520BB8">
              <w:rPr>
                <w:rFonts w:asciiTheme="minorHAnsi" w:eastAsia="Calibri" w:hAnsiTheme="minorHAnsi" w:cstheme="minorHAnsi"/>
                <w:color w:val="000000"/>
                <w:sz w:val="22"/>
                <w:szCs w:val="22"/>
                <w:lang w:eastAsia="en-US"/>
              </w:rPr>
              <w:t>P.f</w:t>
            </w:r>
            <w:proofErr w:type="spellEnd"/>
            <w:r w:rsidR="00D85BDB" w:rsidRPr="00520BB8">
              <w:rPr>
                <w:rFonts w:asciiTheme="minorHAnsi" w:eastAsia="Calibri" w:hAnsiTheme="minorHAnsi" w:cstheme="minorHAnsi"/>
                <w:color w:val="000000"/>
                <w:sz w:val="22"/>
                <w:szCs w:val="22"/>
                <w:lang w:eastAsia="en-US"/>
              </w:rPr>
              <w:t>.</w:t>
            </w:r>
          </w:p>
        </w:tc>
        <w:tc>
          <w:tcPr>
            <w:tcW w:w="3540" w:type="dxa"/>
            <w:shd w:val="clear" w:color="auto" w:fill="auto"/>
            <w:tcMar>
              <w:top w:w="0" w:type="dxa"/>
              <w:left w:w="108" w:type="dxa"/>
              <w:bottom w:w="0" w:type="dxa"/>
              <w:right w:w="108" w:type="dxa"/>
            </w:tcMar>
          </w:tcPr>
          <w:p w14:paraId="5690EC8F" w14:textId="6C125515" w:rsidR="00640FCF" w:rsidRPr="00520BB8" w:rsidRDefault="00640FCF" w:rsidP="00634B42">
            <w:pPr>
              <w:spacing w:line="276" w:lineRule="auto"/>
              <w:rPr>
                <w:rFonts w:asciiTheme="minorHAnsi" w:hAnsiTheme="minorHAnsi" w:cstheme="minorHAnsi"/>
                <w:sz w:val="22"/>
                <w:szCs w:val="22"/>
              </w:rPr>
            </w:pPr>
            <w:r w:rsidRPr="00520BB8">
              <w:rPr>
                <w:rFonts w:asciiTheme="minorHAnsi" w:eastAsia="Calibri" w:hAnsiTheme="minorHAnsi" w:cstheme="minorHAnsi"/>
                <w:color w:val="000000"/>
                <w:sz w:val="22"/>
                <w:szCs w:val="22"/>
                <w:lang w:eastAsia="en-US"/>
              </w:rPr>
              <w:t>W art. 1 pkt 41 w art. 123g ust. 6  dodawanego Rozdziału 8a otrzymuje brzmienie:</w:t>
            </w:r>
          </w:p>
          <w:p w14:paraId="3DBF56ED" w14:textId="0F309F73" w:rsidR="00640FCF" w:rsidRPr="00520BB8" w:rsidRDefault="000B421B" w:rsidP="00634B42">
            <w:pPr>
              <w:spacing w:line="276" w:lineRule="auto"/>
              <w:rPr>
                <w:rFonts w:asciiTheme="minorHAnsi" w:hAnsiTheme="minorHAnsi" w:cstheme="minorHAnsi"/>
                <w:i/>
                <w:iCs/>
                <w:sz w:val="22"/>
                <w:szCs w:val="22"/>
              </w:rPr>
            </w:pPr>
            <w:r w:rsidRPr="00520BB8">
              <w:rPr>
                <w:rFonts w:asciiTheme="minorHAnsi" w:hAnsiTheme="minorHAnsi" w:cstheme="minorHAnsi"/>
                <w:i/>
                <w:iCs/>
                <w:sz w:val="22"/>
                <w:szCs w:val="22"/>
              </w:rPr>
              <w:t>6</w:t>
            </w:r>
            <w:r w:rsidR="00B15D62" w:rsidRPr="00520BB8">
              <w:rPr>
                <w:rFonts w:asciiTheme="minorHAnsi" w:hAnsiTheme="minorHAnsi" w:cstheme="minorHAnsi"/>
                <w:i/>
                <w:iCs/>
                <w:sz w:val="22"/>
                <w:szCs w:val="22"/>
              </w:rPr>
              <w:t xml:space="preserve">. </w:t>
            </w:r>
            <w:r w:rsidR="00640FCF" w:rsidRPr="00520BB8">
              <w:rPr>
                <w:rFonts w:asciiTheme="minorHAnsi" w:hAnsiTheme="minorHAnsi" w:cstheme="minorHAnsi"/>
                <w:i/>
                <w:iCs/>
                <w:sz w:val="22"/>
                <w:szCs w:val="22"/>
              </w:rPr>
              <w:t>Kontrolę przeprowadza się w miejscu wykonywania działalności, o której mowa w art. 123c, w godzinach pracy lub w czasie faktycznego wykonywania działalności, z wyjątkiem kontroli, o której mowa w art. 123d ust. 4 – jeżeli istnieje uzasadnione podejrzenie zagrożenia dla bezpieczeństwa lub skuteczności produktów leczniczych</w:t>
            </w:r>
            <w:r w:rsidR="00021DDA" w:rsidRPr="00520BB8">
              <w:rPr>
                <w:rFonts w:asciiTheme="minorHAnsi" w:hAnsiTheme="minorHAnsi" w:cstheme="minorHAnsi"/>
                <w:i/>
                <w:iCs/>
                <w:sz w:val="22"/>
                <w:szCs w:val="22"/>
              </w:rPr>
              <w:t xml:space="preserve"> lub istotnych uchybień w </w:t>
            </w:r>
            <w:r w:rsidR="003F4B3C" w:rsidRPr="00520BB8">
              <w:rPr>
                <w:rFonts w:asciiTheme="minorHAnsi" w:hAnsiTheme="minorHAnsi" w:cstheme="minorHAnsi"/>
                <w:i/>
                <w:iCs/>
                <w:sz w:val="22"/>
                <w:szCs w:val="22"/>
              </w:rPr>
              <w:t xml:space="preserve">prowadzeniu obrotu produktami określonymi w art. 72 ust. 5 </w:t>
            </w:r>
            <w:proofErr w:type="spellStart"/>
            <w:r w:rsidR="003F4B3C" w:rsidRPr="00520BB8">
              <w:rPr>
                <w:rFonts w:asciiTheme="minorHAnsi" w:hAnsiTheme="minorHAnsi" w:cstheme="minorHAnsi"/>
                <w:i/>
                <w:iCs/>
                <w:sz w:val="22"/>
                <w:szCs w:val="22"/>
              </w:rPr>
              <w:t>P.f</w:t>
            </w:r>
            <w:proofErr w:type="spellEnd"/>
            <w:r w:rsidR="003F4B3C" w:rsidRPr="00520BB8">
              <w:rPr>
                <w:rFonts w:asciiTheme="minorHAnsi" w:hAnsiTheme="minorHAnsi" w:cstheme="minorHAnsi"/>
                <w:i/>
                <w:iCs/>
                <w:sz w:val="22"/>
                <w:szCs w:val="22"/>
              </w:rPr>
              <w:t>.</w:t>
            </w:r>
            <w:r w:rsidR="00863BEC" w:rsidRPr="00520BB8">
              <w:rPr>
                <w:rFonts w:asciiTheme="minorHAnsi" w:hAnsiTheme="minorHAnsi" w:cstheme="minorHAnsi"/>
                <w:i/>
                <w:iCs/>
                <w:sz w:val="22"/>
                <w:szCs w:val="22"/>
              </w:rPr>
              <w:t>”</w:t>
            </w:r>
            <w:r w:rsidR="00640FCF" w:rsidRPr="00520BB8">
              <w:rPr>
                <w:rFonts w:asciiTheme="minorHAnsi" w:hAnsiTheme="minorHAnsi" w:cstheme="minorHAnsi"/>
                <w:i/>
                <w:iCs/>
                <w:sz w:val="22"/>
                <w:szCs w:val="22"/>
              </w:rPr>
              <w:t xml:space="preserve"> </w:t>
            </w:r>
          </w:p>
          <w:p w14:paraId="0DA932E1" w14:textId="30997439" w:rsidR="004A47A6" w:rsidRPr="00520BB8" w:rsidRDefault="004A47A6" w:rsidP="00634B42">
            <w:pPr>
              <w:spacing w:line="276" w:lineRule="auto"/>
              <w:rPr>
                <w:rFonts w:asciiTheme="minorHAnsi" w:hAnsiTheme="minorHAnsi" w:cstheme="minorHAnsi"/>
                <w:i/>
                <w:iCs/>
                <w:sz w:val="22"/>
                <w:szCs w:val="22"/>
              </w:rPr>
            </w:pPr>
          </w:p>
          <w:p w14:paraId="5C6B0798" w14:textId="46872952" w:rsidR="004A47A6" w:rsidRPr="00520BB8" w:rsidRDefault="004A47A6" w:rsidP="00634B42">
            <w:pPr>
              <w:spacing w:line="276" w:lineRule="auto"/>
              <w:rPr>
                <w:rFonts w:asciiTheme="minorHAnsi" w:hAnsiTheme="minorHAnsi" w:cstheme="minorHAnsi"/>
                <w:sz w:val="22"/>
                <w:szCs w:val="22"/>
              </w:rPr>
            </w:pPr>
            <w:r w:rsidRPr="00520BB8">
              <w:rPr>
                <w:rFonts w:asciiTheme="minorHAnsi" w:hAnsiTheme="minorHAnsi" w:cstheme="minorHAnsi"/>
                <w:sz w:val="22"/>
                <w:szCs w:val="22"/>
              </w:rPr>
              <w:t xml:space="preserve">oraz </w:t>
            </w:r>
          </w:p>
          <w:p w14:paraId="4A491836" w14:textId="77777777" w:rsidR="00B15D62" w:rsidRPr="00520BB8" w:rsidRDefault="00B15D62" w:rsidP="00634B42">
            <w:pPr>
              <w:spacing w:line="276" w:lineRule="auto"/>
              <w:rPr>
                <w:rFonts w:asciiTheme="minorHAnsi" w:hAnsiTheme="minorHAnsi" w:cstheme="minorHAnsi"/>
                <w:sz w:val="22"/>
                <w:szCs w:val="22"/>
              </w:rPr>
            </w:pPr>
          </w:p>
          <w:p w14:paraId="4093B1F7" w14:textId="2351FA4F" w:rsidR="004A47A6" w:rsidRPr="00520BB8" w:rsidRDefault="004A47A6" w:rsidP="00634B42">
            <w:pPr>
              <w:spacing w:line="276" w:lineRule="auto"/>
              <w:rPr>
                <w:rFonts w:asciiTheme="minorHAnsi" w:hAnsiTheme="minorHAnsi" w:cstheme="minorHAnsi"/>
                <w:sz w:val="22"/>
                <w:szCs w:val="22"/>
              </w:rPr>
            </w:pPr>
            <w:r w:rsidRPr="00520BB8">
              <w:rPr>
                <w:rFonts w:asciiTheme="minorHAnsi" w:eastAsia="Calibri" w:hAnsiTheme="minorHAnsi" w:cstheme="minorHAnsi"/>
                <w:color w:val="000000"/>
                <w:sz w:val="22"/>
                <w:szCs w:val="22"/>
                <w:lang w:eastAsia="en-US"/>
              </w:rPr>
              <w:t>W art. 1 pkt 41 w art. 123o ust. 1  dodawanego Rozdziału 8a otrzymuje brzmienie:</w:t>
            </w:r>
          </w:p>
          <w:p w14:paraId="4AE3E579" w14:textId="23E7212F" w:rsidR="004A47A6" w:rsidRPr="00520BB8" w:rsidRDefault="004A47A6" w:rsidP="00634B42">
            <w:pPr>
              <w:spacing w:line="276" w:lineRule="auto"/>
              <w:rPr>
                <w:rFonts w:asciiTheme="minorHAnsi" w:hAnsiTheme="minorHAnsi" w:cstheme="minorHAnsi"/>
                <w:i/>
                <w:iCs/>
                <w:sz w:val="22"/>
                <w:szCs w:val="22"/>
              </w:rPr>
            </w:pPr>
          </w:p>
          <w:p w14:paraId="55FB37FE" w14:textId="77777777" w:rsidR="004A47A6" w:rsidRPr="00520BB8" w:rsidRDefault="004A47A6" w:rsidP="00634B42">
            <w:pPr>
              <w:spacing w:after="143" w:line="276" w:lineRule="auto"/>
              <w:rPr>
                <w:rFonts w:asciiTheme="minorHAnsi" w:hAnsiTheme="minorHAnsi" w:cstheme="minorHAnsi"/>
                <w:i/>
                <w:iCs/>
                <w:sz w:val="22"/>
                <w:szCs w:val="22"/>
              </w:rPr>
            </w:pPr>
            <w:r w:rsidRPr="00520BB8">
              <w:rPr>
                <w:rFonts w:asciiTheme="minorHAnsi" w:hAnsiTheme="minorHAnsi" w:cstheme="minorHAnsi"/>
                <w:i/>
                <w:iCs/>
                <w:sz w:val="22"/>
                <w:szCs w:val="22"/>
              </w:rPr>
              <w:t>Art. 123o. 1. Zabezpieczenie dowodów dokonuje się w odniesieniu do:</w:t>
            </w:r>
          </w:p>
          <w:p w14:paraId="219FEC4F" w14:textId="5D05F72F" w:rsidR="004A47A6" w:rsidRPr="00520BB8" w:rsidRDefault="004A47A6" w:rsidP="00634B42">
            <w:pPr>
              <w:numPr>
                <w:ilvl w:val="0"/>
                <w:numId w:val="4"/>
              </w:numPr>
              <w:spacing w:after="25" w:line="276" w:lineRule="auto"/>
              <w:ind w:hanging="510"/>
              <w:rPr>
                <w:rFonts w:asciiTheme="minorHAnsi" w:hAnsiTheme="minorHAnsi" w:cstheme="minorHAnsi"/>
                <w:i/>
                <w:iCs/>
                <w:sz w:val="22"/>
                <w:szCs w:val="22"/>
              </w:rPr>
            </w:pPr>
            <w:r w:rsidRPr="00520BB8">
              <w:rPr>
                <w:rFonts w:asciiTheme="minorHAnsi" w:hAnsiTheme="minorHAnsi" w:cstheme="minorHAnsi"/>
                <w:i/>
                <w:iCs/>
                <w:sz w:val="22"/>
                <w:szCs w:val="22"/>
              </w:rPr>
              <w:t xml:space="preserve">produktów leczniczych – przez opatrzenie opakowania </w:t>
            </w:r>
            <w:r w:rsidRPr="00520BB8">
              <w:rPr>
                <w:rFonts w:asciiTheme="minorHAnsi" w:hAnsiTheme="minorHAnsi" w:cstheme="minorHAnsi"/>
                <w:i/>
                <w:iCs/>
                <w:sz w:val="22"/>
                <w:szCs w:val="22"/>
              </w:rPr>
              <w:lastRenderedPageBreak/>
              <w:t>bezpośredniego lub opakowania zewnętrznego znakami urzędowymi oraz przekazanie takiego opakowania do przechowania kontrolowanemu w miejscu przeprowadzenia kontroli, w zamkniętym pomieszczeniu lub urządzeniu i w wymaganych warunkach;</w:t>
            </w:r>
          </w:p>
          <w:p w14:paraId="0F394ECC" w14:textId="77777777" w:rsidR="004A47A6" w:rsidRPr="00520BB8" w:rsidRDefault="004A47A6" w:rsidP="00634B42">
            <w:pPr>
              <w:numPr>
                <w:ilvl w:val="0"/>
                <w:numId w:val="4"/>
              </w:numPr>
              <w:spacing w:after="25" w:line="276" w:lineRule="auto"/>
              <w:ind w:hanging="510"/>
              <w:rPr>
                <w:rFonts w:asciiTheme="minorHAnsi" w:hAnsiTheme="minorHAnsi" w:cstheme="minorHAnsi"/>
                <w:i/>
                <w:iCs/>
                <w:sz w:val="22"/>
                <w:szCs w:val="22"/>
              </w:rPr>
            </w:pPr>
            <w:r w:rsidRPr="00520BB8">
              <w:rPr>
                <w:rFonts w:asciiTheme="minorHAnsi" w:hAnsiTheme="minorHAnsi" w:cstheme="minorHAnsi"/>
                <w:i/>
                <w:iCs/>
                <w:sz w:val="22"/>
                <w:szCs w:val="22"/>
              </w:rPr>
              <w:t>produktów, o których mowa w art. 72 ust. 5 – przez opatrzenie opakowania jednostkowego, opakowania zbiorczego lub produktu znakami urzędowymi oraz przekazanie takiego opakowania lub produktu do przechowania kontrolowanemu w miejscu przeprowadzenia kontroli, w zamkniętym pomieszczeniu lub urządzeniu i w wymaganych warunkach;</w:t>
            </w:r>
          </w:p>
          <w:p w14:paraId="24908F26" w14:textId="77777777" w:rsidR="004A47A6" w:rsidRPr="00520BB8" w:rsidRDefault="004A47A6" w:rsidP="00634B42">
            <w:pPr>
              <w:numPr>
                <w:ilvl w:val="0"/>
                <w:numId w:val="4"/>
              </w:numPr>
              <w:spacing w:after="25" w:line="276" w:lineRule="auto"/>
              <w:ind w:hanging="510"/>
              <w:rPr>
                <w:rFonts w:asciiTheme="minorHAnsi" w:hAnsiTheme="minorHAnsi" w:cstheme="minorHAnsi"/>
                <w:i/>
                <w:iCs/>
                <w:sz w:val="22"/>
                <w:szCs w:val="22"/>
              </w:rPr>
            </w:pPr>
            <w:r w:rsidRPr="00520BB8">
              <w:rPr>
                <w:rFonts w:asciiTheme="minorHAnsi" w:hAnsiTheme="minorHAnsi" w:cstheme="minorHAnsi"/>
                <w:i/>
                <w:iCs/>
                <w:sz w:val="22"/>
                <w:szCs w:val="22"/>
              </w:rPr>
              <w:t>dokumentów lub kopii innych nośników informacji – przez umieszczenie ich w opieczętowanym opakowaniu i przechowywanie w siedzibie Głównego Inspektora Farmaceutycznego;</w:t>
            </w:r>
          </w:p>
          <w:p w14:paraId="58D070A2" w14:textId="77777777" w:rsidR="004A47A6" w:rsidRPr="00520BB8" w:rsidRDefault="004A47A6" w:rsidP="00634B42">
            <w:pPr>
              <w:numPr>
                <w:ilvl w:val="0"/>
                <w:numId w:val="4"/>
              </w:numPr>
              <w:spacing w:line="276" w:lineRule="auto"/>
              <w:ind w:hanging="510"/>
              <w:rPr>
                <w:rFonts w:asciiTheme="minorHAnsi" w:hAnsiTheme="minorHAnsi" w:cstheme="minorHAnsi"/>
                <w:i/>
                <w:iCs/>
                <w:sz w:val="22"/>
                <w:szCs w:val="22"/>
              </w:rPr>
            </w:pPr>
            <w:r w:rsidRPr="00520BB8">
              <w:rPr>
                <w:rFonts w:asciiTheme="minorHAnsi" w:hAnsiTheme="minorHAnsi" w:cstheme="minorHAnsi"/>
                <w:i/>
                <w:iCs/>
                <w:sz w:val="22"/>
                <w:szCs w:val="22"/>
              </w:rPr>
              <w:lastRenderedPageBreak/>
              <w:t>rzeczy niebędących produktami leczniczymi lub produktami, o których mowa w art. 72 ust. 5 – przez odpowiednie opatrzenie ich znakami urzędowymi;</w:t>
            </w:r>
          </w:p>
          <w:p w14:paraId="12301A29" w14:textId="4AF45F48" w:rsidR="00DE3370" w:rsidRPr="00520BB8" w:rsidRDefault="004A47A6" w:rsidP="00634B42">
            <w:pPr>
              <w:numPr>
                <w:ilvl w:val="0"/>
                <w:numId w:val="4"/>
              </w:numPr>
              <w:spacing w:line="276" w:lineRule="auto"/>
              <w:ind w:hanging="510"/>
              <w:rPr>
                <w:rFonts w:asciiTheme="minorHAnsi" w:eastAsia="Calibri" w:hAnsiTheme="minorHAnsi" w:cstheme="minorHAnsi"/>
                <w:color w:val="000000"/>
                <w:sz w:val="22"/>
                <w:szCs w:val="22"/>
                <w:lang w:eastAsia="en-US"/>
              </w:rPr>
            </w:pPr>
            <w:r w:rsidRPr="00520BB8">
              <w:rPr>
                <w:rFonts w:asciiTheme="minorHAnsi" w:hAnsiTheme="minorHAnsi" w:cstheme="minorHAnsi"/>
                <w:i/>
                <w:iCs/>
                <w:sz w:val="22"/>
                <w:szCs w:val="22"/>
              </w:rPr>
              <w:t>pomieszczeń – przez ich zamknięcie oraz odpowiednie opatrzenie znakami urzędowymi.</w:t>
            </w:r>
          </w:p>
        </w:tc>
      </w:tr>
      <w:tr w:rsidR="00DE3370" w:rsidRPr="00520BB8" w14:paraId="13432952"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6BD38968" w14:textId="1294E6B0" w:rsidR="00DE3370" w:rsidRPr="00520BB8" w:rsidRDefault="00DE3370"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2D4B4A0D" w14:textId="0DC964A4" w:rsidR="00DE3370" w:rsidRPr="00520BB8" w:rsidRDefault="00195B5F"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r w:rsidR="0006273E" w:rsidRPr="00520BB8">
              <w:rPr>
                <w:rFonts w:asciiTheme="minorHAnsi" w:eastAsia="Calibri" w:hAnsiTheme="minorHAnsi" w:cstheme="minorHAnsi"/>
                <w:sz w:val="22"/>
                <w:szCs w:val="22"/>
                <w:lang w:eastAsia="en-US"/>
              </w:rPr>
              <w:t xml:space="preserve"> (dot. dodawanego art. 123g)</w:t>
            </w:r>
          </w:p>
        </w:tc>
        <w:tc>
          <w:tcPr>
            <w:tcW w:w="2578" w:type="dxa"/>
            <w:shd w:val="clear" w:color="auto" w:fill="auto"/>
            <w:tcMar>
              <w:top w:w="0" w:type="dxa"/>
              <w:left w:w="108" w:type="dxa"/>
              <w:bottom w:w="0" w:type="dxa"/>
              <w:right w:w="108" w:type="dxa"/>
            </w:tcMar>
          </w:tcPr>
          <w:p w14:paraId="3C64A486" w14:textId="294BA4FE" w:rsidR="00DE3370" w:rsidRPr="00520BB8" w:rsidRDefault="00535AA9"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Proponowany przepis zobowiązuje </w:t>
            </w:r>
            <w:r w:rsidR="005833BB" w:rsidRPr="00520BB8">
              <w:rPr>
                <w:rFonts w:asciiTheme="minorHAnsi" w:eastAsia="Calibri" w:hAnsiTheme="minorHAnsi" w:cstheme="minorHAnsi"/>
                <w:color w:val="000000"/>
                <w:sz w:val="22"/>
                <w:szCs w:val="22"/>
                <w:lang w:eastAsia="en-US"/>
              </w:rPr>
              <w:t xml:space="preserve">osoby niebędące upoważnione przez podmiot kontrolowany </w:t>
            </w:r>
            <w:r w:rsidR="000333D2" w:rsidRPr="00520BB8">
              <w:rPr>
                <w:rFonts w:asciiTheme="minorHAnsi" w:eastAsia="Calibri" w:hAnsiTheme="minorHAnsi" w:cstheme="minorHAnsi"/>
                <w:color w:val="000000"/>
                <w:sz w:val="22"/>
                <w:szCs w:val="22"/>
                <w:lang w:eastAsia="en-US"/>
              </w:rPr>
              <w:t xml:space="preserve">do składania wyjaśnień </w:t>
            </w:r>
            <w:r w:rsidR="005833BB" w:rsidRPr="00520BB8">
              <w:rPr>
                <w:rFonts w:asciiTheme="minorHAnsi" w:eastAsia="Calibri" w:hAnsiTheme="minorHAnsi" w:cstheme="minorHAnsi"/>
                <w:color w:val="000000"/>
                <w:sz w:val="22"/>
                <w:szCs w:val="22"/>
                <w:lang w:eastAsia="en-US"/>
              </w:rPr>
              <w:t>oraz nie zawiera żadnych gwarancji prawnych dla takich osób.</w:t>
            </w:r>
          </w:p>
        </w:tc>
        <w:tc>
          <w:tcPr>
            <w:tcW w:w="3774" w:type="dxa"/>
            <w:shd w:val="clear" w:color="auto" w:fill="auto"/>
            <w:tcMar>
              <w:top w:w="0" w:type="dxa"/>
              <w:left w:w="108" w:type="dxa"/>
              <w:bottom w:w="0" w:type="dxa"/>
              <w:right w:w="108" w:type="dxa"/>
            </w:tcMar>
          </w:tcPr>
          <w:p w14:paraId="7C086D50" w14:textId="07E03611" w:rsidR="00DE3370" w:rsidRPr="00520BB8" w:rsidRDefault="0047227B"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Przepis ten zawiera niekonstytucyjny obowiązek składania wyjaśnień przez osoby niebędące upoważnione przez podmiot kontrolowany oraz nie zawiera żadnych gwarancji prawnych dla osoby de facto przesłuchiwanej w zakresie sposoby, czasu, miejsca oraz kontroli nad protokołem wypowiedzi. Dodatkowo, negatywne skutki związane z odmową lub przekazywaniem nieprawdziwych informacji mogą obciążać wyłącznie przedsiębiorcę, który nie ma wpływu na takie przesłuchanie.</w:t>
            </w:r>
          </w:p>
        </w:tc>
        <w:tc>
          <w:tcPr>
            <w:tcW w:w="3540" w:type="dxa"/>
            <w:shd w:val="clear" w:color="auto" w:fill="auto"/>
            <w:tcMar>
              <w:top w:w="0" w:type="dxa"/>
              <w:left w:w="108" w:type="dxa"/>
              <w:bottom w:w="0" w:type="dxa"/>
              <w:right w:w="108" w:type="dxa"/>
            </w:tcMar>
          </w:tcPr>
          <w:p w14:paraId="31ACD33B" w14:textId="77777777" w:rsidR="00DE3370" w:rsidRPr="00520BB8" w:rsidRDefault="0047227B"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w art. 123g dodawanego Rozdziału 8a usuwa się ustęp 9.</w:t>
            </w:r>
          </w:p>
          <w:p w14:paraId="30BCDB56" w14:textId="77777777" w:rsidR="00796615" w:rsidRPr="00520BB8" w:rsidRDefault="00796615" w:rsidP="00634B42">
            <w:pPr>
              <w:spacing w:line="276" w:lineRule="auto"/>
              <w:rPr>
                <w:rFonts w:asciiTheme="minorHAnsi" w:eastAsia="Calibri" w:hAnsiTheme="minorHAnsi" w:cstheme="minorHAnsi"/>
                <w:color w:val="000000"/>
                <w:sz w:val="22"/>
                <w:szCs w:val="22"/>
                <w:lang w:eastAsia="en-US"/>
              </w:rPr>
            </w:pPr>
          </w:p>
          <w:p w14:paraId="039D28A3" w14:textId="54D253DF" w:rsidR="00796615" w:rsidRPr="00520BB8" w:rsidRDefault="00796615"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w art. 123g dodawanego Rozdziału 8a usuwa się ustęp 9 oraz dotychczasowy ust. 10 i ust. 11 otrzymuj</w:t>
            </w:r>
            <w:r w:rsidR="00535AA9" w:rsidRPr="00520BB8">
              <w:rPr>
                <w:rFonts w:asciiTheme="minorHAnsi" w:eastAsia="Calibri" w:hAnsiTheme="minorHAnsi" w:cstheme="minorHAnsi"/>
                <w:color w:val="000000"/>
                <w:sz w:val="22"/>
                <w:szCs w:val="22"/>
                <w:lang w:eastAsia="en-US"/>
              </w:rPr>
              <w:t xml:space="preserve">ą </w:t>
            </w:r>
            <w:r w:rsidRPr="00520BB8">
              <w:rPr>
                <w:rFonts w:asciiTheme="minorHAnsi" w:eastAsia="Calibri" w:hAnsiTheme="minorHAnsi" w:cstheme="minorHAnsi"/>
                <w:color w:val="000000"/>
                <w:sz w:val="22"/>
                <w:szCs w:val="22"/>
                <w:lang w:eastAsia="en-US"/>
              </w:rPr>
              <w:t>brzmienie:</w:t>
            </w:r>
          </w:p>
          <w:p w14:paraId="704C9B79" w14:textId="77777777" w:rsidR="005E6BB9" w:rsidRPr="00520BB8" w:rsidRDefault="005E6BB9" w:rsidP="00634B42">
            <w:pPr>
              <w:spacing w:line="276" w:lineRule="auto"/>
              <w:rPr>
                <w:rFonts w:asciiTheme="minorHAnsi" w:eastAsia="Calibri" w:hAnsiTheme="minorHAnsi" w:cstheme="minorHAnsi"/>
                <w:color w:val="000000"/>
                <w:sz w:val="22"/>
                <w:szCs w:val="22"/>
                <w:lang w:eastAsia="en-US"/>
              </w:rPr>
            </w:pPr>
          </w:p>
          <w:p w14:paraId="6E209990" w14:textId="7575BE40" w:rsidR="00796615" w:rsidRPr="00520BB8" w:rsidRDefault="00796615" w:rsidP="00634B42">
            <w:pPr>
              <w:pStyle w:val="Akapitzlist"/>
              <w:numPr>
                <w:ilvl w:val="0"/>
                <w:numId w:val="1"/>
              </w:numPr>
              <w:spacing w:line="276" w:lineRule="auto"/>
              <w:rPr>
                <w:rFonts w:asciiTheme="minorHAnsi" w:hAnsiTheme="minorHAnsi" w:cstheme="minorHAnsi"/>
                <w:i/>
                <w:iCs/>
                <w:sz w:val="22"/>
                <w:szCs w:val="22"/>
              </w:rPr>
            </w:pPr>
            <w:r w:rsidRPr="00520BB8">
              <w:rPr>
                <w:rFonts w:asciiTheme="minorHAnsi" w:hAnsiTheme="minorHAnsi" w:cstheme="minorHAnsi"/>
                <w:i/>
                <w:iCs/>
                <w:sz w:val="22"/>
                <w:szCs w:val="22"/>
              </w:rPr>
              <w:t xml:space="preserve">Oświadczenie kontrolowanego o rezygnacji z prawa uczestniczenia w czynnościach kontrolnych jest składane na piśmie. W przypadku odmowy złożenia oświadczania inspektor dokonuje odpowiedniej adnotacji w raporcie z kontroli. Oświadczenie takie uchyla obowiązek uczestnictwa w </w:t>
            </w:r>
            <w:r w:rsidRPr="00520BB8">
              <w:rPr>
                <w:rFonts w:asciiTheme="minorHAnsi" w:hAnsiTheme="minorHAnsi" w:cstheme="minorHAnsi"/>
                <w:i/>
                <w:iCs/>
                <w:sz w:val="22"/>
                <w:szCs w:val="22"/>
              </w:rPr>
              <w:lastRenderedPageBreak/>
              <w:t>kontroli osób, o których mowa w ust. 8.</w:t>
            </w:r>
          </w:p>
          <w:p w14:paraId="6A567E96" w14:textId="4A9701D7" w:rsidR="00796615" w:rsidRPr="00520BB8" w:rsidRDefault="00796615" w:rsidP="00634B42">
            <w:pPr>
              <w:pStyle w:val="Akapitzlist"/>
              <w:numPr>
                <w:ilvl w:val="0"/>
                <w:numId w:val="1"/>
              </w:numPr>
              <w:spacing w:line="276" w:lineRule="auto"/>
              <w:rPr>
                <w:rFonts w:asciiTheme="minorHAnsi" w:hAnsiTheme="minorHAnsi" w:cstheme="minorHAnsi"/>
                <w:sz w:val="22"/>
                <w:szCs w:val="22"/>
              </w:rPr>
            </w:pPr>
            <w:r w:rsidRPr="00520BB8">
              <w:rPr>
                <w:rFonts w:asciiTheme="minorHAnsi" w:hAnsiTheme="minorHAnsi" w:cstheme="minorHAnsi"/>
                <w:i/>
                <w:iCs/>
                <w:sz w:val="22"/>
                <w:szCs w:val="22"/>
              </w:rPr>
              <w:t>W przypadku nieobecności kontrolowanego lub osoby przez niego upoważnionej, czynności kontrolne mogą być wszczęte po okazaniu legitymacji służbowej oraz upoważnienia do przeprowadzenia kontroli pracownikowi kontrolowanego, który może być uznany za osobę, o której mowa w art. 97 ustawy z dnia 23 kwietnia 1964 r. – Kodeks cywilny, lub w obecności przywołanego świadka, którym powinien być funkcjonariusz publiczny, niebędący pracownikiem Głównego Inspektoratu Farmaceutycznego</w:t>
            </w:r>
            <w:r w:rsidRPr="00520BB8">
              <w:rPr>
                <w:rFonts w:asciiTheme="minorHAnsi" w:hAnsiTheme="minorHAnsi" w:cstheme="minorHAnsi"/>
                <w:sz w:val="22"/>
                <w:szCs w:val="22"/>
              </w:rPr>
              <w:t xml:space="preserve">. </w:t>
            </w:r>
          </w:p>
        </w:tc>
      </w:tr>
      <w:tr w:rsidR="006E50FF" w:rsidRPr="00520BB8" w14:paraId="20ECF528"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63041A07" w14:textId="38D36834" w:rsidR="006E50FF" w:rsidRPr="00520BB8" w:rsidRDefault="006E50FF"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0D0C0D47" w14:textId="77777777" w:rsidR="006E50FF" w:rsidRPr="00520BB8" w:rsidRDefault="006E50FF"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p>
          <w:p w14:paraId="2F675C21" w14:textId="2266101F" w:rsidR="00AF38A9" w:rsidRPr="00520BB8" w:rsidRDefault="00AF38A9"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(dot. dodawanego art. 123g)</w:t>
            </w:r>
          </w:p>
        </w:tc>
        <w:tc>
          <w:tcPr>
            <w:tcW w:w="2578" w:type="dxa"/>
            <w:shd w:val="clear" w:color="auto" w:fill="auto"/>
            <w:tcMar>
              <w:top w:w="0" w:type="dxa"/>
              <w:left w:w="108" w:type="dxa"/>
              <w:bottom w:w="0" w:type="dxa"/>
              <w:right w:w="108" w:type="dxa"/>
            </w:tcMar>
          </w:tcPr>
          <w:p w14:paraId="2B4632CF" w14:textId="1164E9D9" w:rsidR="006E50FF" w:rsidRPr="00520BB8" w:rsidRDefault="00603A19" w:rsidP="00DE3370">
            <w:pPr>
              <w:spacing w:line="276" w:lineRule="auto"/>
              <w:rPr>
                <w:rFonts w:asciiTheme="minorHAnsi" w:eastAsia="Calibri" w:hAnsiTheme="minorHAnsi" w:cstheme="minorHAnsi"/>
                <w:b/>
                <w:bCs/>
                <w:color w:val="000000"/>
                <w:sz w:val="22"/>
                <w:szCs w:val="22"/>
                <w:lang w:eastAsia="en-US"/>
              </w:rPr>
            </w:pPr>
            <w:r w:rsidRPr="00520BB8">
              <w:rPr>
                <w:rFonts w:asciiTheme="minorHAnsi" w:eastAsia="Calibri" w:hAnsiTheme="minorHAnsi" w:cstheme="minorHAnsi"/>
                <w:color w:val="000000"/>
                <w:sz w:val="22"/>
                <w:szCs w:val="22"/>
                <w:lang w:eastAsia="en-US"/>
              </w:rPr>
              <w:t>Przedsiębiorca powinien otrzymać plan kontroli w formie egzemplarz</w:t>
            </w:r>
            <w:r w:rsidR="00C8301F" w:rsidRPr="00520BB8">
              <w:rPr>
                <w:rFonts w:asciiTheme="minorHAnsi" w:eastAsia="Calibri" w:hAnsiTheme="minorHAnsi" w:cstheme="minorHAnsi"/>
                <w:color w:val="000000"/>
                <w:sz w:val="22"/>
                <w:szCs w:val="22"/>
                <w:lang w:eastAsia="en-US"/>
              </w:rPr>
              <w:t>a</w:t>
            </w:r>
            <w:r w:rsidRPr="00520BB8">
              <w:rPr>
                <w:rFonts w:asciiTheme="minorHAnsi" w:eastAsia="Calibri" w:hAnsiTheme="minorHAnsi" w:cstheme="minorHAnsi"/>
                <w:color w:val="000000"/>
                <w:sz w:val="22"/>
                <w:szCs w:val="22"/>
                <w:lang w:eastAsia="en-US"/>
              </w:rPr>
              <w:t xml:space="preserve"> pisemnego, aby móc </w:t>
            </w:r>
            <w:r w:rsidRPr="00520BB8">
              <w:rPr>
                <w:rFonts w:asciiTheme="minorHAnsi" w:hAnsiTheme="minorHAnsi" w:cstheme="minorHAnsi"/>
                <w:sz w:val="22"/>
                <w:szCs w:val="22"/>
              </w:rPr>
              <w:t>planować działalność operacyjną z pełną świadomością obciążeń wynikających z kontroli.</w:t>
            </w:r>
          </w:p>
        </w:tc>
        <w:tc>
          <w:tcPr>
            <w:tcW w:w="3774" w:type="dxa"/>
            <w:shd w:val="clear" w:color="auto" w:fill="auto"/>
            <w:tcMar>
              <w:top w:w="0" w:type="dxa"/>
              <w:left w:w="108" w:type="dxa"/>
              <w:bottom w:w="0" w:type="dxa"/>
              <w:right w:w="108" w:type="dxa"/>
            </w:tcMar>
          </w:tcPr>
          <w:p w14:paraId="3F17FA5A" w14:textId="1E4934F8" w:rsidR="006E50FF" w:rsidRPr="00520BB8" w:rsidRDefault="006E50FF" w:rsidP="00634B42">
            <w:pPr>
              <w:spacing w:line="276" w:lineRule="auto"/>
              <w:rPr>
                <w:rFonts w:asciiTheme="minorHAnsi" w:eastAsia="Calibri" w:hAnsiTheme="minorHAnsi" w:cstheme="minorHAnsi"/>
                <w:color w:val="000000"/>
                <w:sz w:val="22"/>
                <w:szCs w:val="22"/>
                <w:lang w:eastAsia="en-US"/>
              </w:rPr>
            </w:pPr>
            <w:r w:rsidRPr="00520BB8">
              <w:rPr>
                <w:rFonts w:asciiTheme="minorHAnsi" w:hAnsiTheme="minorHAnsi" w:cstheme="minorHAnsi"/>
                <w:sz w:val="22"/>
                <w:szCs w:val="22"/>
              </w:rPr>
              <w:t>Sformułowanie o "podaniu" planu kontroli może być rozumiane w ten sposób, że kontrolujący odczyta plan. Dla przedsiębiorcy istotne jest to, aby planować działalność operacyjną z pełną świadomością obciążeń wynikających z kontroli - w tym celu musi taką działalność dopasować do planu kontroli.</w:t>
            </w:r>
          </w:p>
        </w:tc>
        <w:tc>
          <w:tcPr>
            <w:tcW w:w="3540" w:type="dxa"/>
            <w:shd w:val="clear" w:color="auto" w:fill="auto"/>
            <w:tcMar>
              <w:top w:w="0" w:type="dxa"/>
              <w:left w:w="108" w:type="dxa"/>
              <w:bottom w:w="0" w:type="dxa"/>
              <w:right w:w="108" w:type="dxa"/>
            </w:tcMar>
          </w:tcPr>
          <w:p w14:paraId="5FD26F7B" w14:textId="6D51BCA4" w:rsidR="006E50FF" w:rsidRPr="00520BB8" w:rsidRDefault="006E50FF"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w art. 123g dodawanego Rozdziału 8a dotychczasowy ust. 12 otrzymuje brzmienie:</w:t>
            </w:r>
          </w:p>
          <w:p w14:paraId="73BEC4BA" w14:textId="77777777" w:rsidR="006E50FF" w:rsidRPr="00520BB8" w:rsidRDefault="006E50FF" w:rsidP="00634B42">
            <w:pPr>
              <w:spacing w:line="276" w:lineRule="auto"/>
              <w:rPr>
                <w:rFonts w:asciiTheme="minorHAnsi" w:eastAsia="Calibri" w:hAnsiTheme="minorHAnsi" w:cstheme="minorHAnsi"/>
                <w:color w:val="000000"/>
                <w:sz w:val="22"/>
                <w:szCs w:val="22"/>
                <w:lang w:eastAsia="en-US"/>
              </w:rPr>
            </w:pPr>
          </w:p>
          <w:p w14:paraId="15EC2FA8" w14:textId="5C4BBE6F" w:rsidR="006E50FF" w:rsidRPr="00520BB8" w:rsidRDefault="006E50FF" w:rsidP="0018737F">
            <w:pPr>
              <w:pStyle w:val="Akapitzlist"/>
              <w:numPr>
                <w:ilvl w:val="0"/>
                <w:numId w:val="1"/>
              </w:num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W celu prawidłowego i sprawnego przeprowadzenia kontroli planowej niezwłocznie po rozpoczęciu kontroli inspektor </w:t>
            </w:r>
            <w:r w:rsidRPr="00520BB8">
              <w:rPr>
                <w:rFonts w:asciiTheme="minorHAnsi" w:eastAsia="Calibri" w:hAnsiTheme="minorHAnsi" w:cstheme="minorHAnsi"/>
                <w:i/>
                <w:iCs/>
                <w:color w:val="000000"/>
                <w:sz w:val="22"/>
                <w:szCs w:val="22"/>
                <w:lang w:eastAsia="en-US"/>
              </w:rPr>
              <w:lastRenderedPageBreak/>
              <w:t>przekazuje kontrolowanemu egzemplarz pisemnego  planu przebiegu kontroli, w tym przewidywany okres jej prowadzenia oraz jej zakres.</w:t>
            </w:r>
          </w:p>
        </w:tc>
      </w:tr>
      <w:tr w:rsidR="00603A19" w:rsidRPr="00520BB8" w14:paraId="4F2CA693"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7C391DFB" w14:textId="4B3D9487" w:rsidR="00603A19" w:rsidRPr="00520BB8" w:rsidRDefault="00603A19"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51E87044" w14:textId="77777777" w:rsidR="00603A19" w:rsidRPr="00520BB8" w:rsidRDefault="00603A19"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p>
          <w:p w14:paraId="36402E7B" w14:textId="68417850" w:rsidR="00AF38A9" w:rsidRPr="00520BB8" w:rsidRDefault="00AF38A9"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(dot. dodawanego art. 123h</w:t>
            </w:r>
            <w:r w:rsidR="00760CD6" w:rsidRPr="00520BB8">
              <w:rPr>
                <w:rFonts w:asciiTheme="minorHAnsi" w:eastAsia="Calibri" w:hAnsiTheme="minorHAnsi" w:cstheme="minorHAnsi"/>
                <w:sz w:val="22"/>
                <w:szCs w:val="22"/>
                <w:lang w:eastAsia="en-US"/>
              </w:rPr>
              <w:t xml:space="preserve"> ust. 1 i ust. 2</w:t>
            </w:r>
            <w:r w:rsidRPr="00520BB8">
              <w:rPr>
                <w:rFonts w:asciiTheme="minorHAnsi" w:eastAsia="Calibri" w:hAnsiTheme="minorHAnsi" w:cstheme="minorHAnsi"/>
                <w:sz w:val="22"/>
                <w:szCs w:val="22"/>
                <w:lang w:eastAsia="en-US"/>
              </w:rPr>
              <w:t>)</w:t>
            </w:r>
          </w:p>
        </w:tc>
        <w:tc>
          <w:tcPr>
            <w:tcW w:w="2578" w:type="dxa"/>
            <w:shd w:val="clear" w:color="auto" w:fill="auto"/>
            <w:tcMar>
              <w:top w:w="0" w:type="dxa"/>
              <w:left w:w="108" w:type="dxa"/>
              <w:bottom w:w="0" w:type="dxa"/>
              <w:right w:w="108" w:type="dxa"/>
            </w:tcMar>
          </w:tcPr>
          <w:p w14:paraId="5743E7BE" w14:textId="345C4611" w:rsidR="00603A19" w:rsidRPr="00520BB8" w:rsidRDefault="00603A19"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Kompetencje władcze GIF podczas kontroli powinny być określono w sposób jak najbardziej precyzyjny i proporcjonalny. </w:t>
            </w:r>
          </w:p>
        </w:tc>
        <w:tc>
          <w:tcPr>
            <w:tcW w:w="3774" w:type="dxa"/>
            <w:shd w:val="clear" w:color="auto" w:fill="auto"/>
            <w:tcMar>
              <w:top w:w="0" w:type="dxa"/>
              <w:left w:w="108" w:type="dxa"/>
              <w:bottom w:w="0" w:type="dxa"/>
              <w:right w:w="108" w:type="dxa"/>
            </w:tcMar>
          </w:tcPr>
          <w:p w14:paraId="7D5A303D" w14:textId="77777777" w:rsidR="00120AD0" w:rsidRPr="00520BB8" w:rsidRDefault="00603A19" w:rsidP="00634B42">
            <w:pPr>
              <w:pStyle w:val="Tekstkomentarza"/>
              <w:spacing w:line="276" w:lineRule="auto"/>
              <w:rPr>
                <w:rFonts w:asciiTheme="minorHAnsi" w:hAnsiTheme="minorHAnsi" w:cstheme="minorHAnsi"/>
                <w:sz w:val="22"/>
                <w:szCs w:val="22"/>
              </w:rPr>
            </w:pPr>
            <w:r w:rsidRPr="00520BB8">
              <w:rPr>
                <w:rFonts w:asciiTheme="minorHAnsi" w:hAnsiTheme="minorHAnsi" w:cstheme="minorHAnsi"/>
                <w:sz w:val="22"/>
                <w:szCs w:val="22"/>
              </w:rPr>
              <w:t>Przepisy art. 123h stanowią zrąb dla większości kompetencji władczych GIF podczas kontroli. Bardzo ważne jest precyzyjne i zgodne z konstytucyjną zasadą proporcjonalności określenie tych kompetencji.</w:t>
            </w:r>
            <w:r w:rsidRPr="00520BB8">
              <w:rPr>
                <w:rFonts w:asciiTheme="minorHAnsi" w:hAnsiTheme="minorHAnsi" w:cstheme="minorHAnsi"/>
                <w:sz w:val="22"/>
                <w:szCs w:val="22"/>
              </w:rPr>
              <w:br/>
            </w:r>
            <w:r w:rsidRPr="00520BB8">
              <w:rPr>
                <w:rFonts w:asciiTheme="minorHAnsi" w:hAnsiTheme="minorHAnsi" w:cstheme="minorHAnsi"/>
                <w:sz w:val="22"/>
                <w:szCs w:val="22"/>
              </w:rPr>
              <w:br/>
              <w:t xml:space="preserve">Przede wszystkim, kluczowe jest to, aby wykonywanie władztwa w zakresie oględzin i zabierania dokumentów oraz innych środków odbywało się protokolarnie. </w:t>
            </w:r>
            <w:r w:rsidRPr="00520BB8">
              <w:rPr>
                <w:rFonts w:asciiTheme="minorHAnsi" w:hAnsiTheme="minorHAnsi" w:cstheme="minorHAnsi"/>
                <w:sz w:val="22"/>
                <w:szCs w:val="22"/>
              </w:rPr>
              <w:br/>
            </w:r>
            <w:r w:rsidRPr="00520BB8">
              <w:rPr>
                <w:rFonts w:asciiTheme="minorHAnsi" w:hAnsiTheme="minorHAnsi" w:cstheme="minorHAnsi"/>
                <w:sz w:val="22"/>
                <w:szCs w:val="22"/>
              </w:rPr>
              <w:br/>
              <w:t xml:space="preserve">Niezasadne jest w nowoczesnym państwie, w XXI wieku żądanie od przedsiębiorcy farmaceutycznego, aby tłumaczył dokumenty anglojęzyczne. Jest to język powszechnie stosowany w całym obrocie farmaceutycznym, w postępowaniach rejestracyjnych, związanych z incydentami oraz ogólnie w komunikacji między organami państw członkowskich UE. Tłumaczenia takie </w:t>
            </w:r>
            <w:r w:rsidRPr="00520BB8">
              <w:rPr>
                <w:rFonts w:asciiTheme="minorHAnsi" w:hAnsiTheme="minorHAnsi" w:cstheme="minorHAnsi"/>
                <w:sz w:val="22"/>
                <w:szCs w:val="22"/>
              </w:rPr>
              <w:lastRenderedPageBreak/>
              <w:t>będą powodować istotne koszty i opóźnienia.</w:t>
            </w:r>
            <w:r w:rsidRPr="00520BB8">
              <w:rPr>
                <w:rFonts w:asciiTheme="minorHAnsi" w:hAnsiTheme="minorHAnsi" w:cstheme="minorHAnsi"/>
                <w:sz w:val="22"/>
                <w:szCs w:val="22"/>
              </w:rPr>
              <w:br/>
            </w:r>
            <w:r w:rsidRPr="00520BB8">
              <w:rPr>
                <w:rFonts w:asciiTheme="minorHAnsi" w:hAnsiTheme="minorHAnsi" w:cstheme="minorHAnsi"/>
                <w:sz w:val="22"/>
                <w:szCs w:val="22"/>
              </w:rPr>
              <w:br/>
              <w:t>Bardzo ważne jest, aby środki informatyczne były wydawane w kopii (np. binarnej) a nie bezpośrednio, ponieważ odmienne ukształtowanie kompetencji GIF w tym zakresie spowodować mogłoby m.in. unieruchomienie hurtowni lub apteki, gdyby GIF zażądał wydania dysków twardych głównego serwera firmowego lub komputerów przeznaczonych do obsługi logistyki hurtowni lub sprzedaży detalicznej.</w:t>
            </w:r>
            <w:r w:rsidR="00C57D03" w:rsidRPr="00520BB8">
              <w:rPr>
                <w:rFonts w:asciiTheme="minorHAnsi" w:hAnsiTheme="minorHAnsi" w:cstheme="minorHAnsi"/>
                <w:sz w:val="22"/>
                <w:szCs w:val="22"/>
              </w:rPr>
              <w:t xml:space="preserve"> Mogłoby to skutkować bardzo poważnymi konsekwencjami polegającymi na faktycznym uniemożliwieniu działalności hurtowni czy aptek oraz pogłębiającymi się problemami w zapewnieniu ciągłości dostaw.</w:t>
            </w:r>
            <w:r w:rsidRPr="00520BB8">
              <w:rPr>
                <w:rFonts w:asciiTheme="minorHAnsi" w:hAnsiTheme="minorHAnsi" w:cstheme="minorHAnsi"/>
                <w:sz w:val="22"/>
                <w:szCs w:val="22"/>
              </w:rPr>
              <w:br/>
            </w:r>
            <w:r w:rsidRPr="00520BB8">
              <w:rPr>
                <w:rFonts w:asciiTheme="minorHAnsi" w:hAnsiTheme="minorHAnsi" w:cstheme="minorHAnsi"/>
                <w:sz w:val="22"/>
                <w:szCs w:val="22"/>
              </w:rPr>
              <w:br/>
              <w:t xml:space="preserve">Klasyfikacja danego działania lub zaniechania przedsiębiorcy jako "uchybienia porządkowego" jest z natury sporna. Jeżeli zatem GIF ma mieć prawo do żądania zmiany sposobu funkcjonowania przedsiębiorcy podczas </w:t>
            </w:r>
            <w:r w:rsidRPr="00520BB8">
              <w:rPr>
                <w:rFonts w:asciiTheme="minorHAnsi" w:hAnsiTheme="minorHAnsi" w:cstheme="minorHAnsi"/>
                <w:sz w:val="22"/>
                <w:szCs w:val="22"/>
              </w:rPr>
              <w:lastRenderedPageBreak/>
              <w:t>kontroli, to kompetencja ta powinna jednoznacznie służyć zapewnienie prawidłowości kontroli, a nie np. częściowemu realizowaniu postulatów GIF, które powinny zostać przedstawione w raporcie z kontroli.</w:t>
            </w:r>
          </w:p>
          <w:p w14:paraId="0BB5285D" w14:textId="77777777" w:rsidR="00120AD0" w:rsidRPr="00520BB8" w:rsidRDefault="00120AD0" w:rsidP="00634B42">
            <w:pPr>
              <w:pStyle w:val="Tekstkomentarza"/>
              <w:spacing w:line="276" w:lineRule="auto"/>
              <w:rPr>
                <w:rFonts w:asciiTheme="minorHAnsi" w:hAnsiTheme="minorHAnsi" w:cstheme="minorHAnsi"/>
                <w:sz w:val="22"/>
                <w:szCs w:val="22"/>
              </w:rPr>
            </w:pPr>
          </w:p>
          <w:p w14:paraId="37967F77" w14:textId="77777777" w:rsidR="00120AD0" w:rsidRPr="00520BB8" w:rsidRDefault="00120AD0" w:rsidP="00634B42">
            <w:pPr>
              <w:pStyle w:val="Tekstkomentarza"/>
              <w:spacing w:line="276" w:lineRule="auto"/>
              <w:rPr>
                <w:rFonts w:asciiTheme="minorHAnsi" w:hAnsiTheme="minorHAnsi" w:cstheme="minorHAnsi"/>
                <w:sz w:val="22"/>
                <w:szCs w:val="22"/>
              </w:rPr>
            </w:pPr>
            <w:r w:rsidRPr="00520BB8">
              <w:rPr>
                <w:rFonts w:asciiTheme="minorHAnsi" w:hAnsiTheme="minorHAnsi" w:cstheme="minorHAnsi"/>
                <w:sz w:val="22"/>
                <w:szCs w:val="22"/>
              </w:rPr>
              <w:t xml:space="preserve">Projekt w pierwotnym brzmieniu przewidywał możliwość zażądania przeprowadzenia, w ramach kontroli, symulacji czynności z zakresu działalności kontrolowanego podmiotu. W praktyce mogłoby to prowadzić do blokowania normalnej działalności np. hurtowni farmaceutycznej, która zamiast realizowania zamówień byłaby zaangażowana w wykonywanie żądanych przez kontrolującego symulacji poszczególnych działań. Żądanie realizowania przeprowadzania symulacji czynności mogłoby więc zakłócać ciągłość zaopatrzenia w produkty lecznicze czy wyroby medyczne. Racjonalne i proporcjonalne wydaje się natomiast, aby cel kontroli realizowany był poprzez oględziny (w toku kontroli) normalnej działalności </w:t>
            </w:r>
            <w:r w:rsidRPr="00520BB8">
              <w:rPr>
                <w:rFonts w:asciiTheme="minorHAnsi" w:hAnsiTheme="minorHAnsi" w:cstheme="minorHAnsi"/>
                <w:sz w:val="22"/>
                <w:szCs w:val="22"/>
              </w:rPr>
              <w:lastRenderedPageBreak/>
              <w:t xml:space="preserve">prowadzonej przez kontrolowanego (np. procesu realizacji zamówień). </w:t>
            </w:r>
          </w:p>
          <w:p w14:paraId="23A4BA78" w14:textId="77777777" w:rsidR="00120AD0" w:rsidRPr="00520BB8" w:rsidRDefault="00120AD0" w:rsidP="00634B42">
            <w:pPr>
              <w:pStyle w:val="Tekstkomentarza"/>
              <w:spacing w:line="276" w:lineRule="auto"/>
              <w:rPr>
                <w:rFonts w:asciiTheme="minorHAnsi" w:hAnsiTheme="minorHAnsi" w:cstheme="minorHAnsi"/>
                <w:sz w:val="22"/>
                <w:szCs w:val="22"/>
              </w:rPr>
            </w:pPr>
            <w:r w:rsidRPr="00520BB8">
              <w:rPr>
                <w:rFonts w:asciiTheme="minorHAnsi" w:hAnsiTheme="minorHAnsi" w:cstheme="minorHAnsi"/>
                <w:sz w:val="22"/>
                <w:szCs w:val="22"/>
              </w:rPr>
              <w:br/>
            </w:r>
          </w:p>
          <w:p w14:paraId="4548FBFC" w14:textId="07F98D7A" w:rsidR="00603A19" w:rsidRPr="00520BB8" w:rsidRDefault="00603A19" w:rsidP="00634B42">
            <w:pPr>
              <w:pStyle w:val="Tekstkomentarza"/>
              <w:spacing w:line="276" w:lineRule="auto"/>
              <w:rPr>
                <w:rFonts w:asciiTheme="minorHAnsi" w:hAnsiTheme="minorHAnsi" w:cstheme="minorHAnsi"/>
                <w:sz w:val="22"/>
                <w:szCs w:val="22"/>
              </w:rPr>
            </w:pPr>
            <w:r w:rsidRPr="00520BB8">
              <w:rPr>
                <w:rFonts w:asciiTheme="minorHAnsi" w:hAnsiTheme="minorHAnsi" w:cstheme="minorHAnsi"/>
                <w:sz w:val="22"/>
                <w:szCs w:val="22"/>
              </w:rPr>
              <w:br/>
            </w:r>
          </w:p>
          <w:p w14:paraId="631E53AA" w14:textId="77777777" w:rsidR="00603A19" w:rsidRPr="00520BB8" w:rsidRDefault="00603A19" w:rsidP="00634B42">
            <w:pPr>
              <w:spacing w:line="276" w:lineRule="auto"/>
              <w:rPr>
                <w:rFonts w:asciiTheme="minorHAnsi" w:hAnsiTheme="minorHAnsi" w:cstheme="minorHAnsi"/>
                <w:b/>
                <w:bCs/>
                <w:sz w:val="22"/>
                <w:szCs w:val="22"/>
              </w:rPr>
            </w:pPr>
          </w:p>
        </w:tc>
        <w:tc>
          <w:tcPr>
            <w:tcW w:w="3540" w:type="dxa"/>
            <w:shd w:val="clear" w:color="auto" w:fill="auto"/>
            <w:tcMar>
              <w:top w:w="0" w:type="dxa"/>
              <w:left w:w="108" w:type="dxa"/>
              <w:bottom w:w="0" w:type="dxa"/>
              <w:right w:w="108" w:type="dxa"/>
            </w:tcMar>
          </w:tcPr>
          <w:p w14:paraId="6D96247E" w14:textId="62317705" w:rsidR="00603A19" w:rsidRPr="00520BB8" w:rsidRDefault="00603A19"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lastRenderedPageBreak/>
              <w:t>W art. 1 pkt 41 zmienia się brzmienie art. 123h</w:t>
            </w:r>
            <w:r w:rsidR="00825FB3" w:rsidRPr="00520BB8">
              <w:rPr>
                <w:rFonts w:asciiTheme="minorHAnsi" w:eastAsia="Calibri" w:hAnsiTheme="minorHAnsi" w:cstheme="minorHAnsi"/>
                <w:color w:val="000000"/>
                <w:sz w:val="22"/>
                <w:szCs w:val="22"/>
                <w:lang w:eastAsia="en-US"/>
              </w:rPr>
              <w:t xml:space="preserve"> ust. 1 i ust. 2</w:t>
            </w:r>
            <w:r w:rsidRPr="00520BB8">
              <w:rPr>
                <w:rFonts w:asciiTheme="minorHAnsi" w:eastAsia="Calibri" w:hAnsiTheme="minorHAnsi" w:cstheme="minorHAnsi"/>
                <w:color w:val="000000"/>
                <w:sz w:val="22"/>
                <w:szCs w:val="22"/>
                <w:lang w:eastAsia="en-US"/>
              </w:rPr>
              <w:t xml:space="preserve"> dodawanego Rozdziału 8a w następujący sposób:</w:t>
            </w:r>
          </w:p>
          <w:p w14:paraId="3E7227F2" w14:textId="77777777" w:rsidR="00603A19" w:rsidRPr="00520BB8" w:rsidRDefault="00603A19" w:rsidP="00634B42">
            <w:pPr>
              <w:spacing w:line="276" w:lineRule="auto"/>
              <w:rPr>
                <w:rFonts w:asciiTheme="minorHAnsi" w:eastAsia="Calibri" w:hAnsiTheme="minorHAnsi" w:cstheme="minorHAnsi"/>
                <w:color w:val="000000"/>
                <w:sz w:val="22"/>
                <w:szCs w:val="22"/>
                <w:lang w:eastAsia="en-US"/>
              </w:rPr>
            </w:pPr>
          </w:p>
          <w:p w14:paraId="6C1E5083" w14:textId="77777777" w:rsidR="00603A19" w:rsidRPr="00520BB8" w:rsidRDefault="00603A19" w:rsidP="00634B42">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Art. 123h. 1. W toku kontroli osoby upoważnione do jej przeprowadzenia są uprawnione do: </w:t>
            </w:r>
          </w:p>
          <w:p w14:paraId="6203A9B3" w14:textId="2C7104EB"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wstępu na teren nieruchomości, obiektów, lokali lub ich części, gdzie jest wykonywana działalność, o której mowa w art. 123c, lub gdzie zachodzi uzasadnione podejrzenie jej wykonywania oraz dokonywania ich oględzin; </w:t>
            </w:r>
          </w:p>
          <w:p w14:paraId="41921876"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dokonywania protokolarnych oględzin środków przewozowych, produktów i innych rzeczy w zakresie objętym kontrolą;</w:t>
            </w:r>
          </w:p>
          <w:p w14:paraId="1CC137F1"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pobierania protokolarnie próbek produktów leczniczych związanych z przedmiotem kontroli, </w:t>
            </w:r>
            <w:r w:rsidRPr="00520BB8">
              <w:rPr>
                <w:rFonts w:asciiTheme="minorHAnsi" w:eastAsia="Calibri" w:hAnsiTheme="minorHAnsi" w:cstheme="minorHAnsi"/>
                <w:i/>
                <w:iCs/>
                <w:color w:val="000000"/>
                <w:sz w:val="22"/>
                <w:szCs w:val="22"/>
                <w:lang w:eastAsia="en-US"/>
              </w:rPr>
              <w:lastRenderedPageBreak/>
              <w:t xml:space="preserve">w celu przebadania ich przez upoważnioną jednostkę; </w:t>
            </w:r>
          </w:p>
          <w:p w14:paraId="3B8BE08F"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żądania okazania wszelkich posiadanych przez kontrolowanego dokumentów, danych i informacji związanych z przedmiotem kontroli oraz protokolarnego udostępniania tych materiałów uprawnionym osobom w celu wykonania przez nie kopii,</w:t>
            </w:r>
          </w:p>
          <w:p w14:paraId="003296C9"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żądania tłumaczenia na język polski dokumentów posiadanych przez kontrolowanego, niezbędnych oraz istotnych dla prawidłowego przeprowadzenia kontroli, chyba że dokumenty te zostały sporządzone w języku angielskim, oraz ich protokolarnego udostępnienia takiego tłumaczenia uprawnionym osobom celem wykonania przez nie kopii; </w:t>
            </w:r>
          </w:p>
          <w:p w14:paraId="2FCF3F6A"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protokolarnego badania okazanych dokumentów i nośników informacji odnoszących się do przedmiotu kontroli; </w:t>
            </w:r>
          </w:p>
          <w:p w14:paraId="3CC0874C"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legitymowania osoby uczestniczącej w kontroli albo fizycznie obecnej w miejscu jej </w:t>
            </w:r>
            <w:r w:rsidRPr="00520BB8">
              <w:rPr>
                <w:rFonts w:asciiTheme="minorHAnsi" w:eastAsia="Calibri" w:hAnsiTheme="minorHAnsi" w:cstheme="minorHAnsi"/>
                <w:i/>
                <w:iCs/>
                <w:color w:val="000000"/>
                <w:sz w:val="22"/>
                <w:szCs w:val="22"/>
                <w:lang w:eastAsia="en-US"/>
              </w:rPr>
              <w:lastRenderedPageBreak/>
              <w:t xml:space="preserve">przeprowadzania w celu stwierdzenia jej tożsamości, jeżeli jest to niezbędne na potrzeby kontroli; </w:t>
            </w:r>
          </w:p>
          <w:p w14:paraId="411342E7"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żądania od kontrolowanego lub osoby przez niego upoważnionej lub osoby, o której mowa w art. 123g ust. 8, niezwłocznego usunięcia oczywistych uchybień porządkowych i organizacyjnych, w szczególności usunięcia osób nieuprawnionych do przebywania na terenie gdzie jest przeprowadzana kontrola lub utrudniających jej przeprowadzenie, jeżeli jest to niezbędne dla zapewnienia prawidłowego przebiegu kontroli; </w:t>
            </w:r>
          </w:p>
          <w:p w14:paraId="1AFA7F06"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żądania od kontrolowanego lub osoby przez niego upoważnionej udzielenia pisemnych lub ustnych wyjaśnień w sprawach objętych zakresem kontroli; </w:t>
            </w:r>
          </w:p>
          <w:p w14:paraId="16E7BA43"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zasięgania opinii biegłych lub ekspertów, jeżeli jest to niezbędne na potrzeby kontroli; </w:t>
            </w:r>
          </w:p>
          <w:p w14:paraId="52E14ED7"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sprawdzania poprawności wykonywania obowiązków przez </w:t>
            </w:r>
            <w:r w:rsidRPr="00520BB8">
              <w:rPr>
                <w:rFonts w:asciiTheme="minorHAnsi" w:eastAsia="Calibri" w:hAnsiTheme="minorHAnsi" w:cstheme="minorHAnsi"/>
                <w:i/>
                <w:iCs/>
                <w:color w:val="000000"/>
                <w:sz w:val="22"/>
                <w:szCs w:val="22"/>
                <w:lang w:eastAsia="en-US"/>
              </w:rPr>
              <w:lastRenderedPageBreak/>
              <w:t xml:space="preserve">personel kontrolowanego w drodze protokolarnych oględzin zwykłej działalności kontrolowanego lub wybranego zakresu takiej działalności; </w:t>
            </w:r>
          </w:p>
          <w:p w14:paraId="289A7848"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rejestrowania przebiegu kontroli w formie zapisu obrazu lub dźwięku;</w:t>
            </w:r>
          </w:p>
          <w:p w14:paraId="49052465" w14:textId="77777777" w:rsidR="00603A19" w:rsidRPr="00520BB8" w:rsidRDefault="00603A19" w:rsidP="00634B42">
            <w:pPr>
              <w:pStyle w:val="Akapitzlist"/>
              <w:numPr>
                <w:ilvl w:val="0"/>
                <w:numId w:val="2"/>
              </w:numPr>
              <w:spacing w:line="276" w:lineRule="auto"/>
              <w:ind w:left="130"/>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zabezpieczania dowodów, jeżeli jest to niezbędne na potrzeby kontroli, z uwzględnieniem przepisów art. 123n.</w:t>
            </w:r>
          </w:p>
          <w:p w14:paraId="0F686362" w14:textId="77777777" w:rsidR="00AB5229" w:rsidRPr="00520BB8" w:rsidRDefault="00AB5229" w:rsidP="00634B42">
            <w:pPr>
              <w:spacing w:line="276" w:lineRule="auto"/>
              <w:ind w:left="130"/>
              <w:rPr>
                <w:rFonts w:asciiTheme="minorHAnsi" w:eastAsia="Calibri" w:hAnsiTheme="minorHAnsi" w:cstheme="minorHAnsi"/>
                <w:i/>
                <w:iCs/>
                <w:color w:val="000000"/>
                <w:sz w:val="22"/>
                <w:szCs w:val="22"/>
                <w:lang w:eastAsia="en-US"/>
              </w:rPr>
            </w:pPr>
          </w:p>
          <w:p w14:paraId="05EF9C50" w14:textId="0D709E73" w:rsidR="005705AE" w:rsidRPr="00520BB8" w:rsidRDefault="00603A19" w:rsidP="00634B42">
            <w:pPr>
              <w:pStyle w:val="Akapitzlist"/>
              <w:numPr>
                <w:ilvl w:val="1"/>
                <w:numId w:val="2"/>
              </w:numPr>
              <w:spacing w:line="276" w:lineRule="auto"/>
              <w:ind w:left="-12"/>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Przepisy ust. 1 pkt 1‒</w:t>
            </w:r>
            <w:r w:rsidR="00A47405" w:rsidRPr="00520BB8">
              <w:rPr>
                <w:rFonts w:asciiTheme="minorHAnsi" w:eastAsia="Calibri" w:hAnsiTheme="minorHAnsi" w:cstheme="minorHAnsi"/>
                <w:i/>
                <w:iCs/>
                <w:color w:val="000000"/>
                <w:sz w:val="22"/>
                <w:szCs w:val="22"/>
                <w:lang w:eastAsia="en-US"/>
              </w:rPr>
              <w:t>6,</w:t>
            </w:r>
            <w:r w:rsidRPr="00520BB8">
              <w:rPr>
                <w:rFonts w:asciiTheme="minorHAnsi" w:eastAsia="Calibri" w:hAnsiTheme="minorHAnsi" w:cstheme="minorHAnsi"/>
                <w:i/>
                <w:iCs/>
                <w:color w:val="000000"/>
                <w:sz w:val="22"/>
                <w:szCs w:val="22"/>
                <w:lang w:eastAsia="en-US"/>
              </w:rPr>
              <w:t xml:space="preserve"> </w:t>
            </w:r>
            <w:r w:rsidR="00A47405" w:rsidRPr="00520BB8">
              <w:rPr>
                <w:rFonts w:asciiTheme="minorHAnsi" w:eastAsia="Calibri" w:hAnsiTheme="minorHAnsi" w:cstheme="minorHAnsi"/>
                <w:i/>
                <w:iCs/>
                <w:color w:val="000000"/>
                <w:sz w:val="22"/>
                <w:szCs w:val="22"/>
                <w:lang w:eastAsia="en-US"/>
              </w:rPr>
              <w:t>8</w:t>
            </w:r>
            <w:r w:rsidRPr="00520BB8">
              <w:rPr>
                <w:rFonts w:asciiTheme="minorHAnsi" w:eastAsia="Calibri" w:hAnsiTheme="minorHAnsi" w:cstheme="minorHAnsi"/>
                <w:i/>
                <w:iCs/>
                <w:color w:val="000000"/>
                <w:sz w:val="22"/>
                <w:szCs w:val="22"/>
                <w:lang w:eastAsia="en-US"/>
              </w:rPr>
              <w:t>‒9 i 1</w:t>
            </w:r>
            <w:r w:rsidR="00556443" w:rsidRPr="00520BB8">
              <w:rPr>
                <w:rFonts w:asciiTheme="minorHAnsi" w:eastAsia="Calibri" w:hAnsiTheme="minorHAnsi" w:cstheme="minorHAnsi"/>
                <w:i/>
                <w:iCs/>
                <w:color w:val="000000"/>
                <w:sz w:val="22"/>
                <w:szCs w:val="22"/>
                <w:lang w:eastAsia="en-US"/>
              </w:rPr>
              <w:t>3</w:t>
            </w:r>
            <w:r w:rsidRPr="00520BB8">
              <w:rPr>
                <w:rFonts w:asciiTheme="minorHAnsi" w:eastAsia="Calibri" w:hAnsiTheme="minorHAnsi" w:cstheme="minorHAnsi"/>
                <w:i/>
                <w:iCs/>
                <w:color w:val="000000"/>
                <w:sz w:val="22"/>
                <w:szCs w:val="22"/>
                <w:lang w:eastAsia="en-US"/>
              </w:rPr>
              <w:t xml:space="preserve"> stosuje się odpowiednio do osób, o których mowa w art. 123g ust. 2. </w:t>
            </w:r>
          </w:p>
          <w:p w14:paraId="003FF2A3" w14:textId="304BFC02" w:rsidR="005705AE" w:rsidRPr="00520BB8" w:rsidRDefault="005705AE" w:rsidP="00634B42">
            <w:pPr>
              <w:spacing w:line="276" w:lineRule="auto"/>
              <w:rPr>
                <w:rFonts w:asciiTheme="minorHAnsi" w:eastAsia="Calibri" w:hAnsiTheme="minorHAnsi" w:cstheme="minorHAnsi"/>
                <w:i/>
                <w:iCs/>
                <w:color w:val="000000"/>
                <w:sz w:val="22"/>
                <w:szCs w:val="22"/>
                <w:lang w:eastAsia="en-US"/>
              </w:rPr>
            </w:pPr>
          </w:p>
          <w:p w14:paraId="66939AA9" w14:textId="77777777" w:rsidR="005705AE" w:rsidRPr="00520BB8" w:rsidRDefault="005705AE"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zmienia się brzmienie art. 123h ust. 3 pkt 2 dodawanego Rozdziału 8a w następujący sposób:</w:t>
            </w:r>
          </w:p>
          <w:p w14:paraId="47A1388F" w14:textId="77777777" w:rsidR="005705AE" w:rsidRPr="00520BB8" w:rsidRDefault="005705AE" w:rsidP="00634B42">
            <w:pPr>
              <w:spacing w:line="276" w:lineRule="auto"/>
              <w:rPr>
                <w:rFonts w:asciiTheme="minorHAnsi" w:eastAsia="Calibri" w:hAnsiTheme="minorHAnsi" w:cstheme="minorHAnsi"/>
                <w:color w:val="000000"/>
                <w:sz w:val="22"/>
                <w:szCs w:val="22"/>
                <w:lang w:eastAsia="en-US"/>
              </w:rPr>
            </w:pPr>
          </w:p>
          <w:p w14:paraId="1D7C9353" w14:textId="2E15FF93" w:rsidR="00603A19" w:rsidRPr="00520BB8" w:rsidRDefault="005705AE" w:rsidP="00634B42">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 xml:space="preserve">2) niezwłocznie przedstawić tłumaczenia, o których mowa w ust. 1 pkt 5; </w:t>
            </w:r>
          </w:p>
        </w:tc>
      </w:tr>
      <w:tr w:rsidR="00825FB3" w:rsidRPr="00520BB8" w14:paraId="4C2377D4"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0B07F4FC" w14:textId="73509573" w:rsidR="00825FB3" w:rsidRPr="00520BB8" w:rsidRDefault="00825FB3"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781CFFE6" w14:textId="77777777" w:rsidR="00825FB3" w:rsidRPr="00520BB8" w:rsidRDefault="00E8743D"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p>
          <w:p w14:paraId="4B4E249D" w14:textId="2833B9F2" w:rsidR="00AA34E2" w:rsidRPr="00520BB8" w:rsidRDefault="00AA34E2"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(dot. dodawanego art. 123h ust. 3 pkt 3)</w:t>
            </w:r>
          </w:p>
        </w:tc>
        <w:tc>
          <w:tcPr>
            <w:tcW w:w="2578" w:type="dxa"/>
            <w:shd w:val="clear" w:color="auto" w:fill="auto"/>
            <w:tcMar>
              <w:top w:w="0" w:type="dxa"/>
              <w:left w:w="108" w:type="dxa"/>
              <w:bottom w:w="0" w:type="dxa"/>
              <w:right w:w="108" w:type="dxa"/>
            </w:tcMar>
          </w:tcPr>
          <w:p w14:paraId="0FDF764D" w14:textId="73638549" w:rsidR="00825FB3" w:rsidRPr="00520BB8" w:rsidRDefault="002B54D6"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Przepis w zaproponowanym brzmieniu umożliwiałby GIF zgłaszanie żądań </w:t>
            </w:r>
            <w:r w:rsidRPr="00520BB8">
              <w:rPr>
                <w:rFonts w:asciiTheme="minorHAnsi" w:eastAsia="Calibri" w:hAnsiTheme="minorHAnsi" w:cstheme="minorHAnsi"/>
                <w:color w:val="000000"/>
                <w:sz w:val="22"/>
                <w:szCs w:val="22"/>
                <w:lang w:eastAsia="en-US"/>
              </w:rPr>
              <w:lastRenderedPageBreak/>
              <w:t>opracowania obliczeń lub analiz w praktycznie nieograniczonym zakresie, co przekładałoby się na równie nieograniczone ryzyko kosztowe po stronie przedsiębiorcy.</w:t>
            </w:r>
          </w:p>
        </w:tc>
        <w:tc>
          <w:tcPr>
            <w:tcW w:w="3774" w:type="dxa"/>
            <w:shd w:val="clear" w:color="auto" w:fill="auto"/>
            <w:tcMar>
              <w:top w:w="0" w:type="dxa"/>
              <w:left w:w="108" w:type="dxa"/>
              <w:bottom w:w="0" w:type="dxa"/>
              <w:right w:w="108" w:type="dxa"/>
            </w:tcMar>
          </w:tcPr>
          <w:p w14:paraId="0ACA2498" w14:textId="55E11891" w:rsidR="00825FB3" w:rsidRPr="00520BB8" w:rsidRDefault="002B54D6" w:rsidP="00634B42">
            <w:pPr>
              <w:pStyle w:val="Tekstkomentarza"/>
              <w:spacing w:line="276" w:lineRule="auto"/>
              <w:rPr>
                <w:rStyle w:val="Odwoaniedokomentarza"/>
                <w:rFonts w:asciiTheme="minorHAnsi" w:hAnsiTheme="minorHAnsi" w:cstheme="minorHAnsi"/>
              </w:rPr>
            </w:pPr>
            <w:r w:rsidRPr="00520BB8">
              <w:rPr>
                <w:rFonts w:asciiTheme="minorHAnsi" w:eastAsia="Calibri" w:hAnsiTheme="minorHAnsi" w:cstheme="minorHAnsi"/>
                <w:sz w:val="22"/>
                <w:szCs w:val="22"/>
                <w:lang w:eastAsia="en-US"/>
              </w:rPr>
              <w:lastRenderedPageBreak/>
              <w:t xml:space="preserve">Zadaniem organu kontrolnego jest analiza materiału zgromadzonego w toku kontroli, nie zaś przerzucanie obowiązku przeprowadzenia takiej </w:t>
            </w:r>
            <w:r w:rsidRPr="00520BB8">
              <w:rPr>
                <w:rFonts w:asciiTheme="minorHAnsi" w:eastAsia="Calibri" w:hAnsiTheme="minorHAnsi" w:cstheme="minorHAnsi"/>
                <w:sz w:val="22"/>
                <w:szCs w:val="22"/>
                <w:lang w:eastAsia="en-US"/>
              </w:rPr>
              <w:lastRenderedPageBreak/>
              <w:t>analizy na przedsiębiorcę. Przepis w proponowanym przez projektodawcę brzmieniu umożliwiałby GIF zgłaszanie żądań opracowania obliczeń lub analiz w praktycznie nieograniczonym zakresie, co przekładałoby się na równie nieograniczone ryzyko kosztowe po stronie przedsiębiorcy. Zasadne jest ograniczenie kompetencji GIF do żądania analiz i obliczeń już posiadanych przez kontrolowanego.</w:t>
            </w:r>
          </w:p>
        </w:tc>
        <w:tc>
          <w:tcPr>
            <w:tcW w:w="3540" w:type="dxa"/>
            <w:shd w:val="clear" w:color="auto" w:fill="auto"/>
            <w:tcMar>
              <w:top w:w="0" w:type="dxa"/>
              <w:left w:w="108" w:type="dxa"/>
              <w:bottom w:w="0" w:type="dxa"/>
              <w:right w:w="108" w:type="dxa"/>
            </w:tcMar>
          </w:tcPr>
          <w:p w14:paraId="62C9CB47" w14:textId="072CD8EF" w:rsidR="00E8743D" w:rsidRPr="00520BB8" w:rsidRDefault="00E8743D"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lastRenderedPageBreak/>
              <w:t xml:space="preserve">W art. 1 pkt 41 zmienia się brzmienie art. 123h ust. 3 </w:t>
            </w:r>
            <w:r w:rsidR="002B54D6" w:rsidRPr="00520BB8">
              <w:rPr>
                <w:rFonts w:asciiTheme="minorHAnsi" w:eastAsia="Calibri" w:hAnsiTheme="minorHAnsi" w:cstheme="minorHAnsi"/>
                <w:color w:val="000000"/>
                <w:sz w:val="22"/>
                <w:szCs w:val="22"/>
                <w:lang w:eastAsia="en-US"/>
              </w:rPr>
              <w:t xml:space="preserve">pkt 3 </w:t>
            </w:r>
            <w:r w:rsidRPr="00520BB8">
              <w:rPr>
                <w:rFonts w:asciiTheme="minorHAnsi" w:eastAsia="Calibri" w:hAnsiTheme="minorHAnsi" w:cstheme="minorHAnsi"/>
                <w:color w:val="000000"/>
                <w:sz w:val="22"/>
                <w:szCs w:val="22"/>
                <w:lang w:eastAsia="en-US"/>
              </w:rPr>
              <w:t>dodawanego Rozdziału 8a w następujący sposób:</w:t>
            </w:r>
          </w:p>
          <w:p w14:paraId="4DCF5E11" w14:textId="77777777" w:rsidR="00825FB3" w:rsidRPr="00520BB8" w:rsidRDefault="00825FB3" w:rsidP="00634B42">
            <w:pPr>
              <w:spacing w:line="276" w:lineRule="auto"/>
              <w:rPr>
                <w:rFonts w:asciiTheme="minorHAnsi" w:eastAsia="Calibri" w:hAnsiTheme="minorHAnsi" w:cstheme="minorHAnsi"/>
                <w:color w:val="000000"/>
                <w:sz w:val="22"/>
                <w:szCs w:val="22"/>
                <w:lang w:eastAsia="en-US"/>
              </w:rPr>
            </w:pPr>
          </w:p>
          <w:p w14:paraId="07EA8CAD" w14:textId="390727E1" w:rsidR="002B54D6" w:rsidRPr="00520BB8" w:rsidRDefault="004969E2" w:rsidP="00634B42">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lastRenderedPageBreak/>
              <w:t xml:space="preserve">3) </w:t>
            </w:r>
            <w:r w:rsidR="002B54D6" w:rsidRPr="00520BB8">
              <w:rPr>
                <w:rFonts w:asciiTheme="minorHAnsi" w:eastAsia="Calibri" w:hAnsiTheme="minorHAnsi" w:cstheme="minorHAnsi"/>
                <w:i/>
                <w:iCs/>
                <w:color w:val="000000"/>
                <w:sz w:val="22"/>
                <w:szCs w:val="22"/>
                <w:lang w:eastAsia="en-US"/>
              </w:rPr>
              <w:t xml:space="preserve">niezwłocznie przedstawić posiadane zestawienia lub obliczenia związane z przedmiotem kontroli; </w:t>
            </w:r>
          </w:p>
        </w:tc>
      </w:tr>
      <w:tr w:rsidR="002B54D6" w:rsidRPr="00520BB8" w14:paraId="620EA4E8"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7775B601" w14:textId="6F6C532A" w:rsidR="002B54D6" w:rsidRPr="00520BB8" w:rsidRDefault="002B54D6"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088CE0D2" w14:textId="77777777" w:rsidR="002B54D6" w:rsidRPr="00520BB8" w:rsidRDefault="002B54D6"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p>
          <w:p w14:paraId="79D44BD5" w14:textId="0FD4CB9D" w:rsidR="00AA34E2" w:rsidRPr="00520BB8" w:rsidRDefault="00AA34E2"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(dot. dodawanego art. 123h ust. 3 pkt 4)</w:t>
            </w:r>
          </w:p>
        </w:tc>
        <w:tc>
          <w:tcPr>
            <w:tcW w:w="2578" w:type="dxa"/>
            <w:shd w:val="clear" w:color="auto" w:fill="auto"/>
            <w:tcMar>
              <w:top w:w="0" w:type="dxa"/>
              <w:left w:w="108" w:type="dxa"/>
              <w:bottom w:w="0" w:type="dxa"/>
              <w:right w:w="108" w:type="dxa"/>
            </w:tcMar>
          </w:tcPr>
          <w:p w14:paraId="606E13CD" w14:textId="33307B41" w:rsidR="002B54D6" w:rsidRPr="00520BB8" w:rsidRDefault="006E3D80"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Pojęcie „schowków” wymaga doprecyzowania.</w:t>
            </w:r>
          </w:p>
        </w:tc>
        <w:tc>
          <w:tcPr>
            <w:tcW w:w="3774" w:type="dxa"/>
            <w:shd w:val="clear" w:color="auto" w:fill="auto"/>
            <w:tcMar>
              <w:top w:w="0" w:type="dxa"/>
              <w:left w:w="108" w:type="dxa"/>
              <w:bottom w:w="0" w:type="dxa"/>
              <w:right w:w="108" w:type="dxa"/>
            </w:tcMar>
          </w:tcPr>
          <w:p w14:paraId="79FA8F30" w14:textId="376AEAC3" w:rsidR="002B54D6" w:rsidRPr="00520BB8" w:rsidRDefault="002B54D6" w:rsidP="00634B42">
            <w:pPr>
              <w:pStyle w:val="Tekstkomentarza"/>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 xml:space="preserve"> Pojęcie </w:t>
            </w:r>
            <w:r w:rsidR="001B5DA2" w:rsidRPr="00520BB8">
              <w:rPr>
                <w:rFonts w:asciiTheme="minorHAnsi" w:eastAsia="Calibri" w:hAnsiTheme="minorHAnsi" w:cstheme="minorHAnsi"/>
                <w:sz w:val="22"/>
                <w:szCs w:val="22"/>
                <w:lang w:eastAsia="en-US"/>
              </w:rPr>
              <w:t>„</w:t>
            </w:r>
            <w:r w:rsidRPr="00520BB8">
              <w:rPr>
                <w:rFonts w:asciiTheme="minorHAnsi" w:eastAsia="Calibri" w:hAnsiTheme="minorHAnsi" w:cstheme="minorHAnsi"/>
                <w:sz w:val="22"/>
                <w:szCs w:val="22"/>
                <w:lang w:eastAsia="en-US"/>
              </w:rPr>
              <w:t>schowków</w:t>
            </w:r>
            <w:r w:rsidR="001B5DA2" w:rsidRPr="00520BB8">
              <w:rPr>
                <w:rFonts w:asciiTheme="minorHAnsi" w:eastAsia="Calibri" w:hAnsiTheme="minorHAnsi" w:cstheme="minorHAnsi"/>
                <w:sz w:val="22"/>
                <w:szCs w:val="22"/>
                <w:lang w:eastAsia="en-US"/>
              </w:rPr>
              <w:t>”</w:t>
            </w:r>
            <w:r w:rsidRPr="00520BB8">
              <w:rPr>
                <w:rFonts w:asciiTheme="minorHAnsi" w:eastAsia="Calibri" w:hAnsiTheme="minorHAnsi" w:cstheme="minorHAnsi"/>
                <w:sz w:val="22"/>
                <w:szCs w:val="22"/>
                <w:lang w:eastAsia="en-US"/>
              </w:rPr>
              <w:t xml:space="preserve"> mieści się w pojęciu </w:t>
            </w:r>
            <w:r w:rsidR="001B5DA2" w:rsidRPr="00520BB8">
              <w:rPr>
                <w:rFonts w:asciiTheme="minorHAnsi" w:eastAsia="Calibri" w:hAnsiTheme="minorHAnsi" w:cstheme="minorHAnsi"/>
                <w:sz w:val="22"/>
                <w:szCs w:val="22"/>
                <w:lang w:eastAsia="en-US"/>
              </w:rPr>
              <w:t>„</w:t>
            </w:r>
            <w:r w:rsidRPr="00520BB8">
              <w:rPr>
                <w:rFonts w:asciiTheme="minorHAnsi" w:eastAsia="Calibri" w:hAnsiTheme="minorHAnsi" w:cstheme="minorHAnsi"/>
                <w:sz w:val="22"/>
                <w:szCs w:val="22"/>
                <w:lang w:eastAsia="en-US"/>
              </w:rPr>
              <w:t>części pomieszczenia</w:t>
            </w:r>
            <w:r w:rsidR="001B5DA2" w:rsidRPr="00520BB8">
              <w:rPr>
                <w:rFonts w:asciiTheme="minorHAnsi" w:eastAsia="Calibri" w:hAnsiTheme="minorHAnsi" w:cstheme="minorHAnsi"/>
                <w:sz w:val="22"/>
                <w:szCs w:val="22"/>
                <w:lang w:eastAsia="en-US"/>
              </w:rPr>
              <w:t>”</w:t>
            </w:r>
            <w:r w:rsidRPr="00520BB8">
              <w:rPr>
                <w:rFonts w:asciiTheme="minorHAnsi" w:eastAsia="Calibri" w:hAnsiTheme="minorHAnsi" w:cstheme="minorHAnsi"/>
                <w:sz w:val="22"/>
                <w:szCs w:val="22"/>
                <w:lang w:eastAsia="en-US"/>
              </w:rPr>
              <w:t>.</w:t>
            </w:r>
          </w:p>
        </w:tc>
        <w:tc>
          <w:tcPr>
            <w:tcW w:w="3540" w:type="dxa"/>
            <w:shd w:val="clear" w:color="auto" w:fill="auto"/>
            <w:tcMar>
              <w:top w:w="0" w:type="dxa"/>
              <w:left w:w="108" w:type="dxa"/>
              <w:bottom w:w="0" w:type="dxa"/>
              <w:right w:w="108" w:type="dxa"/>
            </w:tcMar>
          </w:tcPr>
          <w:p w14:paraId="4B1DF231" w14:textId="7E986516" w:rsidR="002B54D6" w:rsidRPr="00520BB8" w:rsidRDefault="002B54D6"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zmienia się brzmienie art. 123h ust. 3 pkt 4 dodawanego Rozdziału 8a zamieniając słowo „</w:t>
            </w:r>
            <w:r w:rsidRPr="00520BB8">
              <w:rPr>
                <w:rFonts w:asciiTheme="minorHAnsi" w:eastAsia="Calibri" w:hAnsiTheme="minorHAnsi" w:cstheme="minorHAnsi"/>
                <w:i/>
                <w:iCs/>
                <w:color w:val="000000"/>
                <w:sz w:val="22"/>
                <w:szCs w:val="22"/>
                <w:lang w:eastAsia="en-US"/>
              </w:rPr>
              <w:t>schowków</w:t>
            </w:r>
            <w:r w:rsidRPr="00520BB8">
              <w:rPr>
                <w:rFonts w:asciiTheme="minorHAnsi" w:eastAsia="Calibri" w:hAnsiTheme="minorHAnsi" w:cstheme="minorHAnsi"/>
                <w:color w:val="000000"/>
                <w:sz w:val="22"/>
                <w:szCs w:val="22"/>
                <w:lang w:eastAsia="en-US"/>
              </w:rPr>
              <w:t>” na „</w:t>
            </w:r>
            <w:r w:rsidRPr="00520BB8">
              <w:rPr>
                <w:rFonts w:asciiTheme="minorHAnsi" w:eastAsia="Calibri" w:hAnsiTheme="minorHAnsi" w:cstheme="minorHAnsi"/>
                <w:i/>
                <w:iCs/>
                <w:color w:val="000000"/>
                <w:sz w:val="22"/>
                <w:szCs w:val="22"/>
                <w:lang w:eastAsia="en-US"/>
              </w:rPr>
              <w:t>pomieszczeń i ich części</w:t>
            </w:r>
            <w:r w:rsidRPr="00520BB8">
              <w:rPr>
                <w:rFonts w:asciiTheme="minorHAnsi" w:eastAsia="Calibri" w:hAnsiTheme="minorHAnsi" w:cstheme="minorHAnsi"/>
                <w:color w:val="000000"/>
                <w:sz w:val="22"/>
                <w:szCs w:val="22"/>
                <w:lang w:eastAsia="en-US"/>
              </w:rPr>
              <w:t>”.</w:t>
            </w:r>
          </w:p>
          <w:p w14:paraId="1C541DF9" w14:textId="77777777" w:rsidR="002B54D6" w:rsidRPr="00520BB8" w:rsidRDefault="002B54D6" w:rsidP="00634B42">
            <w:pPr>
              <w:spacing w:line="276" w:lineRule="auto"/>
              <w:rPr>
                <w:rFonts w:asciiTheme="minorHAnsi" w:eastAsia="Calibri" w:hAnsiTheme="minorHAnsi" w:cstheme="minorHAnsi"/>
                <w:color w:val="000000"/>
                <w:sz w:val="22"/>
                <w:szCs w:val="22"/>
                <w:lang w:eastAsia="en-US"/>
              </w:rPr>
            </w:pPr>
          </w:p>
        </w:tc>
      </w:tr>
      <w:tr w:rsidR="00701280" w:rsidRPr="00520BB8" w14:paraId="5980A33A"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493B7524" w14:textId="268035BF" w:rsidR="00701280" w:rsidRPr="00520BB8" w:rsidRDefault="00701280"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Związek Pracodawców Innowacyjnych Firm Farmaceutycznych INFARMA</w:t>
            </w:r>
          </w:p>
        </w:tc>
        <w:tc>
          <w:tcPr>
            <w:tcW w:w="2326" w:type="dxa"/>
            <w:shd w:val="clear" w:color="auto" w:fill="auto"/>
            <w:tcMar>
              <w:top w:w="0" w:type="dxa"/>
              <w:left w:w="108" w:type="dxa"/>
              <w:bottom w:w="0" w:type="dxa"/>
              <w:right w:w="108" w:type="dxa"/>
            </w:tcMar>
          </w:tcPr>
          <w:p w14:paraId="099D0B15" w14:textId="77777777" w:rsidR="00701280" w:rsidRPr="00520BB8" w:rsidRDefault="00701280"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p>
          <w:p w14:paraId="0909C58A" w14:textId="5117609B" w:rsidR="00AA34E2" w:rsidRPr="00520BB8" w:rsidRDefault="00AA34E2"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(dot. dodawanego art. 123n ust. 2)</w:t>
            </w:r>
          </w:p>
        </w:tc>
        <w:tc>
          <w:tcPr>
            <w:tcW w:w="2578" w:type="dxa"/>
            <w:shd w:val="clear" w:color="auto" w:fill="auto"/>
            <w:tcMar>
              <w:top w:w="0" w:type="dxa"/>
              <w:left w:w="108" w:type="dxa"/>
              <w:bottom w:w="0" w:type="dxa"/>
              <w:right w:w="108" w:type="dxa"/>
            </w:tcMar>
          </w:tcPr>
          <w:p w14:paraId="56EC0258" w14:textId="1046D10A" w:rsidR="00701280" w:rsidRPr="00520BB8" w:rsidRDefault="004E53D3"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Zabezpieczeniu powinny podlegać wyłącznie kopie środków elektronicznych.</w:t>
            </w:r>
          </w:p>
        </w:tc>
        <w:tc>
          <w:tcPr>
            <w:tcW w:w="3774" w:type="dxa"/>
            <w:shd w:val="clear" w:color="auto" w:fill="auto"/>
            <w:tcMar>
              <w:top w:w="0" w:type="dxa"/>
              <w:left w:w="108" w:type="dxa"/>
              <w:bottom w:w="0" w:type="dxa"/>
              <w:right w:w="108" w:type="dxa"/>
            </w:tcMar>
          </w:tcPr>
          <w:p w14:paraId="3722C130" w14:textId="639D1BF3" w:rsidR="00701280" w:rsidRPr="00520BB8" w:rsidRDefault="00701280" w:rsidP="00634B42">
            <w:pPr>
              <w:pStyle w:val="Tekstkomentarza"/>
              <w:spacing w:line="276" w:lineRule="auto"/>
              <w:rPr>
                <w:rFonts w:asciiTheme="minorHAnsi" w:eastAsia="Calibri" w:hAnsiTheme="minorHAnsi" w:cstheme="minorHAnsi"/>
                <w:sz w:val="22"/>
                <w:szCs w:val="22"/>
                <w:lang w:eastAsia="en-US"/>
              </w:rPr>
            </w:pPr>
            <w:r w:rsidRPr="00520BB8">
              <w:rPr>
                <w:rFonts w:asciiTheme="minorHAnsi" w:hAnsiTheme="minorHAnsi" w:cstheme="minorHAnsi"/>
                <w:sz w:val="22"/>
                <w:szCs w:val="22"/>
              </w:rPr>
              <w:t>W nawiązaniu do komentarza do art. 123h ust. 1 - zabezpieczeniu powinny podlegać wyłącznie kopie (np. binarne) środków elektronicznych; inaczej wykonanie kompetencji przez GIF może prowadzić do faktycznego unieruchomienia działalności podmiotu - np. w drodze zabezpieczenia głównego serwera.</w:t>
            </w:r>
          </w:p>
        </w:tc>
        <w:tc>
          <w:tcPr>
            <w:tcW w:w="3540" w:type="dxa"/>
            <w:shd w:val="clear" w:color="auto" w:fill="auto"/>
            <w:tcMar>
              <w:top w:w="0" w:type="dxa"/>
              <w:left w:w="108" w:type="dxa"/>
              <w:bottom w:w="0" w:type="dxa"/>
              <w:right w:w="108" w:type="dxa"/>
            </w:tcMar>
          </w:tcPr>
          <w:p w14:paraId="0D90945D" w14:textId="152247CB" w:rsidR="00701280" w:rsidRPr="00520BB8" w:rsidRDefault="00701280"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W art. 1 pkt 41 zmienia się brzmienie art. 123n ust. </w:t>
            </w:r>
            <w:r w:rsidR="004E53D3" w:rsidRPr="00520BB8">
              <w:rPr>
                <w:rFonts w:asciiTheme="minorHAnsi" w:eastAsia="Calibri" w:hAnsiTheme="minorHAnsi" w:cstheme="minorHAnsi"/>
                <w:color w:val="000000"/>
                <w:sz w:val="22"/>
                <w:szCs w:val="22"/>
                <w:lang w:eastAsia="en-US"/>
              </w:rPr>
              <w:t>2</w:t>
            </w:r>
            <w:r w:rsidRPr="00520BB8">
              <w:rPr>
                <w:rFonts w:asciiTheme="minorHAnsi" w:eastAsia="Calibri" w:hAnsiTheme="minorHAnsi" w:cstheme="minorHAnsi"/>
                <w:color w:val="000000"/>
                <w:sz w:val="22"/>
                <w:szCs w:val="22"/>
                <w:lang w:eastAsia="en-US"/>
              </w:rPr>
              <w:t xml:space="preserve"> dodawanego Rozdziału 8a w następujący sposób:</w:t>
            </w:r>
          </w:p>
          <w:p w14:paraId="5BA362D1" w14:textId="77777777" w:rsidR="00701280" w:rsidRPr="00520BB8" w:rsidRDefault="00701280" w:rsidP="00634B42">
            <w:pPr>
              <w:spacing w:line="276" w:lineRule="auto"/>
              <w:rPr>
                <w:rFonts w:asciiTheme="minorHAnsi" w:eastAsia="Calibri" w:hAnsiTheme="minorHAnsi" w:cstheme="minorHAnsi"/>
                <w:color w:val="000000"/>
                <w:sz w:val="22"/>
                <w:szCs w:val="22"/>
                <w:lang w:eastAsia="en-US"/>
              </w:rPr>
            </w:pPr>
          </w:p>
          <w:p w14:paraId="2612E277" w14:textId="77777777" w:rsidR="004E53D3" w:rsidRPr="00520BB8" w:rsidRDefault="004E53D3" w:rsidP="00634B42">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2.</w:t>
            </w:r>
            <w:r w:rsidRPr="00520BB8">
              <w:rPr>
                <w:rFonts w:asciiTheme="minorHAnsi" w:eastAsia="Calibri" w:hAnsiTheme="minorHAnsi" w:cstheme="minorHAnsi"/>
                <w:color w:val="000000"/>
                <w:sz w:val="22"/>
                <w:szCs w:val="22"/>
                <w:lang w:eastAsia="en-US"/>
              </w:rPr>
              <w:t xml:space="preserve"> </w:t>
            </w:r>
            <w:r w:rsidRPr="00520BB8">
              <w:rPr>
                <w:rFonts w:asciiTheme="minorHAnsi" w:eastAsia="Calibri" w:hAnsiTheme="minorHAnsi" w:cstheme="minorHAnsi"/>
                <w:i/>
                <w:iCs/>
                <w:color w:val="000000"/>
                <w:sz w:val="22"/>
                <w:szCs w:val="22"/>
                <w:lang w:eastAsia="en-US"/>
              </w:rPr>
              <w:t xml:space="preserve">Zabezpieczeniu jako dowody podlegają dokumenty lub kopie innych nośników informacji, w tym elektronicznych, pomieszczenia, produkty lecznicze, produkty, o których mowa w art. 72 ust. 5 oraz inne rzeczy, za wyjątkiem </w:t>
            </w:r>
            <w:r w:rsidRPr="00520BB8">
              <w:rPr>
                <w:rFonts w:asciiTheme="minorHAnsi" w:eastAsia="Calibri" w:hAnsiTheme="minorHAnsi" w:cstheme="minorHAnsi"/>
                <w:i/>
                <w:iCs/>
                <w:color w:val="000000"/>
                <w:sz w:val="22"/>
                <w:szCs w:val="22"/>
                <w:lang w:eastAsia="en-US"/>
              </w:rPr>
              <w:lastRenderedPageBreak/>
              <w:t>elektronicznych nośników informacji, jeżeli stanowią lub mogą stanowić dowód nieprawidłowości stwierdzonych w toku kontroli.</w:t>
            </w:r>
          </w:p>
          <w:p w14:paraId="4B5A1266" w14:textId="4AA5F48B" w:rsidR="004E53D3" w:rsidRPr="00520BB8" w:rsidRDefault="004E53D3" w:rsidP="00634B42">
            <w:pPr>
              <w:spacing w:line="276" w:lineRule="auto"/>
              <w:rPr>
                <w:rFonts w:asciiTheme="minorHAnsi" w:eastAsia="Calibri" w:hAnsiTheme="minorHAnsi" w:cstheme="minorHAnsi"/>
                <w:color w:val="000000"/>
                <w:sz w:val="22"/>
                <w:szCs w:val="22"/>
                <w:lang w:eastAsia="en-US"/>
              </w:rPr>
            </w:pPr>
          </w:p>
        </w:tc>
      </w:tr>
      <w:tr w:rsidR="004A47A6" w:rsidRPr="00520BB8" w14:paraId="5E43D5C7"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49851701" w14:textId="477EDB68" w:rsidR="004A47A6" w:rsidRPr="00520BB8" w:rsidRDefault="00B3674F"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73267627" w14:textId="77777777" w:rsidR="004A47A6" w:rsidRPr="00520BB8" w:rsidRDefault="00B3674F"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 pkt 41 projektu</w:t>
            </w:r>
          </w:p>
          <w:p w14:paraId="11D06F70" w14:textId="48025CDC" w:rsidR="002C74DD" w:rsidRPr="00520BB8" w:rsidRDefault="002C74DD"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(dot. dodawanego art. 123q ust. 2)</w:t>
            </w:r>
          </w:p>
        </w:tc>
        <w:tc>
          <w:tcPr>
            <w:tcW w:w="2578" w:type="dxa"/>
            <w:shd w:val="clear" w:color="auto" w:fill="auto"/>
            <w:tcMar>
              <w:top w:w="0" w:type="dxa"/>
              <w:left w:w="108" w:type="dxa"/>
              <w:bottom w:w="0" w:type="dxa"/>
              <w:right w:w="108" w:type="dxa"/>
            </w:tcMar>
          </w:tcPr>
          <w:p w14:paraId="044FC8A6" w14:textId="47E2BB5F" w:rsidR="004A47A6" w:rsidRPr="00520BB8" w:rsidRDefault="00B92646"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Przepisy dotyczące okresu zabezpieczenia dowodów powinny zostać zracjonalizowane.  </w:t>
            </w:r>
          </w:p>
        </w:tc>
        <w:tc>
          <w:tcPr>
            <w:tcW w:w="3774" w:type="dxa"/>
            <w:shd w:val="clear" w:color="auto" w:fill="auto"/>
            <w:tcMar>
              <w:top w:w="0" w:type="dxa"/>
              <w:left w:w="108" w:type="dxa"/>
              <w:bottom w:w="0" w:type="dxa"/>
              <w:right w:w="108" w:type="dxa"/>
            </w:tcMar>
          </w:tcPr>
          <w:p w14:paraId="03D13B2F" w14:textId="1C979A35" w:rsidR="004A47A6" w:rsidRPr="00520BB8" w:rsidRDefault="00B3674F" w:rsidP="00634B42">
            <w:pPr>
              <w:pStyle w:val="Tekstkomentarza"/>
              <w:spacing w:line="276" w:lineRule="auto"/>
              <w:rPr>
                <w:rFonts w:asciiTheme="minorHAnsi" w:hAnsiTheme="minorHAnsi" w:cstheme="minorHAnsi"/>
                <w:sz w:val="22"/>
                <w:szCs w:val="22"/>
              </w:rPr>
            </w:pPr>
            <w:r w:rsidRPr="00520BB8">
              <w:rPr>
                <w:rFonts w:asciiTheme="minorHAnsi" w:hAnsiTheme="minorHAnsi" w:cstheme="minorHAnsi"/>
                <w:sz w:val="22"/>
                <w:szCs w:val="22"/>
              </w:rPr>
              <w:t xml:space="preserve">Proponujemy racjonalizację przepisów o zabezpieczeniu. Celowe jest zapewnienie kontroli sądowej nad rozstrzygnięciem o zabezpieczeniu. Ważne jest też, aby zracjonalizować okres zabezpieczenia - do 14 dni oraz wprowadzenie przesłanki niezbędności dalszego przedłużenia, a także jego ograniczenie do </w:t>
            </w:r>
            <w:r w:rsidR="00120AD0" w:rsidRPr="00520BB8">
              <w:rPr>
                <w:rFonts w:asciiTheme="minorHAnsi" w:hAnsiTheme="minorHAnsi" w:cstheme="minorHAnsi"/>
                <w:sz w:val="22"/>
                <w:szCs w:val="22"/>
              </w:rPr>
              <w:t>2</w:t>
            </w:r>
            <w:r w:rsidRPr="00520BB8">
              <w:rPr>
                <w:rFonts w:asciiTheme="minorHAnsi" w:hAnsiTheme="minorHAnsi" w:cstheme="minorHAnsi"/>
                <w:sz w:val="22"/>
                <w:szCs w:val="22"/>
              </w:rPr>
              <w:t xml:space="preserve"> miesięcy.</w:t>
            </w:r>
            <w:r w:rsidRPr="00520BB8">
              <w:rPr>
                <w:rFonts w:asciiTheme="minorHAnsi" w:hAnsiTheme="minorHAnsi" w:cstheme="minorHAnsi"/>
                <w:sz w:val="22"/>
                <w:szCs w:val="22"/>
              </w:rPr>
              <w:br/>
            </w:r>
            <w:r w:rsidRPr="00520BB8">
              <w:rPr>
                <w:rFonts w:asciiTheme="minorHAnsi" w:hAnsiTheme="minorHAnsi" w:cstheme="minorHAnsi"/>
                <w:sz w:val="22"/>
                <w:szCs w:val="22"/>
              </w:rPr>
              <w:br/>
              <w:t>Zabezpieczenia nie służą zatrzymaniu działalności i nie są substytutem działań nadzorczych - służą wyłącznie umożliwieniu dokończenia działań kontrolnych w racjonalnym terminie.</w:t>
            </w:r>
          </w:p>
        </w:tc>
        <w:tc>
          <w:tcPr>
            <w:tcW w:w="3540" w:type="dxa"/>
            <w:shd w:val="clear" w:color="auto" w:fill="auto"/>
            <w:tcMar>
              <w:top w:w="0" w:type="dxa"/>
              <w:left w:w="108" w:type="dxa"/>
              <w:bottom w:w="0" w:type="dxa"/>
              <w:right w:w="108" w:type="dxa"/>
            </w:tcMar>
          </w:tcPr>
          <w:p w14:paraId="361E8CAE" w14:textId="40CFDCB9" w:rsidR="00B3674F" w:rsidRPr="00520BB8" w:rsidRDefault="00B3674F"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zmienia się brzmienie art. 123q ust. 2 dodawanego Rozdziału 8a w następujący sposób:</w:t>
            </w:r>
          </w:p>
          <w:p w14:paraId="367674E5" w14:textId="77777777" w:rsidR="00B3674F" w:rsidRPr="00520BB8" w:rsidRDefault="00B3674F" w:rsidP="00634B42">
            <w:pPr>
              <w:spacing w:line="276" w:lineRule="auto"/>
              <w:rPr>
                <w:rFonts w:asciiTheme="minorHAnsi" w:hAnsiTheme="minorHAnsi" w:cstheme="minorHAnsi"/>
                <w:sz w:val="22"/>
                <w:szCs w:val="22"/>
              </w:rPr>
            </w:pPr>
          </w:p>
          <w:p w14:paraId="7D20AB4D" w14:textId="7F398DBC" w:rsidR="00B3674F" w:rsidRPr="00520BB8" w:rsidRDefault="00B3674F"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i/>
                <w:iCs/>
                <w:color w:val="000000"/>
                <w:sz w:val="22"/>
                <w:szCs w:val="22"/>
                <w:lang w:eastAsia="en-US"/>
              </w:rPr>
              <w:t>2.</w:t>
            </w:r>
            <w:r w:rsidRPr="00520BB8">
              <w:rPr>
                <w:rFonts w:asciiTheme="minorHAnsi" w:eastAsia="Calibri" w:hAnsiTheme="minorHAnsi" w:cstheme="minorHAnsi"/>
                <w:color w:val="000000"/>
                <w:sz w:val="22"/>
                <w:szCs w:val="22"/>
                <w:lang w:eastAsia="en-US"/>
              </w:rPr>
              <w:t xml:space="preserve"> </w:t>
            </w:r>
            <w:r w:rsidRPr="00520BB8">
              <w:rPr>
                <w:rFonts w:asciiTheme="minorHAnsi" w:eastAsia="Calibri" w:hAnsiTheme="minorHAnsi" w:cstheme="minorHAnsi"/>
                <w:i/>
                <w:iCs/>
                <w:color w:val="000000"/>
                <w:sz w:val="22"/>
                <w:szCs w:val="22"/>
                <w:lang w:eastAsia="en-US"/>
              </w:rPr>
              <w:t>W postanowieniu, o którym mowa w ust. 1, wskazuje się okres zabezpieczenia dowodów na okres kontroli, ale nie dłużej niż 14 dni. W przypadkach, gdy jest to niezbędne dla osiągnięcia celów kontroli, Główny Inspektor Farmaceutyczny może przedłużyć, w drodze postanowienia, okres zabezpieczenia na dalszy czas oznaczony, który łącznie nie może przekroczyć 2 miesięcy.</w:t>
            </w:r>
            <w:r w:rsidRPr="00520BB8">
              <w:rPr>
                <w:rFonts w:asciiTheme="minorHAnsi" w:eastAsia="Calibri" w:hAnsiTheme="minorHAnsi" w:cstheme="minorHAnsi"/>
                <w:color w:val="000000"/>
                <w:sz w:val="22"/>
                <w:szCs w:val="22"/>
                <w:lang w:eastAsia="en-US"/>
              </w:rPr>
              <w:t xml:space="preserve"> </w:t>
            </w:r>
          </w:p>
          <w:p w14:paraId="01538BA3" w14:textId="77777777" w:rsidR="00B3674F" w:rsidRPr="00520BB8" w:rsidRDefault="00B3674F" w:rsidP="00634B42">
            <w:pPr>
              <w:spacing w:line="276" w:lineRule="auto"/>
              <w:rPr>
                <w:rFonts w:asciiTheme="minorHAnsi" w:eastAsia="Calibri" w:hAnsiTheme="minorHAnsi" w:cstheme="minorHAnsi"/>
                <w:color w:val="000000"/>
                <w:sz w:val="22"/>
                <w:szCs w:val="22"/>
                <w:lang w:eastAsia="en-US"/>
              </w:rPr>
            </w:pPr>
          </w:p>
          <w:p w14:paraId="561F5C8B" w14:textId="0C2E1611" w:rsidR="00B3674F" w:rsidRPr="00520BB8" w:rsidRDefault="00B3674F" w:rsidP="00634B42">
            <w:pPr>
              <w:spacing w:line="276" w:lineRule="auto"/>
              <w:rPr>
                <w:rFonts w:asciiTheme="minorHAnsi" w:eastAsia="Calibri" w:hAnsiTheme="minorHAnsi" w:cstheme="minorHAnsi"/>
                <w:color w:val="000000"/>
                <w:sz w:val="22"/>
                <w:szCs w:val="22"/>
                <w:lang w:eastAsia="en-US"/>
              </w:rPr>
            </w:pPr>
          </w:p>
          <w:p w14:paraId="20C8B1D8" w14:textId="5DFF6F03" w:rsidR="00B3674F" w:rsidRPr="00520BB8" w:rsidRDefault="00B3674F"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 pkt 41 zmienia się brzmienie art. 123q ust. 4 dodawanego Rozdziału 8a w następujący sposób:</w:t>
            </w:r>
          </w:p>
          <w:p w14:paraId="20811393" w14:textId="77777777" w:rsidR="00B3674F" w:rsidRPr="00520BB8" w:rsidRDefault="00B3674F" w:rsidP="00634B42">
            <w:pPr>
              <w:spacing w:line="276" w:lineRule="auto"/>
              <w:rPr>
                <w:rFonts w:asciiTheme="minorHAnsi" w:eastAsia="Calibri" w:hAnsiTheme="minorHAnsi" w:cstheme="minorHAnsi"/>
                <w:i/>
                <w:iCs/>
                <w:color w:val="000000"/>
                <w:sz w:val="22"/>
                <w:szCs w:val="22"/>
                <w:lang w:eastAsia="en-US"/>
              </w:rPr>
            </w:pPr>
          </w:p>
          <w:p w14:paraId="0CD83A5E" w14:textId="5E94D92C" w:rsidR="004A47A6" w:rsidRPr="00520BB8" w:rsidRDefault="00B3674F"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i/>
                <w:iCs/>
                <w:color w:val="000000"/>
                <w:sz w:val="22"/>
                <w:szCs w:val="22"/>
                <w:lang w:eastAsia="en-US"/>
              </w:rPr>
              <w:lastRenderedPageBreak/>
              <w:t>4. Na postanowienie o zatwierdzeniu lub przedłużeniu zabezpieczenia służy kontrolowanemu skarga do sądu administracyjnego.</w:t>
            </w:r>
            <w:r w:rsidR="00120AD0" w:rsidRPr="00520BB8">
              <w:rPr>
                <w:rFonts w:asciiTheme="minorHAnsi" w:eastAsia="Calibri" w:hAnsiTheme="minorHAnsi" w:cstheme="minorHAnsi"/>
                <w:i/>
                <w:iCs/>
                <w:color w:val="000000"/>
                <w:sz w:val="22"/>
                <w:szCs w:val="22"/>
                <w:lang w:eastAsia="en-US"/>
              </w:rPr>
              <w:t xml:space="preserve"> W przypadku, w którym skarga do sądu administracyjnego nie zostanie rozpatrzona w terminie 14 dni, zabezpieczenie upada.</w:t>
            </w:r>
          </w:p>
        </w:tc>
      </w:tr>
      <w:tr w:rsidR="005E45B0" w:rsidRPr="00520BB8" w14:paraId="65F20C01" w14:textId="77777777" w:rsidTr="007952EA">
        <w:trPr>
          <w:trHeight w:val="684"/>
        </w:trPr>
        <w:tc>
          <w:tcPr>
            <w:tcW w:w="2787" w:type="dxa"/>
            <w:tcBorders>
              <w:left w:val="single" w:sz="8" w:space="0" w:color="000000"/>
            </w:tcBorders>
            <w:shd w:val="clear" w:color="auto" w:fill="auto"/>
            <w:tcMar>
              <w:top w:w="0" w:type="dxa"/>
              <w:left w:w="108" w:type="dxa"/>
              <w:bottom w:w="0" w:type="dxa"/>
              <w:right w:w="108" w:type="dxa"/>
            </w:tcMar>
          </w:tcPr>
          <w:p w14:paraId="6EAA1274" w14:textId="2C0196C8" w:rsidR="005E45B0" w:rsidRPr="00520BB8" w:rsidRDefault="005E45B0"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lastRenderedPageBreak/>
              <w:t>Związek Pracodawców Innowacyjnych Firm Farmaceutycznych INFARMA</w:t>
            </w:r>
          </w:p>
        </w:tc>
        <w:tc>
          <w:tcPr>
            <w:tcW w:w="2326" w:type="dxa"/>
            <w:shd w:val="clear" w:color="auto" w:fill="auto"/>
            <w:tcMar>
              <w:top w:w="0" w:type="dxa"/>
              <w:left w:w="108" w:type="dxa"/>
              <w:bottom w:w="0" w:type="dxa"/>
              <w:right w:w="108" w:type="dxa"/>
            </w:tcMar>
          </w:tcPr>
          <w:p w14:paraId="0D92EB39" w14:textId="517EAA80" w:rsidR="005E45B0" w:rsidRPr="00520BB8" w:rsidRDefault="003C0783" w:rsidP="00DE3370">
            <w:pPr>
              <w:spacing w:line="276" w:lineRule="auto"/>
              <w:rPr>
                <w:rFonts w:asciiTheme="minorHAnsi" w:eastAsia="Calibri" w:hAnsiTheme="minorHAnsi" w:cstheme="minorHAnsi"/>
                <w:sz w:val="22"/>
                <w:szCs w:val="22"/>
                <w:lang w:eastAsia="en-US"/>
              </w:rPr>
            </w:pPr>
            <w:r w:rsidRPr="00520BB8">
              <w:rPr>
                <w:rFonts w:asciiTheme="minorHAnsi" w:eastAsia="Calibri" w:hAnsiTheme="minorHAnsi" w:cstheme="minorHAnsi"/>
                <w:sz w:val="22"/>
                <w:szCs w:val="22"/>
                <w:lang w:eastAsia="en-US"/>
              </w:rPr>
              <w:t>art. 19 ust. 2 projektu</w:t>
            </w:r>
          </w:p>
        </w:tc>
        <w:tc>
          <w:tcPr>
            <w:tcW w:w="2578" w:type="dxa"/>
            <w:shd w:val="clear" w:color="auto" w:fill="auto"/>
            <w:tcMar>
              <w:top w:w="0" w:type="dxa"/>
              <w:left w:w="108" w:type="dxa"/>
              <w:bottom w:w="0" w:type="dxa"/>
              <w:right w:w="108" w:type="dxa"/>
            </w:tcMar>
          </w:tcPr>
          <w:p w14:paraId="58569F94" w14:textId="2B619B40" w:rsidR="005E45B0" w:rsidRPr="00520BB8" w:rsidRDefault="003C0783" w:rsidP="00DE3370">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 xml:space="preserve">Konieczne jest, aby GIF rozpatrzył </w:t>
            </w:r>
            <w:r w:rsidRPr="00520BB8">
              <w:rPr>
                <w:rFonts w:asciiTheme="minorHAnsi" w:eastAsia="Calibri" w:hAnsiTheme="minorHAnsi" w:cstheme="minorHAnsi"/>
                <w:i/>
                <w:iCs/>
                <w:color w:val="000000"/>
                <w:sz w:val="22"/>
                <w:szCs w:val="22"/>
                <w:lang w:eastAsia="en-US"/>
              </w:rPr>
              <w:t xml:space="preserve">wszelkie środki prawne od rozstrzygnięć wojewódzkiego inspektora farmaceutycznego złożone przed wejściem w życie projektu. </w:t>
            </w:r>
          </w:p>
        </w:tc>
        <w:tc>
          <w:tcPr>
            <w:tcW w:w="3774" w:type="dxa"/>
            <w:shd w:val="clear" w:color="auto" w:fill="auto"/>
            <w:tcMar>
              <w:top w:w="0" w:type="dxa"/>
              <w:left w:w="108" w:type="dxa"/>
              <w:bottom w:w="0" w:type="dxa"/>
              <w:right w:w="108" w:type="dxa"/>
            </w:tcMar>
          </w:tcPr>
          <w:p w14:paraId="0F190EDA" w14:textId="77777777" w:rsidR="003C0783" w:rsidRPr="00520BB8" w:rsidRDefault="003C0783" w:rsidP="00634B42">
            <w:pPr>
              <w:pStyle w:val="Tekstkomentarza"/>
              <w:spacing w:line="276" w:lineRule="auto"/>
              <w:rPr>
                <w:rFonts w:asciiTheme="minorHAnsi" w:hAnsiTheme="minorHAnsi" w:cstheme="minorHAnsi"/>
                <w:sz w:val="22"/>
                <w:szCs w:val="22"/>
              </w:rPr>
            </w:pPr>
            <w:r w:rsidRPr="00520BB8">
              <w:rPr>
                <w:rFonts w:asciiTheme="minorHAnsi" w:hAnsiTheme="minorHAnsi" w:cstheme="minorHAnsi"/>
                <w:sz w:val="22"/>
                <w:szCs w:val="22"/>
              </w:rPr>
              <w:t>Zmiana celowa ze względu na ochronę praw podmiotów wskazanych w proponowanym przepisie.</w:t>
            </w:r>
          </w:p>
          <w:p w14:paraId="0E34E19C" w14:textId="77777777" w:rsidR="005E45B0" w:rsidRPr="00520BB8" w:rsidRDefault="005E45B0" w:rsidP="00634B42">
            <w:pPr>
              <w:pStyle w:val="Tekstkomentarza"/>
              <w:spacing w:line="276" w:lineRule="auto"/>
              <w:rPr>
                <w:rFonts w:asciiTheme="minorHAnsi" w:hAnsiTheme="minorHAnsi" w:cstheme="minorHAnsi"/>
                <w:sz w:val="22"/>
                <w:szCs w:val="22"/>
              </w:rPr>
            </w:pPr>
          </w:p>
        </w:tc>
        <w:tc>
          <w:tcPr>
            <w:tcW w:w="3540" w:type="dxa"/>
            <w:shd w:val="clear" w:color="auto" w:fill="auto"/>
            <w:tcMar>
              <w:top w:w="0" w:type="dxa"/>
              <w:left w:w="108" w:type="dxa"/>
              <w:bottom w:w="0" w:type="dxa"/>
              <w:right w:w="108" w:type="dxa"/>
            </w:tcMar>
          </w:tcPr>
          <w:p w14:paraId="613094E9" w14:textId="77777777" w:rsidR="003C0783" w:rsidRPr="00520BB8" w:rsidRDefault="003C0783" w:rsidP="00634B42">
            <w:pPr>
              <w:spacing w:line="276" w:lineRule="auto"/>
              <w:rPr>
                <w:rFonts w:asciiTheme="minorHAnsi" w:eastAsia="Calibri" w:hAnsiTheme="minorHAnsi" w:cstheme="minorHAnsi"/>
                <w:color w:val="000000"/>
                <w:sz w:val="22"/>
                <w:szCs w:val="22"/>
                <w:lang w:eastAsia="en-US"/>
              </w:rPr>
            </w:pPr>
            <w:r w:rsidRPr="00520BB8">
              <w:rPr>
                <w:rFonts w:asciiTheme="minorHAnsi" w:eastAsia="Calibri" w:hAnsiTheme="minorHAnsi" w:cstheme="minorHAnsi"/>
                <w:color w:val="000000"/>
                <w:sz w:val="22"/>
                <w:szCs w:val="22"/>
                <w:lang w:eastAsia="en-US"/>
              </w:rPr>
              <w:t>W art. 19 w ust. 2 dodaje się zdanie:</w:t>
            </w:r>
          </w:p>
          <w:p w14:paraId="59B39439" w14:textId="77777777" w:rsidR="003C0783" w:rsidRPr="00520BB8" w:rsidRDefault="003C0783" w:rsidP="00634B42">
            <w:pPr>
              <w:spacing w:line="276" w:lineRule="auto"/>
              <w:rPr>
                <w:rFonts w:asciiTheme="minorHAnsi" w:eastAsia="Calibri" w:hAnsiTheme="minorHAnsi" w:cstheme="minorHAnsi"/>
                <w:i/>
                <w:iCs/>
                <w:color w:val="000000"/>
                <w:sz w:val="22"/>
                <w:szCs w:val="22"/>
                <w:lang w:eastAsia="en-US"/>
              </w:rPr>
            </w:pPr>
          </w:p>
          <w:p w14:paraId="1DBFE648" w14:textId="1F318EA6" w:rsidR="003C0783" w:rsidRPr="00520BB8" w:rsidRDefault="00737DEA" w:rsidP="00634B42">
            <w:pPr>
              <w:spacing w:line="276" w:lineRule="auto"/>
              <w:rPr>
                <w:rFonts w:asciiTheme="minorHAnsi" w:eastAsia="Calibri" w:hAnsiTheme="minorHAnsi" w:cstheme="minorHAnsi"/>
                <w:i/>
                <w:iCs/>
                <w:color w:val="000000"/>
                <w:sz w:val="22"/>
                <w:szCs w:val="22"/>
                <w:lang w:eastAsia="en-US"/>
              </w:rPr>
            </w:pPr>
            <w:r w:rsidRPr="00520BB8">
              <w:rPr>
                <w:rFonts w:asciiTheme="minorHAnsi" w:eastAsia="Calibri" w:hAnsiTheme="minorHAnsi" w:cstheme="minorHAnsi"/>
                <w:i/>
                <w:iCs/>
                <w:color w:val="000000"/>
                <w:sz w:val="22"/>
                <w:szCs w:val="22"/>
                <w:lang w:eastAsia="en-US"/>
              </w:rPr>
              <w:t>Główny Inspektor Farmaceutyczny rozpatruje wszelkie środki prawne od rozstrzygnięć wojewódzkiego inspektora farmaceutycznego, do których rozpatrzenia był właściwy w ostatnim dniu przed wejściem w życie ustawy, złożone przed wejściem w życie niniejszej ustawy oraz środki, dla których w momencie wejścia w życie niniejszej ustawy nie minął termin do wniesienia.</w:t>
            </w:r>
          </w:p>
        </w:tc>
      </w:tr>
    </w:tbl>
    <w:p w14:paraId="4A094F8A" w14:textId="271DAB85" w:rsidR="00E00137" w:rsidRPr="00520BB8" w:rsidRDefault="00E00137" w:rsidP="00E00137">
      <w:pPr>
        <w:spacing w:after="160" w:line="276" w:lineRule="auto"/>
        <w:rPr>
          <w:rFonts w:asciiTheme="minorHAnsi" w:eastAsia="Calibri" w:hAnsiTheme="minorHAnsi" w:cstheme="minorHAnsi"/>
          <w:sz w:val="22"/>
          <w:szCs w:val="22"/>
          <w:lang w:eastAsia="en-US"/>
        </w:rPr>
      </w:pPr>
    </w:p>
    <w:sectPr w:rsidR="00E00137" w:rsidRPr="00520BB8" w:rsidSect="00B9603B">
      <w:pgSz w:w="16838" w:h="11906" w:orient="landscape"/>
      <w:pgMar w:top="1701" w:right="25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D39A" w14:textId="77777777" w:rsidR="00F16C81" w:rsidRDefault="00F16C81">
      <w:pPr>
        <w:spacing w:line="240" w:lineRule="auto"/>
      </w:pPr>
      <w:r>
        <w:separator/>
      </w:r>
    </w:p>
  </w:endnote>
  <w:endnote w:type="continuationSeparator" w:id="0">
    <w:p w14:paraId="5FF17059" w14:textId="77777777" w:rsidR="00F16C81" w:rsidRDefault="00F16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35402839"/>
      <w:docPartObj>
        <w:docPartGallery w:val="Page Numbers (Bottom of Page)"/>
        <w:docPartUnique/>
      </w:docPartObj>
    </w:sdtPr>
    <w:sdtContent>
      <w:p w14:paraId="6908F78C" w14:textId="730F3DEC" w:rsidR="001C71C6" w:rsidRDefault="001C71C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089117F" w14:textId="77777777" w:rsidR="001C71C6" w:rsidRDefault="001C71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9B2D" w14:textId="77777777" w:rsidR="00F16C81" w:rsidRDefault="00F16C81">
      <w:pPr>
        <w:spacing w:line="240" w:lineRule="auto"/>
      </w:pPr>
      <w:r>
        <w:separator/>
      </w:r>
    </w:p>
  </w:footnote>
  <w:footnote w:type="continuationSeparator" w:id="0">
    <w:p w14:paraId="0AD8D34A" w14:textId="77777777" w:rsidR="00F16C81" w:rsidRDefault="00F16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1731" w14:textId="77777777" w:rsidR="002B0AA3" w:rsidRDefault="00F4139B">
    <w:pPr>
      <w:pStyle w:val="Nagwek"/>
    </w:pPr>
    <w:r>
      <w:rPr>
        <w:noProof/>
      </w:rPr>
      <w:drawing>
        <wp:anchor distT="0" distB="0" distL="114300" distR="114300" simplePos="0" relativeHeight="251658752" behindDoc="1" locked="0" layoutInCell="1" allowOverlap="0" wp14:anchorId="243F1245" wp14:editId="6C3E9008">
          <wp:simplePos x="0" y="0"/>
          <wp:positionH relativeFrom="page">
            <wp:posOffset>2375</wp:posOffset>
          </wp:positionH>
          <wp:positionV relativeFrom="page">
            <wp:posOffset>0</wp:posOffset>
          </wp:positionV>
          <wp:extent cx="7580324" cy="10719435"/>
          <wp:effectExtent l="0" t="0" r="1905"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arma-papier-pl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324" cy="1071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10FE"/>
    <w:multiLevelType w:val="hybridMultilevel"/>
    <w:tmpl w:val="13A62110"/>
    <w:lvl w:ilvl="0" w:tplc="DEC2693E">
      <w:start w:val="1"/>
      <w:numFmt w:val="lowerLetter"/>
      <w:lvlText w:val="%1)"/>
      <w:lvlJc w:val="left"/>
      <w:pPr>
        <w:ind w:left="0"/>
      </w:pPr>
      <w:rPr>
        <w:rFonts w:asciiTheme="minorHAnsi" w:eastAsia="Times New Roman" w:hAnsiTheme="minorHAnsi" w:cstheme="minorHAnsi" w:hint="default"/>
        <w:b w:val="0"/>
        <w:i/>
        <w:iCs w:val="0"/>
        <w:strike w:val="0"/>
        <w:dstrike w:val="0"/>
        <w:color w:val="000000"/>
        <w:sz w:val="22"/>
        <w:szCs w:val="22"/>
        <w:u w:val="none" w:color="000000"/>
        <w:bdr w:val="none" w:sz="0" w:space="0" w:color="auto"/>
        <w:shd w:val="clear" w:color="auto" w:fill="auto"/>
        <w:vertAlign w:val="baseline"/>
      </w:rPr>
    </w:lvl>
    <w:lvl w:ilvl="1" w:tplc="A7E20A3E">
      <w:start w:val="1"/>
      <w:numFmt w:val="lowerLetter"/>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6C0BA">
      <w:start w:val="1"/>
      <w:numFmt w:val="lowerRoman"/>
      <w:lvlText w:val="%3"/>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8E6C8">
      <w:start w:val="1"/>
      <w:numFmt w:val="decimal"/>
      <w:lvlText w:val="%4"/>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AD5DE">
      <w:start w:val="1"/>
      <w:numFmt w:val="lowerLetter"/>
      <w:lvlText w:val="%5"/>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CC780">
      <w:start w:val="1"/>
      <w:numFmt w:val="lowerRoman"/>
      <w:lvlText w:val="%6"/>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A0728">
      <w:start w:val="1"/>
      <w:numFmt w:val="decimal"/>
      <w:lvlText w:val="%7"/>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00370">
      <w:start w:val="1"/>
      <w:numFmt w:val="lowerLetter"/>
      <w:lvlText w:val="%8"/>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C5134">
      <w:start w:val="1"/>
      <w:numFmt w:val="lowerRoman"/>
      <w:lvlText w:val="%9"/>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9D4C1D"/>
    <w:multiLevelType w:val="hybridMultilevel"/>
    <w:tmpl w:val="68E24012"/>
    <w:lvl w:ilvl="0" w:tplc="737847D2">
      <w:start w:val="1"/>
      <w:numFmt w:val="lowerLetter"/>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232EC">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40ECE">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C918C">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842CC">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0D1F0">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AB13A">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063D6">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CDCBA">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C46286"/>
    <w:multiLevelType w:val="hybridMultilevel"/>
    <w:tmpl w:val="EB86FD7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4F2297"/>
    <w:multiLevelType w:val="hybridMultilevel"/>
    <w:tmpl w:val="4D38B026"/>
    <w:lvl w:ilvl="0" w:tplc="15E8BAEE">
      <w:start w:val="1"/>
      <w:numFmt w:val="decimal"/>
      <w:lvlText w:val="%1)"/>
      <w:lvlJc w:val="left"/>
      <w:pPr>
        <w:ind w:left="1005"/>
      </w:pPr>
      <w:rPr>
        <w:rFonts w:asciiTheme="minorHAnsi" w:eastAsia="Calibri" w:hAnsiTheme="minorHAnsi" w:cstheme="minorHAnsi"/>
        <w:b w:val="0"/>
        <w:i/>
        <w:iCs w:val="0"/>
        <w:strike w:val="0"/>
        <w:dstrike w:val="0"/>
        <w:color w:val="000000"/>
        <w:sz w:val="22"/>
        <w:szCs w:val="22"/>
        <w:u w:val="none" w:color="000000"/>
        <w:bdr w:val="none" w:sz="0" w:space="0" w:color="auto"/>
        <w:shd w:val="clear" w:color="auto" w:fill="auto"/>
        <w:vertAlign w:val="baseline"/>
      </w:rPr>
    </w:lvl>
    <w:lvl w:ilvl="1" w:tplc="26247C94">
      <w:start w:val="2"/>
      <w:numFmt w:val="decimal"/>
      <w:lvlText w:val="%2."/>
      <w:lvlJc w:val="left"/>
      <w:pPr>
        <w:ind w:left="495"/>
      </w:pPr>
      <w:rPr>
        <w:rFonts w:asciiTheme="minorHAnsi" w:eastAsia="Times New Roman" w:hAnsiTheme="minorHAnsi" w:cstheme="minorHAnsi" w:hint="default"/>
        <w:b w:val="0"/>
        <w:i/>
        <w:iCs w:val="0"/>
        <w:strike w:val="0"/>
        <w:dstrike w:val="0"/>
        <w:color w:val="000000"/>
        <w:sz w:val="22"/>
        <w:szCs w:val="22"/>
        <w:u w:val="none" w:color="000000"/>
        <w:bdr w:val="none" w:sz="0" w:space="0" w:color="auto"/>
        <w:shd w:val="clear" w:color="auto" w:fill="auto"/>
        <w:vertAlign w:val="baseline"/>
      </w:rPr>
    </w:lvl>
    <w:lvl w:ilvl="2" w:tplc="707EFFB6">
      <w:start w:val="1"/>
      <w:numFmt w:val="lowerRoman"/>
      <w:lvlText w:val="%3"/>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64DDC">
      <w:start w:val="1"/>
      <w:numFmt w:val="decimal"/>
      <w:lvlText w:val="%4"/>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AAB14">
      <w:start w:val="1"/>
      <w:numFmt w:val="lowerLetter"/>
      <w:lvlText w:val="%5"/>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4B8C2">
      <w:start w:val="1"/>
      <w:numFmt w:val="lowerRoman"/>
      <w:lvlText w:val="%6"/>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C9CD2">
      <w:start w:val="1"/>
      <w:numFmt w:val="decimal"/>
      <w:lvlText w:val="%7"/>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E1D80">
      <w:start w:val="1"/>
      <w:numFmt w:val="lowerLetter"/>
      <w:lvlText w:val="%8"/>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82114">
      <w:start w:val="1"/>
      <w:numFmt w:val="lowerRoman"/>
      <w:lvlText w:val="%9"/>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503713"/>
    <w:multiLevelType w:val="hybridMultilevel"/>
    <w:tmpl w:val="16E48F34"/>
    <w:lvl w:ilvl="0" w:tplc="45C2744E">
      <w:start w:val="9"/>
      <w:numFmt w:val="decimal"/>
      <w:lvlText w:val="%1."/>
      <w:lvlJc w:val="left"/>
      <w:pPr>
        <w:ind w:left="360" w:hanging="360"/>
      </w:pPr>
      <w:rPr>
        <w:rFonts w:asciiTheme="minorHAnsi" w:hAnsiTheme="minorHAnsi" w:cstheme="minorHAnsi" w:hint="default"/>
        <w:i/>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FC0D6D"/>
    <w:multiLevelType w:val="hybridMultilevel"/>
    <w:tmpl w:val="7E72437A"/>
    <w:lvl w:ilvl="0" w:tplc="322084E4">
      <w:start w:val="1"/>
      <w:numFmt w:val="decimal"/>
      <w:lvlText w:val="%1)"/>
      <w:lvlJc w:val="left"/>
      <w:pPr>
        <w:ind w:left="425"/>
      </w:pPr>
      <w:rPr>
        <w:rFonts w:asciiTheme="minorHAnsi" w:eastAsia="Times New Roman" w:hAnsiTheme="minorHAnsi" w:cstheme="minorHAnsi"/>
        <w:b w:val="0"/>
        <w:i/>
        <w:iCs w:val="0"/>
        <w:strike w:val="0"/>
        <w:dstrike w:val="0"/>
        <w:color w:val="000000"/>
        <w:sz w:val="22"/>
        <w:szCs w:val="22"/>
        <w:u w:val="none" w:color="000000"/>
        <w:bdr w:val="none" w:sz="0" w:space="0" w:color="auto"/>
        <w:shd w:val="clear" w:color="auto" w:fill="auto"/>
        <w:vertAlign w:val="baseline"/>
      </w:rPr>
    </w:lvl>
    <w:lvl w:ilvl="1" w:tplc="E68E8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2A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85D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AFB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2E4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6BC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C1E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09D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30310044">
    <w:abstractNumId w:val="4"/>
  </w:num>
  <w:num w:numId="2" w16cid:durableId="1875189404">
    <w:abstractNumId w:val="3"/>
  </w:num>
  <w:num w:numId="3" w16cid:durableId="1194461477">
    <w:abstractNumId w:val="2"/>
  </w:num>
  <w:num w:numId="4" w16cid:durableId="270556881">
    <w:abstractNumId w:val="5"/>
  </w:num>
  <w:num w:numId="5" w16cid:durableId="1873685465">
    <w:abstractNumId w:val="1"/>
  </w:num>
  <w:num w:numId="6" w16cid:durableId="18324079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9B"/>
    <w:rsid w:val="00021DDA"/>
    <w:rsid w:val="000333D2"/>
    <w:rsid w:val="00057BBA"/>
    <w:rsid w:val="0006273E"/>
    <w:rsid w:val="0007785A"/>
    <w:rsid w:val="000B1050"/>
    <w:rsid w:val="000B421B"/>
    <w:rsid w:val="000C3113"/>
    <w:rsid w:val="000F5E35"/>
    <w:rsid w:val="001043EB"/>
    <w:rsid w:val="001049FE"/>
    <w:rsid w:val="00105183"/>
    <w:rsid w:val="001174B5"/>
    <w:rsid w:val="00120AD0"/>
    <w:rsid w:val="00131D6F"/>
    <w:rsid w:val="00163324"/>
    <w:rsid w:val="0016581C"/>
    <w:rsid w:val="00177A15"/>
    <w:rsid w:val="0018115D"/>
    <w:rsid w:val="00184345"/>
    <w:rsid w:val="0018737F"/>
    <w:rsid w:val="00195B5F"/>
    <w:rsid w:val="001B21B4"/>
    <w:rsid w:val="001B5DA2"/>
    <w:rsid w:val="001C71C6"/>
    <w:rsid w:val="001D5592"/>
    <w:rsid w:val="001F350C"/>
    <w:rsid w:val="001F5D46"/>
    <w:rsid w:val="001F6011"/>
    <w:rsid w:val="002112E8"/>
    <w:rsid w:val="00225C20"/>
    <w:rsid w:val="002367FF"/>
    <w:rsid w:val="00237B72"/>
    <w:rsid w:val="002478D8"/>
    <w:rsid w:val="002709DA"/>
    <w:rsid w:val="002A0E35"/>
    <w:rsid w:val="002A2A73"/>
    <w:rsid w:val="002B3C8F"/>
    <w:rsid w:val="002B43AB"/>
    <w:rsid w:val="002B54D6"/>
    <w:rsid w:val="002C2979"/>
    <w:rsid w:val="002C3DA0"/>
    <w:rsid w:val="002C74DD"/>
    <w:rsid w:val="002D12BF"/>
    <w:rsid w:val="002E7F49"/>
    <w:rsid w:val="002F4843"/>
    <w:rsid w:val="00300F8B"/>
    <w:rsid w:val="0030604F"/>
    <w:rsid w:val="0032511F"/>
    <w:rsid w:val="00326E47"/>
    <w:rsid w:val="0036343C"/>
    <w:rsid w:val="003804B7"/>
    <w:rsid w:val="003817D6"/>
    <w:rsid w:val="003868DC"/>
    <w:rsid w:val="00397B82"/>
    <w:rsid w:val="003C0783"/>
    <w:rsid w:val="003E50CA"/>
    <w:rsid w:val="003F41A1"/>
    <w:rsid w:val="003F4B3C"/>
    <w:rsid w:val="003F5C95"/>
    <w:rsid w:val="00411D35"/>
    <w:rsid w:val="0041348A"/>
    <w:rsid w:val="00416DCC"/>
    <w:rsid w:val="00434699"/>
    <w:rsid w:val="004504AA"/>
    <w:rsid w:val="0046335E"/>
    <w:rsid w:val="0047227B"/>
    <w:rsid w:val="00473E45"/>
    <w:rsid w:val="00475073"/>
    <w:rsid w:val="0049033A"/>
    <w:rsid w:val="004969E2"/>
    <w:rsid w:val="00497677"/>
    <w:rsid w:val="004A47A6"/>
    <w:rsid w:val="004B504F"/>
    <w:rsid w:val="004C32CA"/>
    <w:rsid w:val="004E53D3"/>
    <w:rsid w:val="00502A2F"/>
    <w:rsid w:val="0051519C"/>
    <w:rsid w:val="00520BB8"/>
    <w:rsid w:val="00535AA9"/>
    <w:rsid w:val="005372A5"/>
    <w:rsid w:val="00544CA9"/>
    <w:rsid w:val="00547793"/>
    <w:rsid w:val="00553270"/>
    <w:rsid w:val="00556443"/>
    <w:rsid w:val="00560FAE"/>
    <w:rsid w:val="00567FF7"/>
    <w:rsid w:val="005705AE"/>
    <w:rsid w:val="00580D41"/>
    <w:rsid w:val="005833BB"/>
    <w:rsid w:val="00585029"/>
    <w:rsid w:val="00586646"/>
    <w:rsid w:val="005A1100"/>
    <w:rsid w:val="005A7976"/>
    <w:rsid w:val="005D0AD2"/>
    <w:rsid w:val="005D479B"/>
    <w:rsid w:val="005D626A"/>
    <w:rsid w:val="005E0B31"/>
    <w:rsid w:val="005E356C"/>
    <w:rsid w:val="005E45B0"/>
    <w:rsid w:val="005E6BB9"/>
    <w:rsid w:val="005F5C72"/>
    <w:rsid w:val="00603A19"/>
    <w:rsid w:val="00622C4C"/>
    <w:rsid w:val="00630D45"/>
    <w:rsid w:val="00634B42"/>
    <w:rsid w:val="00640FCF"/>
    <w:rsid w:val="00643A06"/>
    <w:rsid w:val="006666B5"/>
    <w:rsid w:val="00670370"/>
    <w:rsid w:val="00672F7C"/>
    <w:rsid w:val="006A4306"/>
    <w:rsid w:val="006A5ED8"/>
    <w:rsid w:val="006B59C3"/>
    <w:rsid w:val="006E3D80"/>
    <w:rsid w:val="006E4178"/>
    <w:rsid w:val="006E50FF"/>
    <w:rsid w:val="00701280"/>
    <w:rsid w:val="00702D84"/>
    <w:rsid w:val="00714E21"/>
    <w:rsid w:val="00724620"/>
    <w:rsid w:val="0073327B"/>
    <w:rsid w:val="00737DEA"/>
    <w:rsid w:val="00740D4F"/>
    <w:rsid w:val="0074666F"/>
    <w:rsid w:val="00760CD6"/>
    <w:rsid w:val="00771045"/>
    <w:rsid w:val="007952EA"/>
    <w:rsid w:val="00796615"/>
    <w:rsid w:val="007B6BB9"/>
    <w:rsid w:val="007C13EF"/>
    <w:rsid w:val="007C15B2"/>
    <w:rsid w:val="007D0C1D"/>
    <w:rsid w:val="007D2DD4"/>
    <w:rsid w:val="007D3C4E"/>
    <w:rsid w:val="007D5BCE"/>
    <w:rsid w:val="008020BC"/>
    <w:rsid w:val="00822E29"/>
    <w:rsid w:val="00825FB3"/>
    <w:rsid w:val="0084581F"/>
    <w:rsid w:val="00851892"/>
    <w:rsid w:val="0086101C"/>
    <w:rsid w:val="0086236A"/>
    <w:rsid w:val="00863BEC"/>
    <w:rsid w:val="00895895"/>
    <w:rsid w:val="008A26AE"/>
    <w:rsid w:val="008B32FE"/>
    <w:rsid w:val="008B4357"/>
    <w:rsid w:val="008B4C5B"/>
    <w:rsid w:val="008F0448"/>
    <w:rsid w:val="0090302B"/>
    <w:rsid w:val="00910A9B"/>
    <w:rsid w:val="0092089D"/>
    <w:rsid w:val="009255BD"/>
    <w:rsid w:val="00926AA4"/>
    <w:rsid w:val="009534EC"/>
    <w:rsid w:val="0095594C"/>
    <w:rsid w:val="00956DC3"/>
    <w:rsid w:val="00963748"/>
    <w:rsid w:val="00966A34"/>
    <w:rsid w:val="00974619"/>
    <w:rsid w:val="009A3AEC"/>
    <w:rsid w:val="009C03D3"/>
    <w:rsid w:val="009E410C"/>
    <w:rsid w:val="009F32A1"/>
    <w:rsid w:val="009F4F0D"/>
    <w:rsid w:val="00A06019"/>
    <w:rsid w:val="00A10334"/>
    <w:rsid w:val="00A20BBC"/>
    <w:rsid w:val="00A31F5D"/>
    <w:rsid w:val="00A35B12"/>
    <w:rsid w:val="00A42CEF"/>
    <w:rsid w:val="00A47405"/>
    <w:rsid w:val="00A512F4"/>
    <w:rsid w:val="00A5558E"/>
    <w:rsid w:val="00A70D81"/>
    <w:rsid w:val="00A77FEF"/>
    <w:rsid w:val="00AA1694"/>
    <w:rsid w:val="00AA34E2"/>
    <w:rsid w:val="00AA4EE6"/>
    <w:rsid w:val="00AB2D3C"/>
    <w:rsid w:val="00AB5229"/>
    <w:rsid w:val="00AB537A"/>
    <w:rsid w:val="00AF24E1"/>
    <w:rsid w:val="00AF38A9"/>
    <w:rsid w:val="00B07F55"/>
    <w:rsid w:val="00B108AA"/>
    <w:rsid w:val="00B14AC7"/>
    <w:rsid w:val="00B15D62"/>
    <w:rsid w:val="00B170B0"/>
    <w:rsid w:val="00B23582"/>
    <w:rsid w:val="00B3674F"/>
    <w:rsid w:val="00B449F6"/>
    <w:rsid w:val="00B475CC"/>
    <w:rsid w:val="00B670D9"/>
    <w:rsid w:val="00B6729E"/>
    <w:rsid w:val="00B67D16"/>
    <w:rsid w:val="00B71196"/>
    <w:rsid w:val="00B72089"/>
    <w:rsid w:val="00B73985"/>
    <w:rsid w:val="00B75972"/>
    <w:rsid w:val="00B77825"/>
    <w:rsid w:val="00B7789D"/>
    <w:rsid w:val="00B92646"/>
    <w:rsid w:val="00B9603B"/>
    <w:rsid w:val="00BB0085"/>
    <w:rsid w:val="00BC43CA"/>
    <w:rsid w:val="00BD7AF8"/>
    <w:rsid w:val="00C37999"/>
    <w:rsid w:val="00C41851"/>
    <w:rsid w:val="00C51284"/>
    <w:rsid w:val="00C5604E"/>
    <w:rsid w:val="00C57D03"/>
    <w:rsid w:val="00C676EC"/>
    <w:rsid w:val="00C67B82"/>
    <w:rsid w:val="00C73A9F"/>
    <w:rsid w:val="00C74E7A"/>
    <w:rsid w:val="00C8301F"/>
    <w:rsid w:val="00CA5495"/>
    <w:rsid w:val="00CB29C0"/>
    <w:rsid w:val="00CD2692"/>
    <w:rsid w:val="00CF0A44"/>
    <w:rsid w:val="00D02B02"/>
    <w:rsid w:val="00D05F3D"/>
    <w:rsid w:val="00D14054"/>
    <w:rsid w:val="00D3164F"/>
    <w:rsid w:val="00D442F5"/>
    <w:rsid w:val="00D6435B"/>
    <w:rsid w:val="00D747AA"/>
    <w:rsid w:val="00D77041"/>
    <w:rsid w:val="00D842A4"/>
    <w:rsid w:val="00D85BDB"/>
    <w:rsid w:val="00D90EE0"/>
    <w:rsid w:val="00D9127F"/>
    <w:rsid w:val="00D913BB"/>
    <w:rsid w:val="00D97C90"/>
    <w:rsid w:val="00DA4A2E"/>
    <w:rsid w:val="00DE3370"/>
    <w:rsid w:val="00DF2280"/>
    <w:rsid w:val="00E00137"/>
    <w:rsid w:val="00E026F9"/>
    <w:rsid w:val="00E10493"/>
    <w:rsid w:val="00E6090A"/>
    <w:rsid w:val="00E679CA"/>
    <w:rsid w:val="00E8743D"/>
    <w:rsid w:val="00E91BDE"/>
    <w:rsid w:val="00EC070A"/>
    <w:rsid w:val="00ED0DDE"/>
    <w:rsid w:val="00EE38EE"/>
    <w:rsid w:val="00EE6FA8"/>
    <w:rsid w:val="00EF7586"/>
    <w:rsid w:val="00F137E6"/>
    <w:rsid w:val="00F16C81"/>
    <w:rsid w:val="00F4139B"/>
    <w:rsid w:val="00F70A89"/>
    <w:rsid w:val="00F80373"/>
    <w:rsid w:val="00F93D7F"/>
    <w:rsid w:val="00F96CB9"/>
    <w:rsid w:val="00FD4225"/>
    <w:rsid w:val="00FE47BE"/>
    <w:rsid w:val="00FE5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C71A"/>
  <w15:docId w15:val="{B4C18FDE-830E-4F3E-8995-7E2CC4C1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39B"/>
    <w:pPr>
      <w:spacing w:after="0" w:line="360" w:lineRule="auto"/>
      <w:jc w:val="both"/>
    </w:pPr>
    <w:rPr>
      <w:rFonts w:ascii="Arial" w:eastAsia="Times New Roman" w:hAnsi="Arial"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4139B"/>
    <w:pPr>
      <w:tabs>
        <w:tab w:val="center" w:pos="4536"/>
        <w:tab w:val="right" w:pos="9072"/>
      </w:tabs>
    </w:pPr>
  </w:style>
  <w:style w:type="character" w:customStyle="1" w:styleId="NagwekZnak">
    <w:name w:val="Nagłówek Znak"/>
    <w:basedOn w:val="Domylnaczcionkaakapitu"/>
    <w:link w:val="Nagwek"/>
    <w:rsid w:val="00F4139B"/>
    <w:rPr>
      <w:rFonts w:ascii="Arial" w:eastAsia="Times New Roman" w:hAnsi="Arial" w:cs="Times New Roman"/>
      <w:sz w:val="20"/>
      <w:szCs w:val="24"/>
      <w:lang w:eastAsia="pl-PL"/>
    </w:rPr>
  </w:style>
  <w:style w:type="paragraph" w:customStyle="1" w:styleId="Default">
    <w:name w:val="Default"/>
    <w:rsid w:val="00FE47BE"/>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B739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985"/>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B73985"/>
    <w:pPr>
      <w:spacing w:line="240" w:lineRule="auto"/>
      <w:jc w:val="left"/>
    </w:pPr>
    <w:rPr>
      <w:rFonts w:ascii="Times New Roman" w:eastAsiaTheme="minorHAnsi" w:hAnsi="Times New Roman"/>
      <w:sz w:val="24"/>
    </w:rPr>
  </w:style>
  <w:style w:type="paragraph" w:styleId="Akapitzlist">
    <w:name w:val="List Paragraph"/>
    <w:basedOn w:val="Normalny"/>
    <w:uiPriority w:val="34"/>
    <w:qFormat/>
    <w:rsid w:val="0074666F"/>
    <w:pPr>
      <w:ind w:left="720"/>
      <w:contextualSpacing/>
    </w:pPr>
  </w:style>
  <w:style w:type="table" w:styleId="Tabela-Siatka">
    <w:name w:val="Table Grid"/>
    <w:basedOn w:val="Standardowy"/>
    <w:uiPriority w:val="39"/>
    <w:unhideWhenUsed/>
    <w:rsid w:val="00AB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EE38EE"/>
    <w:pPr>
      <w:spacing w:after="0" w:line="240" w:lineRule="auto"/>
      <w:jc w:val="both"/>
    </w:pPr>
    <w:rPr>
      <w:rFonts w:ascii="Arial" w:eastAsia="Times New Roman" w:hAnsi="Arial" w:cs="Times New Roman"/>
      <w:sz w:val="20"/>
      <w:szCs w:val="24"/>
      <w:lang w:eastAsia="pl-PL"/>
    </w:rPr>
  </w:style>
  <w:style w:type="paragraph" w:styleId="Stopka">
    <w:name w:val="footer"/>
    <w:basedOn w:val="Normalny"/>
    <w:link w:val="StopkaZnak"/>
    <w:uiPriority w:val="99"/>
    <w:unhideWhenUsed/>
    <w:rsid w:val="00910A9B"/>
    <w:pPr>
      <w:tabs>
        <w:tab w:val="center" w:pos="4536"/>
        <w:tab w:val="right" w:pos="9072"/>
      </w:tabs>
      <w:spacing w:line="240" w:lineRule="auto"/>
    </w:pPr>
  </w:style>
  <w:style w:type="character" w:customStyle="1" w:styleId="StopkaZnak">
    <w:name w:val="Stopka Znak"/>
    <w:basedOn w:val="Domylnaczcionkaakapitu"/>
    <w:link w:val="Stopka"/>
    <w:uiPriority w:val="99"/>
    <w:rsid w:val="00910A9B"/>
    <w:rPr>
      <w:rFonts w:ascii="Arial" w:eastAsia="Times New Roman" w:hAnsi="Arial" w:cs="Times New Roman"/>
      <w:sz w:val="20"/>
      <w:szCs w:val="24"/>
      <w:lang w:eastAsia="pl-PL"/>
    </w:rPr>
  </w:style>
  <w:style w:type="character" w:styleId="Odwoanieprzypisudolnego">
    <w:name w:val="footnote reference"/>
    <w:basedOn w:val="Domylnaczcionkaakapitu"/>
    <w:uiPriority w:val="99"/>
    <w:semiHidden/>
    <w:unhideWhenUsed/>
    <w:rsid w:val="005D0AD2"/>
    <w:rPr>
      <w:vertAlign w:val="superscript"/>
    </w:rPr>
  </w:style>
  <w:style w:type="character" w:styleId="Hipercze">
    <w:name w:val="Hyperlink"/>
    <w:basedOn w:val="Domylnaczcionkaakapitu"/>
    <w:uiPriority w:val="99"/>
    <w:unhideWhenUsed/>
    <w:rsid w:val="00B6729E"/>
    <w:rPr>
      <w:color w:val="0563C1" w:themeColor="hyperlink"/>
      <w:u w:val="single"/>
    </w:rPr>
  </w:style>
  <w:style w:type="character" w:styleId="Nierozpoznanawzmianka">
    <w:name w:val="Unresolved Mention"/>
    <w:basedOn w:val="Domylnaczcionkaakapitu"/>
    <w:uiPriority w:val="99"/>
    <w:semiHidden/>
    <w:unhideWhenUsed/>
    <w:rsid w:val="00B6729E"/>
    <w:rPr>
      <w:color w:val="605E5C"/>
      <w:shd w:val="clear" w:color="auto" w:fill="E1DFDD"/>
    </w:rPr>
  </w:style>
  <w:style w:type="paragraph" w:styleId="Tekstkomentarza">
    <w:name w:val="annotation text"/>
    <w:basedOn w:val="Normalny"/>
    <w:link w:val="TekstkomentarzaZnak"/>
    <w:uiPriority w:val="99"/>
    <w:unhideWhenUsed/>
    <w:rsid w:val="00771045"/>
    <w:pPr>
      <w:spacing w:after="3" w:line="240" w:lineRule="auto"/>
      <w:ind w:left="10" w:right="1" w:hanging="10"/>
    </w:pPr>
    <w:rPr>
      <w:rFonts w:ascii="Times New Roman" w:hAnsi="Times New Roman"/>
      <w:color w:val="000000"/>
      <w:szCs w:val="20"/>
    </w:rPr>
  </w:style>
  <w:style w:type="character" w:customStyle="1" w:styleId="TekstkomentarzaZnak">
    <w:name w:val="Tekst komentarza Znak"/>
    <w:basedOn w:val="Domylnaczcionkaakapitu"/>
    <w:link w:val="Tekstkomentarza"/>
    <w:uiPriority w:val="99"/>
    <w:rsid w:val="00771045"/>
    <w:rPr>
      <w:rFonts w:ascii="Times New Roman" w:eastAsia="Times New Roman" w:hAnsi="Times New Roman" w:cs="Times New Roman"/>
      <w:color w:val="000000"/>
      <w:sz w:val="20"/>
      <w:szCs w:val="20"/>
      <w:lang w:eastAsia="pl-PL"/>
    </w:rPr>
  </w:style>
  <w:style w:type="character" w:styleId="Odwoaniedokomentarza">
    <w:name w:val="annotation reference"/>
    <w:basedOn w:val="Domylnaczcionkaakapitu"/>
    <w:uiPriority w:val="99"/>
    <w:semiHidden/>
    <w:unhideWhenUsed/>
    <w:rsid w:val="00A7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64062">
      <w:bodyDiv w:val="1"/>
      <w:marLeft w:val="0"/>
      <w:marRight w:val="0"/>
      <w:marTop w:val="0"/>
      <w:marBottom w:val="0"/>
      <w:divBdr>
        <w:top w:val="none" w:sz="0" w:space="0" w:color="auto"/>
        <w:left w:val="none" w:sz="0" w:space="0" w:color="auto"/>
        <w:bottom w:val="none" w:sz="0" w:space="0" w:color="auto"/>
        <w:right w:val="none" w:sz="0" w:space="0" w:color="auto"/>
      </w:divBdr>
    </w:div>
    <w:div w:id="820194378">
      <w:bodyDiv w:val="1"/>
      <w:marLeft w:val="0"/>
      <w:marRight w:val="0"/>
      <w:marTop w:val="0"/>
      <w:marBottom w:val="0"/>
      <w:divBdr>
        <w:top w:val="none" w:sz="0" w:space="0" w:color="auto"/>
        <w:left w:val="none" w:sz="0" w:space="0" w:color="auto"/>
        <w:bottom w:val="none" w:sz="0" w:space="0" w:color="auto"/>
        <w:right w:val="none" w:sz="0" w:space="0" w:color="auto"/>
      </w:divBdr>
    </w:div>
    <w:div w:id="1003123795">
      <w:bodyDiv w:val="1"/>
      <w:marLeft w:val="0"/>
      <w:marRight w:val="0"/>
      <w:marTop w:val="0"/>
      <w:marBottom w:val="0"/>
      <w:divBdr>
        <w:top w:val="none" w:sz="0" w:space="0" w:color="auto"/>
        <w:left w:val="none" w:sz="0" w:space="0" w:color="auto"/>
        <w:bottom w:val="none" w:sz="0" w:space="0" w:color="auto"/>
        <w:right w:val="none" w:sz="0" w:space="0" w:color="auto"/>
      </w:divBdr>
    </w:div>
    <w:div w:id="1192770095">
      <w:bodyDiv w:val="1"/>
      <w:marLeft w:val="0"/>
      <w:marRight w:val="0"/>
      <w:marTop w:val="0"/>
      <w:marBottom w:val="0"/>
      <w:divBdr>
        <w:top w:val="none" w:sz="0" w:space="0" w:color="auto"/>
        <w:left w:val="none" w:sz="0" w:space="0" w:color="auto"/>
        <w:bottom w:val="none" w:sz="0" w:space="0" w:color="auto"/>
        <w:right w:val="none" w:sz="0" w:space="0" w:color="auto"/>
      </w:divBdr>
    </w:div>
    <w:div w:id="1476752842">
      <w:bodyDiv w:val="1"/>
      <w:marLeft w:val="0"/>
      <w:marRight w:val="0"/>
      <w:marTop w:val="0"/>
      <w:marBottom w:val="0"/>
      <w:divBdr>
        <w:top w:val="none" w:sz="0" w:space="0" w:color="auto"/>
        <w:left w:val="none" w:sz="0" w:space="0" w:color="auto"/>
        <w:bottom w:val="none" w:sz="0" w:space="0" w:color="auto"/>
        <w:right w:val="none" w:sz="0" w:space="0" w:color="auto"/>
      </w:divBdr>
    </w:div>
    <w:div w:id="1545362074">
      <w:bodyDiv w:val="1"/>
      <w:marLeft w:val="0"/>
      <w:marRight w:val="0"/>
      <w:marTop w:val="0"/>
      <w:marBottom w:val="0"/>
      <w:divBdr>
        <w:top w:val="none" w:sz="0" w:space="0" w:color="auto"/>
        <w:left w:val="none" w:sz="0" w:space="0" w:color="auto"/>
        <w:bottom w:val="none" w:sz="0" w:space="0" w:color="auto"/>
        <w:right w:val="none" w:sz="0" w:space="0" w:color="auto"/>
      </w:divBdr>
    </w:div>
    <w:div w:id="20009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F04634AC5D4244900F8381C223C3C9" ma:contentTypeVersion="14" ma:contentTypeDescription="Utwórz nowy dokument." ma:contentTypeScope="" ma:versionID="436d0be091b97bfebbda960000646929">
  <xsd:schema xmlns:xsd="http://www.w3.org/2001/XMLSchema" xmlns:xs="http://www.w3.org/2001/XMLSchema" xmlns:p="http://schemas.microsoft.com/office/2006/metadata/properties" xmlns:ns3="19ff5619-dea0-4d01-a865-51a2086de6a3" xmlns:ns4="ef04742a-54c2-441f-925c-102f1ae1af70" targetNamespace="http://schemas.microsoft.com/office/2006/metadata/properties" ma:root="true" ma:fieldsID="83ac8c070d191da42193945445d6e93b" ns3:_="" ns4:_="">
    <xsd:import namespace="19ff5619-dea0-4d01-a865-51a2086de6a3"/>
    <xsd:import namespace="ef04742a-54c2-441f-925c-102f1ae1af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5619-dea0-4d01-a865-51a2086de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4742a-54c2-441f-925c-102f1ae1af7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01B01-5C0C-40ED-86DA-7F2F5317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5619-dea0-4d01-a865-51a2086de6a3"/>
    <ds:schemaRef ds:uri="ef04742a-54c2-441f-925c-102f1ae1a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65427-F027-428A-8D4A-86F32161D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D52A1-19E9-41F8-944C-3E4F3D0B6047}">
  <ds:schemaRefs>
    <ds:schemaRef ds:uri="http://schemas.openxmlformats.org/officeDocument/2006/bibliography"/>
  </ds:schemaRefs>
</ds:datastoreItem>
</file>

<file path=customXml/itemProps4.xml><?xml version="1.0" encoding="utf-8"?>
<ds:datastoreItem xmlns:ds="http://schemas.openxmlformats.org/officeDocument/2006/customXml" ds:itemID="{235FFB05-2A41-4C01-8ADB-FF96E7C73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4487</Words>
  <Characters>26927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INFARMA</dc:creator>
  <cp:keywords/>
  <dc:description/>
  <cp:lastModifiedBy>Joanna Kalisz</cp:lastModifiedBy>
  <cp:revision>3</cp:revision>
  <cp:lastPrinted>2022-11-25T11:40:00Z</cp:lastPrinted>
  <dcterms:created xsi:type="dcterms:W3CDTF">2022-11-25T11:41:00Z</dcterms:created>
  <dcterms:modified xsi:type="dcterms:W3CDTF">2022-11-25T11:49:00Z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0x0101006EF04634AC5D4244900F8381C223C3C9</vt:lpwstr>
  </property>
  <property fmtid="{D5CDD505-2E9C-101B-9397-08002B2CF9AE}" pid="3" name="Order">
    <vt:r8>831400</vt:r8>
  </property>
</Properties>
</file>