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78A3" w14:textId="77777777" w:rsidR="00C15415" w:rsidRPr="004024F0" w:rsidRDefault="00C15415" w:rsidP="00630880">
      <w:pPr>
        <w:tabs>
          <w:tab w:val="left" w:pos="1680"/>
          <w:tab w:val="right" w:pos="9072"/>
        </w:tabs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528CC6F5" w14:textId="42F84D96" w:rsidR="008779CA" w:rsidRPr="004024F0" w:rsidRDefault="008779CA" w:rsidP="00630880">
      <w:pPr>
        <w:tabs>
          <w:tab w:val="left" w:pos="1680"/>
          <w:tab w:val="right" w:pos="9072"/>
        </w:tabs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 xml:space="preserve">Informacja prasowa      </w:t>
      </w:r>
      <w:r w:rsidRPr="004024F0">
        <w:rPr>
          <w:rFonts w:asciiTheme="minorHAnsi" w:hAnsiTheme="minorHAnsi" w:cstheme="minorHAnsi"/>
          <w:sz w:val="24"/>
        </w:rPr>
        <w:tab/>
      </w:r>
      <w:r w:rsidR="004024F0" w:rsidRPr="004024F0">
        <w:rPr>
          <w:rFonts w:asciiTheme="minorHAnsi" w:hAnsiTheme="minorHAnsi" w:cstheme="minorHAnsi"/>
          <w:sz w:val="24"/>
        </w:rPr>
        <w:t xml:space="preserve">  </w:t>
      </w:r>
      <w:r w:rsidRPr="004024F0">
        <w:rPr>
          <w:rFonts w:asciiTheme="minorHAnsi" w:hAnsiTheme="minorHAnsi" w:cstheme="minorHAnsi"/>
          <w:color w:val="000000" w:themeColor="text1"/>
          <w:sz w:val="24"/>
        </w:rPr>
        <w:t>Warszawa, 31 sierpnia 2017 r.</w:t>
      </w:r>
      <w:r w:rsidR="00630880" w:rsidRPr="004024F0">
        <w:rPr>
          <w:rFonts w:asciiTheme="minorHAnsi" w:hAnsiTheme="minorHAnsi" w:cstheme="minorHAnsi"/>
          <w:sz w:val="24"/>
        </w:rPr>
        <w:tab/>
      </w:r>
      <w:r w:rsidR="00630880" w:rsidRPr="004024F0">
        <w:rPr>
          <w:rFonts w:asciiTheme="minorHAnsi" w:hAnsiTheme="minorHAnsi" w:cstheme="minorHAnsi"/>
          <w:sz w:val="24"/>
        </w:rPr>
        <w:tab/>
        <w:t xml:space="preserve">                                                     </w:t>
      </w:r>
      <w:r w:rsidRPr="004024F0">
        <w:rPr>
          <w:rFonts w:asciiTheme="minorHAnsi" w:hAnsiTheme="minorHAnsi" w:cstheme="minorHAnsi"/>
          <w:sz w:val="24"/>
        </w:rPr>
        <w:t xml:space="preserve"> </w:t>
      </w:r>
    </w:p>
    <w:p w14:paraId="6C3E6CDD" w14:textId="43F35DAB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4024F0">
        <w:rPr>
          <w:rFonts w:asciiTheme="minorHAnsi" w:hAnsiTheme="minorHAnsi" w:cstheme="minorHAnsi"/>
          <w:b/>
          <w:sz w:val="28"/>
          <w:szCs w:val="28"/>
        </w:rPr>
        <w:t>Innowacyjna branża farmaceutyczna wspiera polską gospodarkę</w:t>
      </w:r>
    </w:p>
    <w:p w14:paraId="6A5D4E7F" w14:textId="6CC6CFFD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 w:rsidRPr="004024F0">
        <w:rPr>
          <w:rFonts w:asciiTheme="minorHAnsi" w:hAnsiTheme="minorHAnsi" w:cstheme="minorHAnsi"/>
          <w:b/>
          <w:sz w:val="24"/>
        </w:rPr>
        <w:t>Innowacyjne firmy farmaceutyczne są ważnym in</w:t>
      </w:r>
      <w:r w:rsidR="004024F0" w:rsidRPr="004024F0">
        <w:rPr>
          <w:rFonts w:asciiTheme="minorHAnsi" w:hAnsiTheme="minorHAnsi" w:cstheme="minorHAnsi"/>
          <w:b/>
          <w:sz w:val="24"/>
        </w:rPr>
        <w:t xml:space="preserve">westorem w polskiej gospodarce. </w:t>
      </w:r>
      <w:r w:rsidR="00EF4B9F">
        <w:rPr>
          <w:rFonts w:asciiTheme="minorHAnsi" w:hAnsiTheme="minorHAnsi" w:cstheme="minorHAnsi"/>
          <w:b/>
          <w:sz w:val="24"/>
        </w:rPr>
        <w:t>Jak wynika z </w:t>
      </w:r>
      <w:r w:rsidR="004024F0" w:rsidRPr="004024F0">
        <w:rPr>
          <w:rFonts w:asciiTheme="minorHAnsi" w:hAnsiTheme="minorHAnsi" w:cstheme="minorHAnsi"/>
          <w:b/>
          <w:sz w:val="24"/>
        </w:rPr>
        <w:t xml:space="preserve">najnowszego raportu „Wpływ na gospodarkę i potencjał rozwoju branży innowacyjnych firm farmaceutycznych w Polsce” przygotowanego przez PEX </w:t>
      </w:r>
      <w:proofErr w:type="spellStart"/>
      <w:r w:rsidR="004024F0" w:rsidRPr="004024F0">
        <w:rPr>
          <w:rFonts w:asciiTheme="minorHAnsi" w:hAnsiTheme="minorHAnsi" w:cstheme="minorHAnsi"/>
          <w:b/>
          <w:sz w:val="24"/>
        </w:rPr>
        <w:t>PharmaSequence</w:t>
      </w:r>
      <w:proofErr w:type="spellEnd"/>
      <w:r w:rsidR="004024F0" w:rsidRPr="004024F0">
        <w:rPr>
          <w:rFonts w:asciiTheme="minorHAnsi" w:hAnsiTheme="minorHAnsi" w:cstheme="minorHAnsi"/>
          <w:b/>
          <w:sz w:val="24"/>
        </w:rPr>
        <w:t xml:space="preserve"> na zlecenie Związku Pracodawców Innowacyjnych Firm Farmaceutycznych INFARMA, w</w:t>
      </w:r>
      <w:r w:rsidRPr="004024F0">
        <w:rPr>
          <w:rFonts w:asciiTheme="minorHAnsi" w:hAnsiTheme="minorHAnsi" w:cstheme="minorHAnsi"/>
          <w:b/>
          <w:sz w:val="24"/>
        </w:rPr>
        <w:t>artość dotychczas poniesionych przez nie nakładów inwestycyjn</w:t>
      </w:r>
      <w:r w:rsidR="00E90E13" w:rsidRPr="004024F0">
        <w:rPr>
          <w:rFonts w:asciiTheme="minorHAnsi" w:hAnsiTheme="minorHAnsi" w:cstheme="minorHAnsi"/>
          <w:b/>
          <w:sz w:val="24"/>
        </w:rPr>
        <w:t>ych</w:t>
      </w:r>
      <w:r w:rsidR="004024F0" w:rsidRPr="004024F0">
        <w:rPr>
          <w:rFonts w:asciiTheme="minorHAnsi" w:hAnsiTheme="minorHAnsi" w:cstheme="minorHAnsi"/>
          <w:b/>
          <w:sz w:val="24"/>
        </w:rPr>
        <w:t xml:space="preserve"> w Polsce</w:t>
      </w:r>
      <w:r w:rsidR="00E90E13" w:rsidRPr="004024F0">
        <w:rPr>
          <w:rFonts w:asciiTheme="minorHAnsi" w:hAnsiTheme="minorHAnsi" w:cstheme="minorHAnsi"/>
          <w:b/>
          <w:sz w:val="24"/>
        </w:rPr>
        <w:t xml:space="preserve"> przekroczyła 1 mld złotych</w:t>
      </w:r>
      <w:r w:rsidR="004024F0" w:rsidRPr="004024F0">
        <w:rPr>
          <w:rFonts w:asciiTheme="minorHAnsi" w:hAnsiTheme="minorHAnsi" w:cstheme="minorHAnsi"/>
          <w:b/>
          <w:sz w:val="24"/>
        </w:rPr>
        <w:t>.</w:t>
      </w:r>
    </w:p>
    <w:p w14:paraId="010AD62E" w14:textId="03C34B80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Sektor innowacyjnych firm farmaceutycznych to jeden z  kluczowych  elementów  systemu  ochrony  zdrowia w Polsce i na świecie. Dzięki nowym lekom dokonało się w medycynie wiele przełomów - choroby dotychczas  nieuleczalne  stały  się  przewlekłymi, a długość życia pacjentów oraz jego ko</w:t>
      </w:r>
      <w:r w:rsidR="004024F0" w:rsidRPr="004024F0">
        <w:rPr>
          <w:rFonts w:asciiTheme="minorHAnsi" w:hAnsiTheme="minorHAnsi" w:cstheme="minorHAnsi"/>
          <w:sz w:val="24"/>
        </w:rPr>
        <w:t>mfort  znacznie  się poprawiły.</w:t>
      </w:r>
      <w:r w:rsidRPr="004024F0">
        <w:rPr>
          <w:rFonts w:asciiTheme="minorHAnsi" w:hAnsiTheme="minorHAnsi" w:cstheme="minorHAnsi"/>
          <w:sz w:val="24"/>
        </w:rPr>
        <w:t xml:space="preserve"> Zdaniem prof. Krzysztofa Opolskiego z Wydziału Nauk Ekonomicznych Uniwersytetu Warszawskiego, jednego z recenzentów raportu, rozwój innowacyjnej branży farmaceutycznej ma wpływ nie tylko na zdrowie </w:t>
      </w:r>
      <w:r w:rsidR="004024F0" w:rsidRPr="004024F0">
        <w:rPr>
          <w:rFonts w:asciiTheme="minorHAnsi" w:hAnsiTheme="minorHAnsi" w:cstheme="minorHAnsi"/>
          <w:sz w:val="24"/>
        </w:rPr>
        <w:t>obywateli, ale również dobrobyt</w:t>
      </w:r>
      <w:r w:rsidRPr="004024F0">
        <w:rPr>
          <w:rFonts w:asciiTheme="minorHAnsi" w:hAnsiTheme="minorHAnsi" w:cstheme="minorHAnsi"/>
          <w:sz w:val="24"/>
        </w:rPr>
        <w:t xml:space="preserve"> społeczeństwa  i  rozwój  gospodarczy.</w:t>
      </w:r>
    </w:p>
    <w:p w14:paraId="17C74269" w14:textId="75D56345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 xml:space="preserve">- </w:t>
      </w:r>
      <w:r w:rsidRPr="004024F0">
        <w:rPr>
          <w:rFonts w:asciiTheme="minorHAnsi" w:hAnsiTheme="minorHAnsi" w:cstheme="minorHAnsi"/>
          <w:i/>
          <w:sz w:val="24"/>
        </w:rPr>
        <w:t>Przemysł farmaceutyczny poprzez zatrudn</w:t>
      </w:r>
      <w:r w:rsidR="004024F0" w:rsidRPr="004024F0">
        <w:rPr>
          <w:rFonts w:asciiTheme="minorHAnsi" w:hAnsiTheme="minorHAnsi" w:cstheme="minorHAnsi"/>
          <w:i/>
          <w:sz w:val="24"/>
        </w:rPr>
        <w:t>ienie pracowników, w tym wysoko</w:t>
      </w:r>
      <w:r w:rsidRPr="004024F0">
        <w:rPr>
          <w:rFonts w:asciiTheme="minorHAnsi" w:hAnsiTheme="minorHAnsi" w:cstheme="minorHAnsi"/>
          <w:i/>
          <w:sz w:val="24"/>
        </w:rPr>
        <w:t xml:space="preserve"> wykwalifikowanych specjalistów, stałe inwestycje w ich rozwój oraz inne dziedziny gospodarki oparte na wiedzy, zwiększanie eksportu do UE i innych krajów świata czy odprowadzane podatki, stymuluje wzrost gospodarki i zwiększa międzynarodową konkurencyjność Polski</w:t>
      </w:r>
      <w:r w:rsidRPr="004024F0">
        <w:rPr>
          <w:rFonts w:asciiTheme="minorHAnsi" w:hAnsiTheme="minorHAnsi" w:cstheme="minorHAnsi"/>
          <w:sz w:val="24"/>
        </w:rPr>
        <w:t xml:space="preserve">. </w:t>
      </w:r>
      <w:r w:rsidR="00EF4B9F">
        <w:rPr>
          <w:rFonts w:asciiTheme="minorHAnsi" w:hAnsiTheme="minorHAnsi" w:cstheme="minorHAnsi"/>
          <w:i/>
          <w:sz w:val="24"/>
        </w:rPr>
        <w:t xml:space="preserve">Innowacyjne </w:t>
      </w:r>
      <w:r w:rsidRPr="004024F0">
        <w:rPr>
          <w:rFonts w:asciiTheme="minorHAnsi" w:hAnsiTheme="minorHAnsi" w:cstheme="minorHAnsi"/>
          <w:i/>
          <w:sz w:val="24"/>
        </w:rPr>
        <w:t>firmy  farmaceutyczne  wpływają  na polską  gospodarkę  i  społeczeństwo  szczególnie  poprzez badania  kliniczne i</w:t>
      </w:r>
      <w:r w:rsidR="00826CD8">
        <w:rPr>
          <w:rFonts w:asciiTheme="minorHAnsi" w:hAnsiTheme="minorHAnsi" w:cstheme="minorHAnsi"/>
          <w:i/>
          <w:sz w:val="24"/>
        </w:rPr>
        <w:t> </w:t>
      </w:r>
      <w:r w:rsidRPr="004024F0">
        <w:rPr>
          <w:rFonts w:asciiTheme="minorHAnsi" w:hAnsiTheme="minorHAnsi" w:cstheme="minorHAnsi"/>
          <w:i/>
          <w:sz w:val="24"/>
        </w:rPr>
        <w:t>produkcję leków, ale także edukację pacjentów i przedstawicieli zawodów medycznych. W</w:t>
      </w:r>
      <w:r w:rsidR="00826CD8">
        <w:rPr>
          <w:rFonts w:asciiTheme="minorHAnsi" w:hAnsiTheme="minorHAnsi" w:cstheme="minorHAnsi"/>
          <w:i/>
          <w:sz w:val="24"/>
        </w:rPr>
        <w:t> </w:t>
      </w:r>
      <w:r w:rsidRPr="004024F0">
        <w:rPr>
          <w:rFonts w:asciiTheme="minorHAnsi" w:hAnsiTheme="minorHAnsi" w:cstheme="minorHAnsi"/>
          <w:i/>
          <w:sz w:val="24"/>
        </w:rPr>
        <w:t>„Strat</w:t>
      </w:r>
      <w:r w:rsidR="004024F0" w:rsidRPr="004024F0">
        <w:rPr>
          <w:rFonts w:asciiTheme="minorHAnsi" w:hAnsiTheme="minorHAnsi" w:cstheme="minorHAnsi"/>
          <w:i/>
          <w:sz w:val="24"/>
        </w:rPr>
        <w:t>egii na rzecz  Odpowiedzialnego</w:t>
      </w:r>
      <w:r w:rsidRPr="004024F0">
        <w:rPr>
          <w:rFonts w:asciiTheme="minorHAnsi" w:hAnsiTheme="minorHAnsi" w:cstheme="minorHAnsi"/>
          <w:i/>
          <w:sz w:val="24"/>
        </w:rPr>
        <w:t xml:space="preserve"> Rozwoju” przemysł  farm</w:t>
      </w:r>
      <w:r w:rsidR="004024F0" w:rsidRPr="004024F0">
        <w:rPr>
          <w:rFonts w:asciiTheme="minorHAnsi" w:hAnsiTheme="minorHAnsi" w:cstheme="minorHAnsi"/>
          <w:i/>
          <w:sz w:val="24"/>
        </w:rPr>
        <w:t>aceutyczny wymieniany jest jako jeden z</w:t>
      </w:r>
      <w:r w:rsidRPr="004024F0">
        <w:rPr>
          <w:rFonts w:asciiTheme="minorHAnsi" w:hAnsiTheme="minorHAnsi" w:cstheme="minorHAnsi"/>
          <w:i/>
          <w:sz w:val="24"/>
        </w:rPr>
        <w:t xml:space="preserve"> ważnych  czynników  w  tworzeniu  innowacyjnych technologii</w:t>
      </w:r>
      <w:r w:rsidRPr="004024F0">
        <w:rPr>
          <w:rFonts w:asciiTheme="minorHAnsi" w:hAnsiTheme="minorHAnsi" w:cstheme="minorHAnsi"/>
          <w:sz w:val="24"/>
        </w:rPr>
        <w:t xml:space="preserve"> </w:t>
      </w:r>
      <w:r w:rsidR="004024F0" w:rsidRPr="004024F0">
        <w:rPr>
          <w:rFonts w:asciiTheme="minorHAnsi" w:hAnsiTheme="minorHAnsi" w:cstheme="minorHAnsi"/>
          <w:sz w:val="24"/>
        </w:rPr>
        <w:t>–</w:t>
      </w:r>
      <w:r w:rsidRPr="004024F0">
        <w:rPr>
          <w:rFonts w:asciiTheme="minorHAnsi" w:hAnsiTheme="minorHAnsi" w:cstheme="minorHAnsi"/>
          <w:sz w:val="24"/>
        </w:rPr>
        <w:t xml:space="preserve"> </w:t>
      </w:r>
      <w:r w:rsidR="004024F0" w:rsidRPr="004024F0">
        <w:rPr>
          <w:rFonts w:asciiTheme="minorHAnsi" w:hAnsiTheme="minorHAnsi" w:cstheme="minorHAnsi"/>
          <w:sz w:val="24"/>
        </w:rPr>
        <w:t>podkreśla</w:t>
      </w:r>
      <w:r w:rsidRPr="004024F0">
        <w:rPr>
          <w:rFonts w:asciiTheme="minorHAnsi" w:hAnsiTheme="minorHAnsi" w:cstheme="minorHAnsi"/>
          <w:sz w:val="24"/>
        </w:rPr>
        <w:t xml:space="preserve"> prof. Opolski</w:t>
      </w:r>
      <w:r w:rsidR="004024F0" w:rsidRPr="004024F0">
        <w:rPr>
          <w:rFonts w:asciiTheme="minorHAnsi" w:hAnsiTheme="minorHAnsi" w:cstheme="minorHAnsi"/>
          <w:sz w:val="24"/>
        </w:rPr>
        <w:t xml:space="preserve"> w</w:t>
      </w:r>
      <w:r w:rsidR="00EF4B9F">
        <w:rPr>
          <w:rFonts w:asciiTheme="minorHAnsi" w:hAnsiTheme="minorHAnsi" w:cstheme="minorHAnsi"/>
          <w:sz w:val="24"/>
        </w:rPr>
        <w:t> </w:t>
      </w:r>
      <w:r w:rsidR="004024F0" w:rsidRPr="004024F0">
        <w:rPr>
          <w:rFonts w:asciiTheme="minorHAnsi" w:hAnsiTheme="minorHAnsi" w:cstheme="minorHAnsi"/>
          <w:sz w:val="24"/>
        </w:rPr>
        <w:t>recenzji do raportu</w:t>
      </w:r>
      <w:r w:rsidRPr="004024F0">
        <w:rPr>
          <w:rFonts w:asciiTheme="minorHAnsi" w:hAnsiTheme="minorHAnsi" w:cstheme="minorHAnsi"/>
          <w:sz w:val="24"/>
        </w:rPr>
        <w:t>.</w:t>
      </w:r>
    </w:p>
    <w:p w14:paraId="60A08685" w14:textId="020B58D0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 w:rsidRPr="004024F0">
        <w:rPr>
          <w:rFonts w:asciiTheme="minorHAnsi" w:hAnsiTheme="minorHAnsi" w:cstheme="minorHAnsi"/>
          <w:b/>
          <w:sz w:val="24"/>
        </w:rPr>
        <w:t>Wartość dodana w gospodarce wytworzona przez innowacyjne firmy farmaceutyczne</w:t>
      </w:r>
    </w:p>
    <w:p w14:paraId="66436F00" w14:textId="55BB8C0F" w:rsidR="004024F0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Innowacyjny przemysł farmaceutyczny wygenerował dochód w gospodarce w wysokości 2,52 mld PLN. Jak wynika z danych zawartych w raporcie „Wpływ na gospodarkę i potencjał rozwoju branży innowacyjnych firm farmaceutycznych w Polsce” działalność prowadzona przez badane firmy na</w:t>
      </w:r>
      <w:r w:rsidR="00826CD8">
        <w:rPr>
          <w:rFonts w:asciiTheme="minorHAnsi" w:hAnsiTheme="minorHAnsi" w:cstheme="minorHAnsi"/>
          <w:sz w:val="24"/>
        </w:rPr>
        <w:t> </w:t>
      </w:r>
      <w:r w:rsidRPr="004024F0">
        <w:rPr>
          <w:rFonts w:asciiTheme="minorHAnsi" w:hAnsiTheme="minorHAnsi" w:cstheme="minorHAnsi"/>
          <w:sz w:val="24"/>
        </w:rPr>
        <w:t>terenie Polski w 2015 roku przyczyniła się do wytworzenia w sumie  5,05  mld  PLN wartości dodanej brutto, co odpowiada 0,28% PKB całej gospodarki. Przy założeniu, że oddziaływanie wszystkich  28</w:t>
      </w:r>
      <w:r w:rsidR="00826CD8">
        <w:rPr>
          <w:rFonts w:asciiTheme="minorHAnsi" w:hAnsiTheme="minorHAnsi" w:cstheme="minorHAnsi"/>
          <w:sz w:val="24"/>
        </w:rPr>
        <w:t> </w:t>
      </w:r>
      <w:r w:rsidRPr="004024F0">
        <w:rPr>
          <w:rFonts w:asciiTheme="minorHAnsi" w:hAnsiTheme="minorHAnsi" w:cstheme="minorHAnsi"/>
          <w:sz w:val="24"/>
        </w:rPr>
        <w:t>firm  członkowskich  INFARMY  kształtuje  się na  poziomie  zbliżonym  do  firm  badanych, szacuje się, że</w:t>
      </w:r>
      <w:r w:rsidR="004024F0" w:rsidRPr="004024F0">
        <w:rPr>
          <w:rFonts w:asciiTheme="minorHAnsi" w:hAnsiTheme="minorHAnsi" w:cstheme="minorHAnsi"/>
          <w:sz w:val="24"/>
        </w:rPr>
        <w:t xml:space="preserve"> łączny ich wpływ na gospodarkę mógł wynieść około 6,76 mld PLN (0,37% PKB). </w:t>
      </w:r>
    </w:p>
    <w:p w14:paraId="4D5056AB" w14:textId="73D5B52E" w:rsidR="00C15415" w:rsidRPr="004024F0" w:rsidRDefault="004024F0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W</w:t>
      </w:r>
      <w:r w:rsidR="008779CA" w:rsidRPr="004024F0">
        <w:rPr>
          <w:rFonts w:asciiTheme="minorHAnsi" w:hAnsiTheme="minorHAnsi" w:cstheme="minorHAnsi"/>
          <w:sz w:val="24"/>
        </w:rPr>
        <w:t xml:space="preserve">zrost wartości dodanej dzięki branży innowacyjnej nastąpił również w innych branżach, </w:t>
      </w:r>
      <w:r w:rsidR="00E90E13" w:rsidRPr="004024F0">
        <w:rPr>
          <w:rFonts w:asciiTheme="minorHAnsi" w:hAnsiTheme="minorHAnsi" w:cstheme="minorHAnsi"/>
          <w:sz w:val="24"/>
        </w:rPr>
        <w:br/>
      </w:r>
      <w:r w:rsidR="00C15415" w:rsidRPr="004024F0">
        <w:rPr>
          <w:rFonts w:asciiTheme="minorHAnsi" w:hAnsiTheme="minorHAnsi" w:cstheme="minorHAnsi"/>
          <w:sz w:val="24"/>
        </w:rPr>
        <w:t xml:space="preserve">w </w:t>
      </w:r>
      <w:r w:rsidR="008779CA" w:rsidRPr="004024F0">
        <w:rPr>
          <w:rFonts w:asciiTheme="minorHAnsi" w:hAnsiTheme="minorHAnsi" w:cstheme="minorHAnsi"/>
          <w:sz w:val="24"/>
        </w:rPr>
        <w:t xml:space="preserve">szczególności dotyczy on usług reklamowych, badawczo-rozwojowych (B+R), finansowych, ubezpieczeniowych oraz handlu i nieruchomości. Każdy z tych sektorów wytworzył w 2015 roku  </w:t>
      </w:r>
      <w:r w:rsidR="008779CA" w:rsidRPr="004024F0">
        <w:rPr>
          <w:rFonts w:asciiTheme="minorHAnsi" w:hAnsiTheme="minorHAnsi" w:cstheme="minorHAnsi"/>
          <w:sz w:val="24"/>
        </w:rPr>
        <w:lastRenderedPageBreak/>
        <w:t>wartość  dodaną w wysokości ponad 300 mln zł. Natomiast każda złotówka wytworzona przez badane firmy wygenerowała dodatkowe 1,97 PLN wartości dodanej w gospodarce, co wynika z</w:t>
      </w:r>
      <w:r w:rsidR="00EF4B9F">
        <w:rPr>
          <w:rFonts w:asciiTheme="minorHAnsi" w:hAnsiTheme="minorHAnsi" w:cstheme="minorHAnsi"/>
          <w:sz w:val="24"/>
        </w:rPr>
        <w:t> </w:t>
      </w:r>
      <w:r w:rsidR="008779CA" w:rsidRPr="004024F0">
        <w:rPr>
          <w:rFonts w:asciiTheme="minorHAnsi" w:hAnsiTheme="minorHAnsi" w:cstheme="minorHAnsi"/>
          <w:sz w:val="24"/>
        </w:rPr>
        <w:t>wartości towarów i usług zamawianych przez innowacyjne firmy farmaceutyczne w podmiotach należących do innych gałęzi gospodarki.</w:t>
      </w:r>
    </w:p>
    <w:p w14:paraId="1E19C30D" w14:textId="705488BC" w:rsidR="00C15415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Przemysł farmaceutyczny ma również wpływ na zatrudnienie</w:t>
      </w:r>
      <w:r w:rsidRPr="004024F0" w:rsidDel="00882BBD">
        <w:rPr>
          <w:rFonts w:asciiTheme="minorHAnsi" w:hAnsiTheme="minorHAnsi" w:cstheme="minorHAnsi"/>
          <w:sz w:val="24"/>
        </w:rPr>
        <w:t xml:space="preserve"> </w:t>
      </w:r>
      <w:r w:rsidRPr="004024F0">
        <w:rPr>
          <w:rFonts w:asciiTheme="minorHAnsi" w:hAnsiTheme="minorHAnsi" w:cstheme="minorHAnsi"/>
          <w:sz w:val="24"/>
        </w:rPr>
        <w:t xml:space="preserve"> w Polsce. Badane firmy przyczyniły do</w:t>
      </w:r>
      <w:r w:rsidR="00826CD8">
        <w:rPr>
          <w:rFonts w:asciiTheme="minorHAnsi" w:hAnsiTheme="minorHAnsi" w:cstheme="minorHAnsi"/>
          <w:sz w:val="24"/>
        </w:rPr>
        <w:t> </w:t>
      </w:r>
      <w:r w:rsidRPr="004024F0">
        <w:rPr>
          <w:rFonts w:asciiTheme="minorHAnsi" w:hAnsiTheme="minorHAnsi" w:cstheme="minorHAnsi"/>
          <w:sz w:val="24"/>
        </w:rPr>
        <w:t>zatrudnienia 28,3 tys. pracowników w różnych branżach. Autorzy raportu szacują, że każdemu  pracownikowi  badanych  firm odpowiada dodatkowe 3,5 etatu w gospodarce, co stanowi sumę efektów pośredniego i indukowanego.</w:t>
      </w:r>
    </w:p>
    <w:p w14:paraId="48F57545" w14:textId="77777777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 w:rsidRPr="004024F0">
        <w:rPr>
          <w:rFonts w:asciiTheme="minorHAnsi" w:hAnsiTheme="minorHAnsi" w:cstheme="minorHAnsi"/>
          <w:b/>
          <w:sz w:val="24"/>
        </w:rPr>
        <w:t>Wpływy do budżetu z tytułu realizacji badań klinicznych</w:t>
      </w:r>
    </w:p>
    <w:p w14:paraId="3039049B" w14:textId="77777777" w:rsidR="004024F0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Innym obszarem generującym niewątpliwe zyski dla polskiej gospodarki są badania kliniczne</w:t>
      </w:r>
      <w:r w:rsidR="004024F0" w:rsidRPr="004024F0">
        <w:rPr>
          <w:rFonts w:asciiTheme="minorHAnsi" w:hAnsiTheme="minorHAnsi" w:cstheme="minorHAnsi"/>
          <w:sz w:val="24"/>
        </w:rPr>
        <w:t>,</w:t>
      </w:r>
      <w:r w:rsidRPr="004024F0">
        <w:rPr>
          <w:rFonts w:asciiTheme="minorHAnsi" w:hAnsiTheme="minorHAnsi" w:cstheme="minorHAnsi"/>
          <w:sz w:val="24"/>
        </w:rPr>
        <w:t xml:space="preserve"> </w:t>
      </w:r>
      <w:r w:rsidRPr="004024F0">
        <w:rPr>
          <w:rFonts w:asciiTheme="minorHAnsi" w:hAnsiTheme="minorHAnsi" w:cstheme="minorHAnsi"/>
          <w:sz w:val="24"/>
        </w:rPr>
        <w:br/>
        <w:t>finansowane przez innowacyjne przedsiębiorstwa farmaceutyczne. Korzyści wynikające z realizacji tego rodzaju badań dotyczą n</w:t>
      </w:r>
      <w:r w:rsidR="004024F0" w:rsidRPr="004024F0">
        <w:rPr>
          <w:rFonts w:asciiTheme="minorHAnsi" w:hAnsiTheme="minorHAnsi" w:cstheme="minorHAnsi"/>
          <w:sz w:val="24"/>
        </w:rPr>
        <w:t>ie tylko pacjentów, ale również</w:t>
      </w:r>
      <w:r w:rsidRPr="004024F0">
        <w:rPr>
          <w:rFonts w:asciiTheme="minorHAnsi" w:hAnsiTheme="minorHAnsi" w:cstheme="minorHAnsi"/>
          <w:sz w:val="24"/>
        </w:rPr>
        <w:t xml:space="preserve"> badaczy i placówek, w których są one realizowane. </w:t>
      </w:r>
    </w:p>
    <w:p w14:paraId="21854FB9" w14:textId="2080FE35" w:rsidR="004024F0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Prowadzenie badań klinicznych wpływa też na budowę wizerunku kraju na arenie międzynarodowej, a także generuje niebagatelne wpływy do budżetu państwa. Obecnie łączne wpływy  dla budżetu  państwa z  tytułu realizacji  badań  klinicznych  w  Polsce wynoszą około 1</w:t>
      </w:r>
      <w:r w:rsidR="00EF4B9F">
        <w:rPr>
          <w:rFonts w:asciiTheme="minorHAnsi" w:hAnsiTheme="minorHAnsi" w:cstheme="minorHAnsi"/>
          <w:sz w:val="24"/>
        </w:rPr>
        <w:t> </w:t>
      </w:r>
      <w:r w:rsidRPr="004024F0">
        <w:rPr>
          <w:rFonts w:asciiTheme="minorHAnsi" w:hAnsiTheme="minorHAnsi" w:cstheme="minorHAnsi"/>
          <w:sz w:val="24"/>
        </w:rPr>
        <w:t>miliarda PLN w skali roku. Są one efektem podatków oraz opłat wnoszonych bezpośrednio przez podmioty realizujące badania kliniczne, lub  wynikają pośrednio, z  podatków  płaconych przez podmioty współpracujące.</w:t>
      </w:r>
      <w:r w:rsidR="00E90E13" w:rsidRPr="004024F0">
        <w:rPr>
          <w:rFonts w:asciiTheme="minorHAnsi" w:hAnsiTheme="minorHAnsi" w:cstheme="minorHAnsi"/>
          <w:sz w:val="24"/>
        </w:rPr>
        <w:t xml:space="preserve"> </w:t>
      </w:r>
    </w:p>
    <w:p w14:paraId="2E74275A" w14:textId="698B5694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 xml:space="preserve">Warto również podkreślić, że koszty  leczenia  pacjenta  włączonego  do  badania klinicznego  ponoszone </w:t>
      </w:r>
      <w:r w:rsidR="00E90E13" w:rsidRPr="004024F0">
        <w:rPr>
          <w:rFonts w:asciiTheme="minorHAnsi" w:hAnsiTheme="minorHAnsi" w:cstheme="minorHAnsi"/>
          <w:sz w:val="24"/>
        </w:rPr>
        <w:t xml:space="preserve"> są  przez  sponsora  badania, </w:t>
      </w:r>
      <w:r w:rsidRPr="004024F0">
        <w:rPr>
          <w:rFonts w:asciiTheme="minorHAnsi" w:hAnsiTheme="minorHAnsi" w:cstheme="minorHAnsi"/>
          <w:sz w:val="24"/>
        </w:rPr>
        <w:t>czyli firmę farmaceutyczną, co oznacza, że pacjent nie generuje kosztów po stronie płatnika publicznego, czyli NFZ.</w:t>
      </w:r>
    </w:p>
    <w:p w14:paraId="391673C0" w14:textId="77777777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 w:rsidRPr="004024F0">
        <w:rPr>
          <w:rFonts w:asciiTheme="minorHAnsi" w:hAnsiTheme="minorHAnsi" w:cstheme="minorHAnsi"/>
          <w:b/>
          <w:sz w:val="24"/>
        </w:rPr>
        <w:t>Czynniki zwiększające zaangażowanie innowacyjnych firm  w rozwój polskiej gospodarki</w:t>
      </w:r>
    </w:p>
    <w:p w14:paraId="2D634E3D" w14:textId="0D14EEED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Eksperci ekonomiczni nie mają wątpliwości, że innowacyjne  firmy  farmaceutyczne  wnoszą  istotny wkład w rozwój polskiej gospodarki. Jednak na wzrost ich zaangażowania w inwestycje Polsce wpływa szereg aspektów zarówno natury e</w:t>
      </w:r>
      <w:r w:rsidR="004024F0" w:rsidRPr="004024F0">
        <w:rPr>
          <w:rFonts w:asciiTheme="minorHAnsi" w:hAnsiTheme="minorHAnsi" w:cstheme="minorHAnsi"/>
          <w:sz w:val="24"/>
        </w:rPr>
        <w:t>konomicznej, jak i legislacyjnej</w:t>
      </w:r>
      <w:r w:rsidRPr="004024F0">
        <w:rPr>
          <w:rFonts w:asciiTheme="minorHAnsi" w:hAnsiTheme="minorHAnsi" w:cstheme="minorHAnsi"/>
          <w:sz w:val="24"/>
        </w:rPr>
        <w:t>. Międzynarodowe, innowacyjne firmy farmaceutyczne</w:t>
      </w:r>
      <w:r w:rsidRPr="004024F0" w:rsidDel="00E30B22">
        <w:rPr>
          <w:rFonts w:asciiTheme="minorHAnsi" w:hAnsiTheme="minorHAnsi" w:cstheme="minorHAnsi"/>
          <w:sz w:val="24"/>
        </w:rPr>
        <w:t xml:space="preserve"> </w:t>
      </w:r>
      <w:r w:rsidRPr="004024F0">
        <w:rPr>
          <w:rFonts w:asciiTheme="minorHAnsi" w:hAnsiTheme="minorHAnsi" w:cstheme="minorHAnsi"/>
          <w:sz w:val="24"/>
        </w:rPr>
        <w:t>do inwestycji w Polsce</w:t>
      </w:r>
      <w:r w:rsidR="00E90E13" w:rsidRPr="004024F0">
        <w:rPr>
          <w:rFonts w:asciiTheme="minorHAnsi" w:hAnsiTheme="minorHAnsi" w:cstheme="minorHAnsi"/>
          <w:sz w:val="24"/>
        </w:rPr>
        <w:t xml:space="preserve"> mogłaby skłonić</w:t>
      </w:r>
      <w:r w:rsidRPr="004024F0">
        <w:rPr>
          <w:rFonts w:asciiTheme="minorHAnsi" w:hAnsiTheme="minorHAnsi" w:cstheme="minorHAnsi"/>
          <w:sz w:val="24"/>
        </w:rPr>
        <w:t xml:space="preserve">, przede wszystkim długoterminowa stabilizacja prawa oraz przejrzyste i sprawiedliwe powiązanie poziomu refundacji leków innowacyjnych z inwestycjami w polską gospodarkę. Istotne są również regulacje podatkowe, stymulujące inwestycje zagraniczne oraz podniesienie poziomu refundacji leków innowacyjnych, przynajmniej do poziomu obserwowanego w innych unijnych krajach Europy Środkowej. </w:t>
      </w:r>
    </w:p>
    <w:p w14:paraId="55BD4A8F" w14:textId="7984928C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 xml:space="preserve">- </w:t>
      </w:r>
      <w:r w:rsidRPr="004024F0">
        <w:rPr>
          <w:rFonts w:asciiTheme="minorHAnsi" w:hAnsiTheme="minorHAnsi" w:cstheme="minorHAnsi"/>
          <w:i/>
          <w:sz w:val="24"/>
        </w:rPr>
        <w:t xml:space="preserve">Firmy farmaceutyczne działające w Polsce i zrzeszone w INFARMIE, od lat angażują nie tylko swoje środki finansowe, ale też wiedzę i doświadczenie, inwestując w krajowy rynek, a tym samym wpływając na poprawę dobrobytu społecznego i zdrowia publicznego. Uwzględnienie przez Rząd przemysłu farmaceutycznego w strategii rozwoju gospodarczego Polski i uczynienie z niego jednego z motorów postępu, daje nadzieję na podjęcie prac nad stworzeniem sprzyjających </w:t>
      </w:r>
      <w:r w:rsidRPr="004024F0">
        <w:rPr>
          <w:rFonts w:asciiTheme="minorHAnsi" w:hAnsiTheme="minorHAnsi" w:cstheme="minorHAnsi"/>
          <w:i/>
          <w:sz w:val="24"/>
        </w:rPr>
        <w:lastRenderedPageBreak/>
        <w:t>warunków do</w:t>
      </w:r>
      <w:r w:rsidR="00826CD8">
        <w:rPr>
          <w:rFonts w:asciiTheme="minorHAnsi" w:hAnsiTheme="minorHAnsi" w:cstheme="minorHAnsi"/>
          <w:i/>
          <w:sz w:val="24"/>
        </w:rPr>
        <w:t> </w:t>
      </w:r>
      <w:r w:rsidRPr="004024F0">
        <w:rPr>
          <w:rFonts w:asciiTheme="minorHAnsi" w:hAnsiTheme="minorHAnsi" w:cstheme="minorHAnsi"/>
          <w:i/>
          <w:sz w:val="24"/>
        </w:rPr>
        <w:t xml:space="preserve">rozwoju działalności w tym sektorze – </w:t>
      </w:r>
      <w:r w:rsidRPr="004024F0">
        <w:rPr>
          <w:rFonts w:asciiTheme="minorHAnsi" w:hAnsiTheme="minorHAnsi" w:cstheme="minorHAnsi"/>
          <w:sz w:val="24"/>
        </w:rPr>
        <w:t>uważa Bogna Cichowska-Duma, dyrektor generalny Związku Pracodawców Innowacyjnych Firm Farmaceutycznych INFARMA.</w:t>
      </w:r>
    </w:p>
    <w:p w14:paraId="59E225F7" w14:textId="6D1FCCD7" w:rsidR="008779CA" w:rsidRPr="004024F0" w:rsidRDefault="008779CA" w:rsidP="004024F0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>Podobnego zdania są także inni eksperci, którzy podkreślają znaczącą rolę firm innowacyjnych jako partnera polskiej gospodarki, wskazując jednocześnie, że los dalszych inwestycji i rozwój branży zależy od wdrożenia odpowiednich narzędzi i zachęt sprzyjających do większej alokacji środków na</w:t>
      </w:r>
      <w:r w:rsidR="00EF4B9F">
        <w:rPr>
          <w:rFonts w:asciiTheme="minorHAnsi" w:hAnsiTheme="minorHAnsi" w:cstheme="minorHAnsi"/>
          <w:sz w:val="24"/>
        </w:rPr>
        <w:t> </w:t>
      </w:r>
      <w:r w:rsidRPr="004024F0">
        <w:rPr>
          <w:rFonts w:asciiTheme="minorHAnsi" w:hAnsiTheme="minorHAnsi" w:cstheme="minorHAnsi"/>
          <w:sz w:val="24"/>
        </w:rPr>
        <w:t>polskim rynku.</w:t>
      </w:r>
    </w:p>
    <w:p w14:paraId="379D0904" w14:textId="77777777" w:rsidR="00C15415" w:rsidRPr="004024F0" w:rsidRDefault="00C15415" w:rsidP="008779CA">
      <w:pPr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1E87E7D0" w14:textId="4B5F82E9" w:rsidR="00E90E13" w:rsidRDefault="008779CA" w:rsidP="008779CA">
      <w:pPr>
        <w:spacing w:line="276" w:lineRule="auto"/>
        <w:rPr>
          <w:rFonts w:asciiTheme="minorHAnsi" w:hAnsiTheme="minorHAnsi" w:cstheme="minorHAnsi"/>
          <w:sz w:val="24"/>
          <w:u w:val="single"/>
        </w:rPr>
      </w:pPr>
      <w:r w:rsidRPr="004024F0">
        <w:rPr>
          <w:rFonts w:asciiTheme="minorHAnsi" w:hAnsiTheme="minorHAnsi" w:cstheme="minorHAnsi"/>
          <w:sz w:val="24"/>
          <w:u w:val="single"/>
        </w:rPr>
        <w:t>Więcej informacji:</w:t>
      </w:r>
    </w:p>
    <w:p w14:paraId="2A2E1124" w14:textId="77777777" w:rsidR="00EF4B9F" w:rsidRPr="004024F0" w:rsidRDefault="00EF4B9F" w:rsidP="008779CA">
      <w:pPr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3CFDCACB" w14:textId="77777777" w:rsidR="008779CA" w:rsidRPr="004024F0" w:rsidRDefault="008779CA" w:rsidP="008779CA">
      <w:pPr>
        <w:spacing w:line="276" w:lineRule="auto"/>
        <w:rPr>
          <w:rFonts w:asciiTheme="minorHAnsi" w:eastAsiaTheme="minorHAnsi" w:hAnsiTheme="minorHAnsi" w:cstheme="minorHAnsi"/>
          <w:sz w:val="24"/>
        </w:rPr>
      </w:pPr>
      <w:r w:rsidRPr="004024F0">
        <w:rPr>
          <w:rFonts w:asciiTheme="minorHAnsi" w:hAnsiTheme="minorHAnsi" w:cstheme="minorHAnsi"/>
          <w:sz w:val="24"/>
        </w:rPr>
        <w:t xml:space="preserve">Marta Winiarska, </w:t>
      </w:r>
      <w:r w:rsidRPr="004024F0">
        <w:rPr>
          <w:rFonts w:asciiTheme="minorHAnsi" w:eastAsiaTheme="minorEastAsia" w:hAnsiTheme="minorHAnsi" w:cstheme="minorHAnsi"/>
          <w:noProof/>
          <w:sz w:val="24"/>
        </w:rPr>
        <w:t xml:space="preserve"> </w:t>
      </w:r>
      <w:r w:rsidRPr="004024F0">
        <w:rPr>
          <w:rFonts w:asciiTheme="minorHAnsi" w:eastAsiaTheme="minorEastAsia" w:hAnsiTheme="minorHAnsi" w:cstheme="minorHAnsi"/>
          <w:bCs/>
          <w:noProof/>
          <w:sz w:val="24"/>
        </w:rPr>
        <w:t>Związek Pracodawców Innowacyjnych Firm Farmaceutycznych</w:t>
      </w:r>
      <w:r w:rsidRPr="004024F0">
        <w:rPr>
          <w:rFonts w:asciiTheme="minorHAnsi" w:eastAsiaTheme="minorEastAsia" w:hAnsiTheme="minorHAnsi" w:cstheme="minorHAnsi"/>
          <w:noProof/>
          <w:sz w:val="24"/>
        </w:rPr>
        <w:t xml:space="preserve"> INFARMA</w:t>
      </w:r>
    </w:p>
    <w:p w14:paraId="5F400F6F" w14:textId="449AF647" w:rsidR="00C15415" w:rsidRPr="004024F0" w:rsidRDefault="008779CA" w:rsidP="008779CA">
      <w:pPr>
        <w:spacing w:line="276" w:lineRule="auto"/>
        <w:rPr>
          <w:rFonts w:asciiTheme="minorHAnsi" w:eastAsiaTheme="minorEastAsia" w:hAnsiTheme="minorHAnsi" w:cstheme="minorHAnsi"/>
          <w:bCs/>
          <w:noProof/>
          <w:sz w:val="24"/>
        </w:rPr>
      </w:pPr>
      <w:r w:rsidRPr="004024F0">
        <w:rPr>
          <w:rFonts w:asciiTheme="minorHAnsi" w:eastAsiaTheme="minorEastAsia" w:hAnsiTheme="minorHAnsi" w:cstheme="minorHAnsi"/>
          <w:bCs/>
          <w:noProof/>
          <w:sz w:val="24"/>
        </w:rPr>
        <w:t xml:space="preserve">kom: +48 609 023 260; </w:t>
      </w:r>
      <w:hyperlink r:id="rId8" w:history="1">
        <w:r w:rsidRPr="004024F0">
          <w:rPr>
            <w:rStyle w:val="Hipercze"/>
            <w:rFonts w:asciiTheme="minorHAnsi" w:eastAsiaTheme="minorEastAsia" w:hAnsiTheme="minorHAnsi" w:cstheme="minorHAnsi"/>
            <w:noProof/>
            <w:sz w:val="24"/>
          </w:rPr>
          <w:t>marta.winiarska@infarma.pl</w:t>
        </w:r>
      </w:hyperlink>
      <w:r w:rsidRPr="004024F0">
        <w:rPr>
          <w:rFonts w:asciiTheme="minorHAnsi" w:eastAsiaTheme="minorEastAsia" w:hAnsiTheme="minorHAnsi" w:cstheme="minorHAnsi"/>
          <w:bCs/>
          <w:noProof/>
          <w:sz w:val="24"/>
        </w:rPr>
        <w:t xml:space="preserve"> </w:t>
      </w:r>
    </w:p>
    <w:p w14:paraId="4F437E0C" w14:textId="77777777" w:rsidR="008779CA" w:rsidRPr="004024F0" w:rsidRDefault="008779CA" w:rsidP="008779CA">
      <w:pPr>
        <w:spacing w:line="276" w:lineRule="auto"/>
        <w:rPr>
          <w:rFonts w:asciiTheme="minorHAnsi" w:eastAsiaTheme="minorEastAsia" w:hAnsiTheme="minorHAnsi" w:cstheme="minorHAnsi"/>
          <w:bCs/>
          <w:noProof/>
          <w:sz w:val="24"/>
        </w:rPr>
      </w:pPr>
      <w:r w:rsidRPr="004024F0">
        <w:rPr>
          <w:rFonts w:asciiTheme="minorHAnsi" w:eastAsiaTheme="minorEastAsia" w:hAnsiTheme="minorHAnsi" w:cstheme="minorHAnsi"/>
          <w:bCs/>
          <w:noProof/>
          <w:sz w:val="24"/>
        </w:rPr>
        <w:t>Marzena Jaworska, ExpertPR Consultancy</w:t>
      </w:r>
    </w:p>
    <w:p w14:paraId="6B477483" w14:textId="77777777" w:rsidR="008779CA" w:rsidRPr="004024F0" w:rsidRDefault="008779CA" w:rsidP="008779CA">
      <w:pPr>
        <w:spacing w:line="276" w:lineRule="auto"/>
        <w:rPr>
          <w:rFonts w:asciiTheme="minorHAnsi" w:eastAsiaTheme="minorEastAsia" w:hAnsiTheme="minorHAnsi" w:cstheme="minorHAnsi"/>
          <w:bCs/>
          <w:noProof/>
          <w:sz w:val="24"/>
        </w:rPr>
      </w:pPr>
      <w:r w:rsidRPr="004024F0">
        <w:rPr>
          <w:rFonts w:asciiTheme="minorHAnsi" w:eastAsiaTheme="minorEastAsia" w:hAnsiTheme="minorHAnsi" w:cstheme="minorHAnsi"/>
          <w:bCs/>
          <w:noProof/>
          <w:sz w:val="24"/>
        </w:rPr>
        <w:t xml:space="preserve">kom: + 48 607 404 138; </w:t>
      </w:r>
      <w:hyperlink r:id="rId9" w:history="1">
        <w:r w:rsidRPr="004024F0">
          <w:rPr>
            <w:rStyle w:val="Hipercze"/>
            <w:rFonts w:asciiTheme="minorHAnsi" w:eastAsiaTheme="minorEastAsia" w:hAnsiTheme="minorHAnsi" w:cstheme="minorHAnsi"/>
            <w:bCs/>
            <w:noProof/>
            <w:sz w:val="24"/>
          </w:rPr>
          <w:t>marzena.jaworska@expertpr.pl</w:t>
        </w:r>
      </w:hyperlink>
      <w:r w:rsidRPr="004024F0">
        <w:rPr>
          <w:rFonts w:asciiTheme="minorHAnsi" w:eastAsiaTheme="minorEastAsia" w:hAnsiTheme="minorHAnsi" w:cstheme="minorHAnsi"/>
          <w:bCs/>
          <w:noProof/>
          <w:sz w:val="24"/>
        </w:rPr>
        <w:t xml:space="preserve"> </w:t>
      </w:r>
    </w:p>
    <w:p w14:paraId="7DB97506" w14:textId="77777777" w:rsidR="008779CA" w:rsidRPr="004024F0" w:rsidRDefault="008779CA" w:rsidP="008779CA">
      <w:pPr>
        <w:tabs>
          <w:tab w:val="left" w:pos="1680"/>
          <w:tab w:val="right" w:pos="9072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</w:p>
    <w:sectPr w:rsidR="008779CA" w:rsidRPr="004024F0" w:rsidSect="00EF4B9F">
      <w:headerReference w:type="default" r:id="rId10"/>
      <w:pgSz w:w="11906" w:h="16838"/>
      <w:pgMar w:top="1843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E46A" w14:textId="77777777" w:rsidR="00D85E35" w:rsidRDefault="00D85E35">
      <w:r>
        <w:separator/>
      </w:r>
    </w:p>
  </w:endnote>
  <w:endnote w:type="continuationSeparator" w:id="0">
    <w:p w14:paraId="254FFEAD" w14:textId="77777777" w:rsidR="00D85E35" w:rsidRDefault="00D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4D1F3" w14:textId="77777777" w:rsidR="00D85E35" w:rsidRDefault="00D85E35">
      <w:r>
        <w:separator/>
      </w:r>
    </w:p>
  </w:footnote>
  <w:footnote w:type="continuationSeparator" w:id="0">
    <w:p w14:paraId="583F05B7" w14:textId="77777777" w:rsidR="00D85E35" w:rsidRDefault="00D8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7449C" w14:textId="77777777" w:rsidR="002B0AA3" w:rsidRDefault="000B16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63B14D1" wp14:editId="739A47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19050" t="0" r="0" b="0"/>
          <wp:wrapNone/>
          <wp:docPr id="5" name="Obraz 5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F5C13"/>
    <w:multiLevelType w:val="hybridMultilevel"/>
    <w:tmpl w:val="039AA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2C"/>
    <w:rsid w:val="00005D3F"/>
    <w:rsid w:val="000121AD"/>
    <w:rsid w:val="00023CFC"/>
    <w:rsid w:val="000306BA"/>
    <w:rsid w:val="000B16BE"/>
    <w:rsid w:val="000B5BEC"/>
    <w:rsid w:val="000B77B7"/>
    <w:rsid w:val="000D15FB"/>
    <w:rsid w:val="000D3705"/>
    <w:rsid w:val="000E7503"/>
    <w:rsid w:val="000F6A1B"/>
    <w:rsid w:val="00116D20"/>
    <w:rsid w:val="00130875"/>
    <w:rsid w:val="001326AB"/>
    <w:rsid w:val="00150530"/>
    <w:rsid w:val="001964D7"/>
    <w:rsid w:val="001A3E48"/>
    <w:rsid w:val="001A6C04"/>
    <w:rsid w:val="00213B0E"/>
    <w:rsid w:val="00214252"/>
    <w:rsid w:val="00215AB6"/>
    <w:rsid w:val="002208EB"/>
    <w:rsid w:val="002A03EF"/>
    <w:rsid w:val="002B0AA3"/>
    <w:rsid w:val="00315465"/>
    <w:rsid w:val="00323849"/>
    <w:rsid w:val="003444CE"/>
    <w:rsid w:val="00356966"/>
    <w:rsid w:val="0036205F"/>
    <w:rsid w:val="003730F1"/>
    <w:rsid w:val="00392A24"/>
    <w:rsid w:val="00397F42"/>
    <w:rsid w:val="003C2C78"/>
    <w:rsid w:val="003D5504"/>
    <w:rsid w:val="003D7A41"/>
    <w:rsid w:val="004024F0"/>
    <w:rsid w:val="004259E8"/>
    <w:rsid w:val="0043780F"/>
    <w:rsid w:val="0047003A"/>
    <w:rsid w:val="00473325"/>
    <w:rsid w:val="004744C3"/>
    <w:rsid w:val="00492813"/>
    <w:rsid w:val="004D54D9"/>
    <w:rsid w:val="005025F4"/>
    <w:rsid w:val="00543136"/>
    <w:rsid w:val="005844FB"/>
    <w:rsid w:val="005957D3"/>
    <w:rsid w:val="005E0ED7"/>
    <w:rsid w:val="005F3401"/>
    <w:rsid w:val="00630880"/>
    <w:rsid w:val="006745CB"/>
    <w:rsid w:val="006979FF"/>
    <w:rsid w:val="006E2089"/>
    <w:rsid w:val="006F0873"/>
    <w:rsid w:val="006F6399"/>
    <w:rsid w:val="00727AB6"/>
    <w:rsid w:val="007944DD"/>
    <w:rsid w:val="0079789C"/>
    <w:rsid w:val="007A14F2"/>
    <w:rsid w:val="007D4544"/>
    <w:rsid w:val="007D68FD"/>
    <w:rsid w:val="007E1A05"/>
    <w:rsid w:val="00826CD8"/>
    <w:rsid w:val="00836952"/>
    <w:rsid w:val="00843EE2"/>
    <w:rsid w:val="00861D10"/>
    <w:rsid w:val="008779CA"/>
    <w:rsid w:val="00897AEF"/>
    <w:rsid w:val="008E4614"/>
    <w:rsid w:val="00925FAA"/>
    <w:rsid w:val="00932855"/>
    <w:rsid w:val="0093301D"/>
    <w:rsid w:val="0097347A"/>
    <w:rsid w:val="00984854"/>
    <w:rsid w:val="009B16A7"/>
    <w:rsid w:val="009E55A8"/>
    <w:rsid w:val="00A369BB"/>
    <w:rsid w:val="00A43F34"/>
    <w:rsid w:val="00A71FEC"/>
    <w:rsid w:val="00A76907"/>
    <w:rsid w:val="00AC0631"/>
    <w:rsid w:val="00AC622E"/>
    <w:rsid w:val="00AE0C06"/>
    <w:rsid w:val="00B11823"/>
    <w:rsid w:val="00B15184"/>
    <w:rsid w:val="00B2304A"/>
    <w:rsid w:val="00B3750B"/>
    <w:rsid w:val="00B769CE"/>
    <w:rsid w:val="00B93613"/>
    <w:rsid w:val="00B957EE"/>
    <w:rsid w:val="00BD3CBD"/>
    <w:rsid w:val="00BE0E2C"/>
    <w:rsid w:val="00C05615"/>
    <w:rsid w:val="00C15415"/>
    <w:rsid w:val="00C25C22"/>
    <w:rsid w:val="00C26BD8"/>
    <w:rsid w:val="00C34FF6"/>
    <w:rsid w:val="00C74D16"/>
    <w:rsid w:val="00C95AD2"/>
    <w:rsid w:val="00CA44DB"/>
    <w:rsid w:val="00CB34A1"/>
    <w:rsid w:val="00CD3881"/>
    <w:rsid w:val="00D07D30"/>
    <w:rsid w:val="00D41789"/>
    <w:rsid w:val="00D53B42"/>
    <w:rsid w:val="00D85E35"/>
    <w:rsid w:val="00D92192"/>
    <w:rsid w:val="00DA28D3"/>
    <w:rsid w:val="00DA7684"/>
    <w:rsid w:val="00DB6E91"/>
    <w:rsid w:val="00DC68E6"/>
    <w:rsid w:val="00E40EE3"/>
    <w:rsid w:val="00E51AE0"/>
    <w:rsid w:val="00E80D6D"/>
    <w:rsid w:val="00E90E13"/>
    <w:rsid w:val="00EA1E33"/>
    <w:rsid w:val="00EF4B9F"/>
    <w:rsid w:val="00F212BF"/>
    <w:rsid w:val="00F50E10"/>
    <w:rsid w:val="00F81C1C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A88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2A03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7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690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880"/>
    <w:rPr>
      <w:b/>
      <w:bCs/>
    </w:rPr>
  </w:style>
  <w:style w:type="character" w:customStyle="1" w:styleId="apple-converted-space">
    <w:name w:val="apple-converted-space"/>
    <w:basedOn w:val="Domylnaczcionkaakapitu"/>
    <w:rsid w:val="00630880"/>
  </w:style>
  <w:style w:type="paragraph" w:styleId="Lista">
    <w:name w:val="List"/>
    <w:basedOn w:val="Normalny"/>
    <w:uiPriority w:val="99"/>
    <w:unhideWhenUsed/>
    <w:rsid w:val="00630880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40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EE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E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EE3"/>
    <w:rPr>
      <w:rFonts w:ascii="Arial" w:hAnsi="Arial"/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E40EE3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BD3C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2A03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7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690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880"/>
    <w:rPr>
      <w:b/>
      <w:bCs/>
    </w:rPr>
  </w:style>
  <w:style w:type="character" w:customStyle="1" w:styleId="apple-converted-space">
    <w:name w:val="apple-converted-space"/>
    <w:basedOn w:val="Domylnaczcionkaakapitu"/>
    <w:rsid w:val="00630880"/>
  </w:style>
  <w:style w:type="paragraph" w:styleId="Lista">
    <w:name w:val="List"/>
    <w:basedOn w:val="Normalny"/>
    <w:uiPriority w:val="99"/>
    <w:unhideWhenUsed/>
    <w:rsid w:val="00630880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40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EE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E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EE3"/>
    <w:rPr>
      <w:rFonts w:ascii="Arial" w:hAnsi="Arial"/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E40EE3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BD3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winiarska@infarm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zena.jaworska@expert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Marzena Jaworska</cp:lastModifiedBy>
  <cp:revision>2</cp:revision>
  <cp:lastPrinted>2014-04-11T08:26:00Z</cp:lastPrinted>
  <dcterms:created xsi:type="dcterms:W3CDTF">2017-08-30T07:49:00Z</dcterms:created>
  <dcterms:modified xsi:type="dcterms:W3CDTF">2017-08-30T07:49:00Z</dcterms:modified>
</cp:coreProperties>
</file>